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jc w:val="center"/>
        <w:rPr>
          <w:b w:val="1"/>
          <w:sz w:val="44"/>
          <w:szCs w:val="44"/>
        </w:rPr>
      </w:pPr>
      <w:r w:rsidDel="00000000" w:rsidR="00000000" w:rsidRPr="00000000">
        <w:rPr>
          <w:b w:val="1"/>
          <w:sz w:val="44"/>
          <w:szCs w:val="44"/>
          <w:rtl w:val="0"/>
        </w:rPr>
        <w:t xml:space="preserve">Internship Report</w:t>
      </w:r>
    </w:p>
    <w:p w:rsidR="00000000" w:rsidDel="00000000" w:rsidP="00000000" w:rsidRDefault="00000000" w:rsidRPr="00000000" w14:paraId="00000002">
      <w:pPr>
        <w:jc w:val="center"/>
        <w:rPr>
          <w:b w:val="1"/>
          <w:sz w:val="28"/>
          <w:szCs w:val="28"/>
        </w:rPr>
      </w:pPr>
      <w:r w:rsidDel="00000000" w:rsidR="00000000" w:rsidRPr="00000000">
        <w:rPr>
          <w:rtl w:val="0"/>
        </w:rPr>
      </w:r>
    </w:p>
    <w:p w:rsidR="00000000" w:rsidDel="00000000" w:rsidP="00000000" w:rsidRDefault="00000000" w:rsidRPr="00000000" w14:paraId="00000003">
      <w:pPr>
        <w:jc w:val="center"/>
        <w:rPr>
          <w:b w:val="1"/>
          <w:sz w:val="28"/>
          <w:szCs w:val="28"/>
        </w:rPr>
      </w:pPr>
      <w:r w:rsidDel="00000000" w:rsidR="00000000" w:rsidRPr="00000000">
        <w:rPr>
          <w:rtl w:val="0"/>
        </w:rPr>
      </w:r>
    </w:p>
    <w:p w:rsidR="00000000" w:rsidDel="00000000" w:rsidP="00000000" w:rsidRDefault="00000000" w:rsidRPr="00000000" w14:paraId="00000004">
      <w:pPr>
        <w:jc w:val="center"/>
        <w:rPr>
          <w:b w:val="1"/>
          <w:sz w:val="28"/>
          <w:szCs w:val="28"/>
        </w:rPr>
      </w:pPr>
      <w:r w:rsidDel="00000000" w:rsidR="00000000" w:rsidRPr="00000000">
        <w:rPr>
          <w:rtl w:val="0"/>
        </w:rPr>
      </w:r>
    </w:p>
    <w:p w:rsidR="00000000" w:rsidDel="00000000" w:rsidP="00000000" w:rsidRDefault="00000000" w:rsidRPr="00000000" w14:paraId="00000005">
      <w:pPr>
        <w:jc w:val="center"/>
        <w:rPr>
          <w:b w:val="1"/>
          <w:sz w:val="28"/>
          <w:szCs w:val="28"/>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581025</wp:posOffset>
            </wp:positionH>
            <wp:positionV relativeFrom="paragraph">
              <wp:posOffset>38100</wp:posOffset>
            </wp:positionV>
            <wp:extent cx="4486275" cy="1790700"/>
            <wp:effectExtent b="0" l="0" r="0" t="0"/>
            <wp:wrapSquare wrapText="bothSides" distB="0" distT="0" distL="114300" distR="114300"/>
            <wp:docPr id="1" name="image1.png"/>
            <a:graphic>
              <a:graphicData uri="http://schemas.openxmlformats.org/drawingml/2006/picture">
                <pic:pic>
                  <pic:nvPicPr>
                    <pic:cNvPr id="0" name="image1.png"/>
                    <pic:cNvPicPr preferRelativeResize="0"/>
                  </pic:nvPicPr>
                  <pic:blipFill>
                    <a:blip r:embed="rId7"/>
                    <a:srcRect b="0" l="-2197" r="-1318" t="0"/>
                    <a:stretch>
                      <a:fillRect/>
                    </a:stretch>
                  </pic:blipFill>
                  <pic:spPr>
                    <a:xfrm>
                      <a:off x="0" y="0"/>
                      <a:ext cx="4486275" cy="1790700"/>
                    </a:xfrm>
                    <a:prstGeom prst="rect"/>
                    <a:ln/>
                  </pic:spPr>
                </pic:pic>
              </a:graphicData>
            </a:graphic>
          </wp:anchor>
        </w:drawing>
      </w:r>
    </w:p>
    <w:p w:rsidR="00000000" w:rsidDel="00000000" w:rsidP="00000000" w:rsidRDefault="00000000" w:rsidRPr="00000000" w14:paraId="00000006">
      <w:pPr>
        <w:jc w:val="center"/>
        <w:rPr>
          <w:b w:val="1"/>
          <w:sz w:val="28"/>
          <w:szCs w:val="28"/>
        </w:rPr>
      </w:pPr>
      <w:r w:rsidDel="00000000" w:rsidR="00000000" w:rsidRPr="00000000">
        <w:rPr>
          <w:rtl w:val="0"/>
        </w:rPr>
      </w:r>
    </w:p>
    <w:p w:rsidR="00000000" w:rsidDel="00000000" w:rsidP="00000000" w:rsidRDefault="00000000" w:rsidRPr="00000000" w14:paraId="00000007">
      <w:pPr>
        <w:jc w:val="center"/>
        <w:rPr>
          <w:b w:val="1"/>
          <w:sz w:val="28"/>
          <w:szCs w:val="28"/>
        </w:rPr>
      </w:pPr>
      <w:r w:rsidDel="00000000" w:rsidR="00000000" w:rsidRPr="00000000">
        <w:rPr>
          <w:rtl w:val="0"/>
        </w:rPr>
      </w:r>
    </w:p>
    <w:p w:rsidR="00000000" w:rsidDel="00000000" w:rsidP="00000000" w:rsidRDefault="00000000" w:rsidRPr="00000000" w14:paraId="00000008">
      <w:pPr>
        <w:jc w:val="center"/>
        <w:rPr>
          <w:sz w:val="28"/>
          <w:szCs w:val="28"/>
        </w:rPr>
      </w:pPr>
      <w:r w:rsidDel="00000000" w:rsidR="00000000" w:rsidRPr="00000000">
        <w:rPr>
          <w:rtl w:val="0"/>
        </w:rPr>
      </w:r>
    </w:p>
    <w:p w:rsidR="00000000" w:rsidDel="00000000" w:rsidP="00000000" w:rsidRDefault="00000000" w:rsidRPr="00000000" w14:paraId="00000009">
      <w:pPr>
        <w:jc w:val="center"/>
        <w:rPr>
          <w:sz w:val="28"/>
          <w:szCs w:val="28"/>
        </w:rPr>
      </w:pPr>
      <w:r w:rsidDel="00000000" w:rsidR="00000000" w:rsidRPr="00000000">
        <w:rPr>
          <w:rtl w:val="0"/>
        </w:rPr>
      </w:r>
    </w:p>
    <w:p w:rsidR="00000000" w:rsidDel="00000000" w:rsidP="00000000" w:rsidRDefault="00000000" w:rsidRPr="00000000" w14:paraId="0000000A">
      <w:pPr>
        <w:jc w:val="center"/>
        <w:rPr>
          <w:sz w:val="28"/>
          <w:szCs w:val="28"/>
        </w:rPr>
      </w:pPr>
      <w:r w:rsidDel="00000000" w:rsidR="00000000" w:rsidRPr="00000000">
        <w:rPr>
          <w:rtl w:val="0"/>
        </w:rPr>
      </w:r>
    </w:p>
    <w:p w:rsidR="00000000" w:rsidDel="00000000" w:rsidP="00000000" w:rsidRDefault="00000000" w:rsidRPr="00000000" w14:paraId="0000000B">
      <w:pPr>
        <w:jc w:val="center"/>
        <w:rPr>
          <w:sz w:val="28"/>
          <w:szCs w:val="28"/>
        </w:rPr>
      </w:pPr>
      <w:r w:rsidDel="00000000" w:rsidR="00000000" w:rsidRPr="00000000">
        <w:rPr>
          <w:rtl w:val="0"/>
        </w:rPr>
      </w:r>
    </w:p>
    <w:p w:rsidR="00000000" w:rsidDel="00000000" w:rsidP="00000000" w:rsidRDefault="00000000" w:rsidRPr="00000000" w14:paraId="0000000C">
      <w:pPr>
        <w:jc w:val="center"/>
        <w:rPr>
          <w:sz w:val="28"/>
          <w:szCs w:val="28"/>
        </w:rPr>
      </w:pPr>
      <w:r w:rsidDel="00000000" w:rsidR="00000000" w:rsidRPr="00000000">
        <w:rPr>
          <w:rtl w:val="0"/>
        </w:rPr>
      </w:r>
    </w:p>
    <w:p w:rsidR="00000000" w:rsidDel="00000000" w:rsidP="00000000" w:rsidRDefault="00000000" w:rsidRPr="00000000" w14:paraId="0000000D">
      <w:pPr>
        <w:jc w:val="center"/>
        <w:rPr>
          <w:b w:val="1"/>
          <w:sz w:val="28"/>
          <w:szCs w:val="28"/>
        </w:rPr>
      </w:pPr>
      <w:r w:rsidDel="00000000" w:rsidR="00000000" w:rsidRPr="00000000">
        <w:rPr>
          <w:b w:val="1"/>
          <w:sz w:val="28"/>
          <w:szCs w:val="28"/>
          <w:rtl w:val="0"/>
        </w:rPr>
        <w:t xml:space="preserve">[Name]</w:t>
      </w:r>
    </w:p>
    <w:p w:rsidR="00000000" w:rsidDel="00000000" w:rsidP="00000000" w:rsidRDefault="00000000" w:rsidRPr="00000000" w14:paraId="0000000E">
      <w:pPr>
        <w:jc w:val="center"/>
        <w:rPr>
          <w:b w:val="1"/>
          <w:sz w:val="28"/>
          <w:szCs w:val="28"/>
        </w:rPr>
      </w:pPr>
      <w:r w:rsidDel="00000000" w:rsidR="00000000" w:rsidRPr="00000000">
        <w:rPr>
          <w:b w:val="1"/>
          <w:sz w:val="28"/>
          <w:szCs w:val="28"/>
          <w:rtl w:val="0"/>
        </w:rPr>
        <w:t xml:space="preserve">[Student ID]</w:t>
      </w:r>
    </w:p>
    <w:p w:rsidR="00000000" w:rsidDel="00000000" w:rsidP="00000000" w:rsidRDefault="00000000" w:rsidRPr="00000000" w14:paraId="0000000F">
      <w:pPr>
        <w:jc w:val="center"/>
        <w:rPr>
          <w:sz w:val="28"/>
          <w:szCs w:val="28"/>
        </w:rPr>
      </w:pPr>
      <w:r w:rsidDel="00000000" w:rsidR="00000000" w:rsidRPr="00000000">
        <w:rPr>
          <w:rtl w:val="0"/>
        </w:rPr>
      </w:r>
    </w:p>
    <w:p w:rsidR="00000000" w:rsidDel="00000000" w:rsidP="00000000" w:rsidRDefault="00000000" w:rsidRPr="00000000" w14:paraId="00000010">
      <w:pPr>
        <w:jc w:val="center"/>
        <w:rPr>
          <w:b w:val="1"/>
          <w:sz w:val="28"/>
          <w:szCs w:val="28"/>
        </w:rPr>
      </w:pPr>
      <w:r w:rsidDel="00000000" w:rsidR="00000000" w:rsidRPr="00000000">
        <w:rPr>
          <w:rtl w:val="0"/>
        </w:rPr>
      </w:r>
    </w:p>
    <w:p w:rsidR="00000000" w:rsidDel="00000000" w:rsidP="00000000" w:rsidRDefault="00000000" w:rsidRPr="00000000" w14:paraId="00000011">
      <w:pPr>
        <w:jc w:val="center"/>
        <w:rPr>
          <w:b w:val="1"/>
          <w:sz w:val="28"/>
          <w:szCs w:val="28"/>
        </w:rPr>
      </w:pPr>
      <w:r w:rsidDel="00000000" w:rsidR="00000000" w:rsidRPr="00000000">
        <w:rPr>
          <w:b w:val="1"/>
          <w:sz w:val="28"/>
          <w:szCs w:val="28"/>
          <w:rtl w:val="0"/>
        </w:rPr>
        <w:t xml:space="preserve">[Study Program]</w:t>
      </w:r>
    </w:p>
    <w:p w:rsidR="00000000" w:rsidDel="00000000" w:rsidP="00000000" w:rsidRDefault="00000000" w:rsidRPr="00000000" w14:paraId="00000012">
      <w:pPr>
        <w:jc w:val="center"/>
        <w:rPr>
          <w:b w:val="1"/>
          <w:sz w:val="28"/>
          <w:szCs w:val="28"/>
        </w:rPr>
      </w:pPr>
      <w:r w:rsidDel="00000000" w:rsidR="00000000" w:rsidRPr="00000000">
        <w:rPr>
          <w:b w:val="1"/>
          <w:sz w:val="28"/>
          <w:szCs w:val="28"/>
          <w:rtl w:val="0"/>
        </w:rPr>
        <w:t xml:space="preserve">Faculty of Engineering and Technology</w:t>
      </w:r>
    </w:p>
    <w:p w:rsidR="00000000" w:rsidDel="00000000" w:rsidP="00000000" w:rsidRDefault="00000000" w:rsidRPr="00000000" w14:paraId="00000013">
      <w:pPr>
        <w:jc w:val="center"/>
        <w:rPr>
          <w:b w:val="1"/>
          <w:sz w:val="28"/>
          <w:szCs w:val="28"/>
        </w:rPr>
      </w:pPr>
      <w:r w:rsidDel="00000000" w:rsidR="00000000" w:rsidRPr="00000000">
        <w:rPr>
          <w:b w:val="1"/>
          <w:sz w:val="28"/>
          <w:szCs w:val="28"/>
          <w:rtl w:val="0"/>
        </w:rPr>
        <w:t xml:space="preserve">Sampoerna University</w:t>
      </w:r>
    </w:p>
    <w:p w:rsidR="00000000" w:rsidDel="00000000" w:rsidP="00000000" w:rsidRDefault="00000000" w:rsidRPr="00000000" w14:paraId="00000014">
      <w:pPr>
        <w:jc w:val="center"/>
        <w:rPr>
          <w:b w:val="1"/>
          <w:sz w:val="28"/>
          <w:szCs w:val="28"/>
        </w:rPr>
        <w:sectPr>
          <w:pgSz w:h="16838" w:w="11906" w:orient="portrait"/>
          <w:pgMar w:bottom="1440" w:top="1440" w:left="1440" w:right="1440" w:header="720" w:footer="720"/>
          <w:pgNumType w:start="1"/>
        </w:sectPr>
      </w:pPr>
      <w:r w:rsidDel="00000000" w:rsidR="00000000" w:rsidRPr="00000000">
        <w:rPr>
          <w:b w:val="1"/>
          <w:sz w:val="28"/>
          <w:szCs w:val="28"/>
          <w:rtl w:val="0"/>
        </w:rPr>
        <w:t xml:space="preserve">[Year]</w:t>
      </w:r>
    </w:p>
    <w:p w:rsidR="00000000" w:rsidDel="00000000" w:rsidP="00000000" w:rsidRDefault="00000000" w:rsidRPr="00000000" w14:paraId="00000015">
      <w:pPr>
        <w:spacing w:line="360" w:lineRule="auto"/>
        <w:rPr>
          <w:b w:val="1"/>
          <w:sz w:val="28"/>
          <w:szCs w:val="28"/>
        </w:rPr>
      </w:pPr>
      <w:r w:rsidDel="00000000" w:rsidR="00000000" w:rsidRPr="00000000">
        <w:rPr>
          <w:b w:val="1"/>
          <w:sz w:val="28"/>
          <w:szCs w:val="28"/>
          <w:rtl w:val="0"/>
        </w:rPr>
        <w:t xml:space="preserve">Chapter 1. INTRODUCTION</w:t>
      </w:r>
    </w:p>
    <w:p>
      <w:pPr>
        <w:keepNext w:val="1"/>
        <w:spacing w:before="240" w:after="120" w:line="360" w:lineRule="auto"/>
        <w:jc w:val="left"/>
      </w:pPr>
      <w:r>
        <w:rPr>
          <w:b w:val="1"/>
          <w:sz w:val="24"/>
          <w:szCs w:val="24"/>
        </w:rPr>
        <w:t xml:space="preserve">1.1 Background</w:t>
      </w:r>
    </w:p>
    <w:p>
      <w:pPr>
        <w:spacing w:before="0" w:after="120" w:line="360" w:lineRule="auto"/>
        <w:jc w:val="both"/>
      </w:pPr>
      <w:r>
        <w:rPr>
          <w:sz w:val="24"/>
          <w:szCs w:val="24"/>
        </w:rPr>
        <w:t xml:space="preserve">(insert Bank BRI Regional Malang Office background, including IT Division and RTB Division scope)</w:t>
      </w:r>
    </w:p>
    <w:p>
      <w:pPr>
        <w:keepNext w:val="1"/>
        <w:spacing w:before="240" w:after="120" w:line="360" w:lineRule="auto"/>
        <w:jc w:val="left"/>
      </w:pPr>
      <w:r>
        <w:rPr>
          <w:b w:val="1"/>
          <w:sz w:val="24"/>
          <w:szCs w:val="24"/>
        </w:rPr>
        <w:t xml:space="preserve">1.2 Objectives</w:t>
      </w:r>
    </w:p>
    <w:p>
      <w:pPr>
        <w:spacing w:before="0" w:after="120" w:line="360" w:lineRule="auto"/>
        <w:jc w:val="both"/>
      </w:pPr>
      <w:r>
        <w:rPr>
          <w:sz w:val="24"/>
          <w:szCs w:val="24"/>
        </w:rPr>
        <w:t xml:space="preserve">The internship was carried out as part of the internship course (STEM4301) of the Information Systems study program, Faculty of Engineering and Technology, Sampoerna University. Its objectives were:</w:t>
      </w:r>
    </w:p>
    <w:p>
      <w:pPr>
        <w:numPr>
          <w:ilvl w:val="0"/>
          <w:numId w:val="4"/>
        </w:numPr>
        <w:spacing w:before="0" w:after="60" w:line="360" w:lineRule="auto"/>
        <w:jc w:val="both"/>
      </w:pPr>
      <w:r>
        <w:rPr>
          <w:sz w:val="24"/>
          <w:szCs w:val="24"/>
        </w:rPr>
        <w:t xml:space="preserve">To apply what I learned in Information Systems, such as systems analysis, web development, databases, and data processing, to real problems in a banking workplace.</w:t>
      </w:r>
    </w:p>
    <w:p>
      <w:pPr>
        <w:numPr>
          <w:ilvl w:val="0"/>
          <w:numId w:val="4"/>
        </w:numPr>
        <w:spacing w:before="0" w:after="60" w:line="360" w:lineRule="auto"/>
        <w:jc w:val="both"/>
      </w:pPr>
      <w:r>
        <w:rPr>
          <w:sz w:val="24"/>
          <w:szCs w:val="24"/>
        </w:rPr>
        <w:t xml:space="preserve">To understand how a regional office of a state-owned bank works, in particular how the Information Technology (IT) division looks after the office's devices and internal systems, and how the Retail Transaction Banking (RTB) division serves business customers through products such as Qlola, current (giro) accounts, and BRIVA.</w:t>
      </w:r>
    </w:p>
    <w:p>
      <w:pPr>
        <w:numPr>
          <w:ilvl w:val="0"/>
          <w:numId w:val="4"/>
        </w:numPr>
        <w:spacing w:before="0" w:after="60" w:line="360" w:lineRule="auto"/>
        <w:jc w:val="both"/>
      </w:pPr>
      <w:r>
        <w:rPr>
          <w:sz w:val="24"/>
          <w:szCs w:val="24"/>
        </w:rPr>
        <w:t xml:space="preserve">To design, build, and hand over working software that meets an actual operational need of the divisions I was placed in.</w:t>
      </w:r>
    </w:p>
    <w:p>
      <w:pPr>
        <w:numPr>
          <w:ilvl w:val="0"/>
          <w:numId w:val="4"/>
        </w:numPr>
        <w:spacing w:before="0" w:after="60" w:line="360" w:lineRule="auto"/>
        <w:jc w:val="both"/>
      </w:pPr>
      <w:r>
        <w:rPr>
          <w:sz w:val="24"/>
          <w:szCs w:val="24"/>
        </w:rPr>
        <w:t xml:space="preserve">To develop professional skills: communicating with supervisors, staff, and customers, working to deadlines, documenting my work, and taking part in internal and customer meetings.</w:t>
      </w:r>
    </w:p>
    <w:p>
      <w:pPr>
        <w:numPr>
          <w:ilvl w:val="0"/>
          <w:numId w:val="4"/>
        </w:numPr>
        <w:spacing w:before="0" w:after="60" w:line="360" w:lineRule="auto"/>
        <w:jc w:val="both"/>
      </w:pPr>
      <w:r>
        <w:rPr>
          <w:sz w:val="24"/>
          <w:szCs w:val="24"/>
        </w:rPr>
        <w:t xml:space="preserve">To gain work experience that prepares me for a career in information systems after graduation.</w:t>
      </w:r>
    </w:p>
    <w:p>
      <w:pPr>
        <w:keepNext w:val="1"/>
        <w:spacing w:before="240" w:after="120" w:line="360" w:lineRule="auto"/>
        <w:jc w:val="left"/>
      </w:pPr>
      <w:r>
        <w:rPr>
          <w:b w:val="1"/>
          <w:sz w:val="24"/>
          <w:szCs w:val="24"/>
        </w:rPr>
        <w:t xml:space="preserve">1.3 Benefits</w:t>
      </w:r>
    </w:p>
    <w:p>
      <w:pPr>
        <w:spacing w:before="0" w:after="120" w:line="360" w:lineRule="auto"/>
        <w:jc w:val="both"/>
      </w:pPr>
      <w:r>
        <w:rPr>
          <w:sz w:val="24"/>
          <w:szCs w:val="24"/>
        </w:rPr>
        <w:t xml:space="preserve">The internship benefits three parties: the student, the company, and the university.</w:t>
      </w:r>
    </w:p>
    <w:p>
      <w:pPr>
        <w:spacing w:before="0" w:after="120" w:line="360" w:lineRule="auto"/>
        <w:jc w:val="both"/>
      </w:pPr>
      <w:r>
        <w:rPr>
          <w:b w:val="1"/>
          <w:sz w:val="24"/>
          <w:szCs w:val="24"/>
        </w:rPr>
        <w:t xml:space="preserve">For the student. </w:t>
      </w:r>
      <w:r>
        <w:rPr>
          <w:sz w:val="24"/>
          <w:szCs w:val="24"/>
        </w:rPr>
        <w:t xml:space="preserve">I gained hands-on experience across the whole life of a software system, from analysing requirements to building, testing, and deploying it. This covered web development with React, Node.js, and PostgreSQL, server work with Ubuntu Server and phpMyAdmin for MariaDB and MySQL, data processing with Python and Excel, and running a locally hosted AI agent (OpenClaw with Ollama) on spreadsheet data. I also learned how banking products such as Qlola, giro accounts, and BRIVA work from the bank's side, and how a regional office handles customer data, reports, and official correspondence.</w:t>
      </w:r>
    </w:p>
    <w:p>
      <w:pPr>
        <w:spacing w:before="0" w:after="120" w:line="360" w:lineRule="auto"/>
        <w:jc w:val="both"/>
      </w:pPr>
      <w:r>
        <w:rPr>
          <w:b w:val="1"/>
          <w:sz w:val="24"/>
          <w:szCs w:val="24"/>
        </w:rPr>
        <w:t xml:space="preserve">For Bank BRI Regional Office Malang. </w:t>
      </w:r>
      <w:r>
        <w:rPr>
          <w:sz w:val="24"/>
          <w:szCs w:val="24"/>
        </w:rPr>
        <w:t xml:space="preserve">The IT division received an inventory system for its IT devices, deployed on an Ubuntu server for internal use. The RTB division received the Excel Workflow Processor, which turns its recurring Qlola reports into a one-click process. Both divisions also had extra help with day-to-day work, including data processing and mapping, standardising customer group categories, infographics for the marketing team, maintenance reports, and drafting a Digital Office (DiO) letter.</w:t>
      </w:r>
    </w:p>
    <w:p>
      <w:pPr>
        <w:spacing w:before="0" w:after="120" w:line="360" w:lineRule="auto"/>
        <w:jc w:val="both"/>
      </w:pPr>
      <w:r>
        <w:rPr>
          <w:b w:val="1"/>
          <w:sz w:val="24"/>
          <w:szCs w:val="24"/>
        </w:rPr>
        <w:t xml:space="preserve">For Sampoerna University. </w:t>
      </w:r>
      <w:r>
        <w:rPr>
          <w:sz w:val="24"/>
          <w:szCs w:val="24"/>
        </w:rPr>
        <w:t xml:space="preserve">The internship gives the university feedback on how well the Information Systems curriculum matches the skills a large bank needs. It also strengthens the relationship between the university and Bank BRI, which can open placements for future students.</w:t>
      </w:r>
    </w:p>
    <w:p>
      <w:pPr>
        <w:keepNext w:val="1"/>
        <w:spacing w:before="240" w:after="120" w:line="360" w:lineRule="auto"/>
        <w:jc w:val="left"/>
      </w:pPr>
      <w:r>
        <w:rPr>
          <w:b w:val="1"/>
          <w:sz w:val="24"/>
          <w:szCs w:val="24"/>
        </w:rPr>
        <w:t xml:space="preserve">1.4 Scope of Work</w:t>
      </w:r>
    </w:p>
    <w:p>
      <w:pPr>
        <w:spacing w:before="0" w:after="120" w:line="360" w:lineRule="auto"/>
        <w:jc w:val="both"/>
      </w:pPr>
      <w:r>
        <w:rPr>
          <w:sz w:val="24"/>
          <w:szCs w:val="24"/>
        </w:rPr>
        <w:t xml:space="preserve">The internship took place at Bank BRI Regional Office Malang, Menara BRI Malang, Jalan Laksamana Martadinata No. 80, Kelurahan Sukoharjo, Kecamatan Klojen, Kota Malang, East Java, from 5 June to 21 August 2026. It was split into two placements, one in each division, as shown in Table 1.1.</w:t>
      </w:r>
    </w:p>
    <w:p>
      <w:pPr>
        <w:keepNext w:val="1"/>
        <w:spacing w:before="120" w:after="60" w:line="240" w:lineRule="auto"/>
        <w:jc w:val="center"/>
      </w:pPr>
      <w:r>
        <w:rPr>
          <w:b w:val="1"/>
          <w:sz w:val="20"/>
          <w:szCs w:val="20"/>
        </w:rPr>
        <w:t xml:space="preserve">Table 1.1 Internship placements</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3600"/>
        <w:gridCol w:w="2800"/>
        <w:gridCol w:w="2626"/>
      </w:tblGrid>
      <w:tr>
        <w:trPr>
          <w:tblHeader w:val="1"/>
        </w:trPr>
        <w:tc>
          <w:tcPr>
            <w:tcW w:w="3600" w:type="dxa"/>
            <w:shd w:val="clear" w:color="auto" w:fill="D9D9D9"/>
            <w:vAlign w:val="top"/>
          </w:tcPr>
          <w:p>
            <w:pPr>
              <w:spacing w:before="0" w:after="0" w:line="240" w:lineRule="auto"/>
              <w:jc w:val="left"/>
            </w:pPr>
            <w:r>
              <w:rPr>
                <w:b w:val="1"/>
                <w:sz w:val="20"/>
                <w:szCs w:val="20"/>
              </w:rPr>
              <w:t xml:space="preserve">Division</w:t>
            </w:r>
          </w:p>
        </w:tc>
        <w:tc>
          <w:tcPr>
            <w:tcW w:w="2800" w:type="dxa"/>
            <w:shd w:val="clear" w:color="auto" w:fill="D9D9D9"/>
            <w:vAlign w:val="top"/>
          </w:tcPr>
          <w:p>
            <w:pPr>
              <w:spacing w:before="0" w:after="0" w:line="240" w:lineRule="auto"/>
              <w:jc w:val="left"/>
            </w:pPr>
            <w:r>
              <w:rPr>
                <w:b w:val="1"/>
                <w:sz w:val="20"/>
                <w:szCs w:val="20"/>
              </w:rPr>
              <w:t xml:space="preserve">Period</w:t>
            </w:r>
          </w:p>
        </w:tc>
        <w:tc>
          <w:tcPr>
            <w:tcW w:w="2626" w:type="dxa"/>
            <w:shd w:val="clear" w:color="auto" w:fill="D9D9D9"/>
            <w:vAlign w:val="top"/>
          </w:tcPr>
          <w:p>
            <w:pPr>
              <w:spacing w:before="0" w:after="0" w:line="240" w:lineRule="auto"/>
              <w:jc w:val="left"/>
            </w:pPr>
            <w:r>
              <w:rPr>
                <w:b w:val="1"/>
                <w:sz w:val="20"/>
                <w:szCs w:val="20"/>
              </w:rPr>
              <w:t xml:space="preserve">Supervisor</w:t>
            </w:r>
          </w:p>
        </w:tc>
      </w:tr>
      <w:tr>
        <w:tc>
          <w:tcPr>
            <w:tcW w:w="3600" w:type="dxa"/>
            <w:vAlign w:val="top"/>
          </w:tcPr>
          <w:p>
            <w:pPr>
              <w:spacing w:before="0" w:after="0" w:line="240" w:lineRule="auto"/>
              <w:jc w:val="left"/>
            </w:pPr>
            <w:r>
              <w:rPr>
                <w:sz w:val="20"/>
                <w:szCs w:val="20"/>
              </w:rPr>
              <w:t xml:space="preserve">Information Technology (IT)</w:t>
            </w:r>
          </w:p>
        </w:tc>
        <w:tc>
          <w:tcPr>
            <w:tcW w:w="2800" w:type="dxa"/>
            <w:vAlign w:val="top"/>
          </w:tcPr>
          <w:p>
            <w:pPr>
              <w:spacing w:before="0" w:after="0" w:line="240" w:lineRule="auto"/>
              <w:jc w:val="left"/>
            </w:pPr>
            <w:r>
              <w:rPr>
                <w:sz w:val="20"/>
                <w:szCs w:val="20"/>
              </w:rPr>
              <w:t xml:space="preserve">5 June – 7 July 2026</w:t>
            </w:r>
          </w:p>
        </w:tc>
        <w:tc>
          <w:tcPr>
            <w:tcW w:w="2626" w:type="dxa"/>
            <w:vAlign w:val="top"/>
          </w:tcPr>
          <w:p>
            <w:pPr>
              <w:spacing w:before="0" w:after="0" w:line="240" w:lineRule="auto"/>
              <w:jc w:val="left"/>
            </w:pPr>
            <w:r>
              <w:rPr>
                <w:sz w:val="20"/>
                <w:szCs w:val="20"/>
              </w:rPr>
              <w:t xml:space="preserve">Ugro Wiseno</w:t>
            </w:r>
          </w:p>
        </w:tc>
      </w:tr>
      <w:tr>
        <w:tc>
          <w:tcPr>
            <w:tcW w:w="3600" w:type="dxa"/>
            <w:vAlign w:val="top"/>
          </w:tcPr>
          <w:p>
            <w:pPr>
              <w:spacing w:before="0" w:after="0" w:line="240" w:lineRule="auto"/>
              <w:jc w:val="left"/>
            </w:pPr>
            <w:r>
              <w:rPr>
                <w:sz w:val="20"/>
                <w:szCs w:val="20"/>
              </w:rPr>
              <w:t xml:space="preserve">Retail Transaction Banking (RTB)</w:t>
            </w:r>
          </w:p>
        </w:tc>
        <w:tc>
          <w:tcPr>
            <w:tcW w:w="2800" w:type="dxa"/>
            <w:vAlign w:val="top"/>
          </w:tcPr>
          <w:p>
            <w:pPr>
              <w:spacing w:before="0" w:after="0" w:line="240" w:lineRule="auto"/>
              <w:jc w:val="left"/>
            </w:pPr>
            <w:r>
              <w:rPr>
                <w:sz w:val="20"/>
                <w:szCs w:val="20"/>
              </w:rPr>
              <w:t xml:space="preserve">8 July – 21 August 2026</w:t>
            </w:r>
          </w:p>
        </w:tc>
        <w:tc>
          <w:tcPr>
            <w:tcW w:w="2626" w:type="dxa"/>
            <w:vAlign w:val="top"/>
          </w:tcPr>
          <w:p>
            <w:pPr>
              <w:spacing w:before="0" w:after="0" w:line="240" w:lineRule="auto"/>
              <w:jc w:val="left"/>
            </w:pPr>
            <w:r>
              <w:rPr>
                <w:sz w:val="20"/>
                <w:szCs w:val="20"/>
              </w:rPr>
              <w:t xml:space="preserve">Mochamad Denny Julianto</w:t>
            </w:r>
          </w:p>
        </w:tc>
      </w:tr>
    </w:tbl>
    <w:p>
      <w:pPr>
        <w:spacing w:before="0" w:after="60" w:line="240" w:lineRule="auto"/>
        <w:jc w:val="both"/>
      </w:pPr>
    </w:p>
    <w:p>
      <w:pPr>
        <w:spacing w:before="0" w:after="120" w:line="360" w:lineRule="auto"/>
        <w:jc w:val="both"/>
      </w:pPr>
      <w:r>
        <w:rPr>
          <w:sz w:val="24"/>
          <w:szCs w:val="24"/>
        </w:rPr>
        <w:t xml:space="preserve">Table 1.2 lists the tasks I carried out in the IT division, as recorded on the internship completion form signed by my supervisor.</w:t>
      </w:r>
    </w:p>
    <w:p>
      <w:pPr>
        <w:keepNext w:val="1"/>
        <w:spacing w:before="120" w:after="60" w:line="240" w:lineRule="auto"/>
        <w:jc w:val="center"/>
      </w:pPr>
      <w:r>
        <w:rPr>
          <w:b w:val="1"/>
          <w:sz w:val="20"/>
          <w:szCs w:val="20"/>
        </w:rPr>
        <w:t xml:space="preserve">Table 1.2 Tasks carried out in the IT division</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800"/>
        <w:gridCol w:w="8226"/>
      </w:tblGrid>
      <w:tr>
        <w:trPr>
          <w:tblHeader w:val="1"/>
        </w:trPr>
        <w:tc>
          <w:tcPr>
            <w:tcW w:w="800" w:type="dxa"/>
            <w:shd w:val="clear" w:color="auto" w:fill="D9D9D9"/>
            <w:vAlign w:val="top"/>
          </w:tcPr>
          <w:p>
            <w:pPr>
              <w:spacing w:before="0" w:after="0" w:line="240" w:lineRule="auto"/>
              <w:jc w:val="left"/>
            </w:pPr>
            <w:r>
              <w:rPr>
                <w:b w:val="1"/>
                <w:sz w:val="20"/>
                <w:szCs w:val="20"/>
              </w:rPr>
              <w:t xml:space="preserve">No.</w:t>
            </w:r>
          </w:p>
        </w:tc>
        <w:tc>
          <w:tcPr>
            <w:tcW w:w="8226" w:type="dxa"/>
            <w:shd w:val="clear" w:color="auto" w:fill="D9D9D9"/>
            <w:vAlign w:val="top"/>
          </w:tcPr>
          <w:p>
            <w:pPr>
              <w:spacing w:before="0" w:after="0" w:line="240" w:lineRule="auto"/>
              <w:jc w:val="left"/>
            </w:pPr>
            <w:r>
              <w:rPr>
                <w:b w:val="1"/>
                <w:sz w:val="20"/>
                <w:szCs w:val="20"/>
              </w:rPr>
              <w:t xml:space="preserve">Task</w:t>
            </w:r>
          </w:p>
        </w:tc>
      </w:tr>
      <w:tr>
        <w:tc>
          <w:tcPr>
            <w:tcW w:w="800" w:type="dxa"/>
            <w:vAlign w:val="top"/>
          </w:tcPr>
          <w:p>
            <w:pPr>
              <w:spacing w:before="0" w:after="0" w:line="240" w:lineRule="auto"/>
              <w:jc w:val="left"/>
            </w:pPr>
            <w:r>
              <w:rPr>
                <w:sz w:val="20"/>
                <w:szCs w:val="20"/>
              </w:rPr>
              <w:t xml:space="preserve">1</w:t>
            </w:r>
          </w:p>
        </w:tc>
        <w:tc>
          <w:tcPr>
            <w:tcW w:w="8226" w:type="dxa"/>
            <w:vAlign w:val="top"/>
          </w:tcPr>
          <w:p>
            <w:pPr>
              <w:spacing w:before="0" w:after="0" w:line="240" w:lineRule="auto"/>
              <w:jc w:val="left"/>
            </w:pPr>
            <w:r>
              <w:rPr>
                <w:sz w:val="20"/>
                <w:szCs w:val="20"/>
              </w:rPr>
              <w:t xml:space="preserve">Organising the availability of document access within a spreadsheet</w:t>
            </w:r>
          </w:p>
        </w:tc>
      </w:tr>
      <w:tr>
        <w:tc>
          <w:tcPr>
            <w:tcW w:w="800" w:type="dxa"/>
            <w:vAlign w:val="top"/>
          </w:tcPr>
          <w:p>
            <w:pPr>
              <w:spacing w:before="0" w:after="0" w:line="240" w:lineRule="auto"/>
              <w:jc w:val="left"/>
            </w:pPr>
            <w:r>
              <w:rPr>
                <w:sz w:val="20"/>
                <w:szCs w:val="20"/>
              </w:rPr>
              <w:t xml:space="preserve">2</w:t>
            </w:r>
          </w:p>
        </w:tc>
        <w:tc>
          <w:tcPr>
            <w:tcW w:w="8226" w:type="dxa"/>
            <w:vAlign w:val="top"/>
          </w:tcPr>
          <w:p>
            <w:pPr>
              <w:spacing w:before="0" w:after="0" w:line="240" w:lineRule="auto"/>
              <w:jc w:val="left"/>
            </w:pPr>
            <w:r>
              <w:rPr>
                <w:sz w:val="20"/>
                <w:szCs w:val="20"/>
              </w:rPr>
              <w:t xml:space="preserve">Developing the inventory system website for IT devices (Perangkat IT)</w:t>
            </w:r>
          </w:p>
        </w:tc>
      </w:tr>
      <w:tr>
        <w:tc>
          <w:tcPr>
            <w:tcW w:w="800" w:type="dxa"/>
            <w:vAlign w:val="top"/>
          </w:tcPr>
          <w:p>
            <w:pPr>
              <w:spacing w:before="0" w:after="0" w:line="240" w:lineRule="auto"/>
              <w:jc w:val="left"/>
            </w:pPr>
            <w:r>
              <w:rPr>
                <w:sz w:val="20"/>
                <w:szCs w:val="20"/>
              </w:rPr>
              <w:t xml:space="preserve">3</w:t>
            </w:r>
          </w:p>
        </w:tc>
        <w:tc>
          <w:tcPr>
            <w:tcW w:w="8226" w:type="dxa"/>
            <w:vAlign w:val="top"/>
          </w:tcPr>
          <w:p>
            <w:pPr>
              <w:spacing w:before="0" w:after="0" w:line="240" w:lineRule="auto"/>
              <w:jc w:val="left"/>
            </w:pPr>
            <w:r>
              <w:rPr>
                <w:sz w:val="20"/>
                <w:szCs w:val="20"/>
              </w:rPr>
              <w:t xml:space="preserve">Installing an Ubuntu server to deploy the finished inventory system website</w:t>
            </w:r>
          </w:p>
        </w:tc>
      </w:tr>
      <w:tr>
        <w:tc>
          <w:tcPr>
            <w:tcW w:w="800" w:type="dxa"/>
            <w:vAlign w:val="top"/>
          </w:tcPr>
          <w:p>
            <w:pPr>
              <w:spacing w:before="0" w:after="0" w:line="240" w:lineRule="auto"/>
              <w:jc w:val="left"/>
            </w:pPr>
            <w:r>
              <w:rPr>
                <w:sz w:val="20"/>
                <w:szCs w:val="20"/>
              </w:rPr>
              <w:t xml:space="preserve">4</w:t>
            </w:r>
          </w:p>
        </w:tc>
        <w:tc>
          <w:tcPr>
            <w:tcW w:w="8226" w:type="dxa"/>
            <w:vAlign w:val="top"/>
          </w:tcPr>
          <w:p>
            <w:pPr>
              <w:spacing w:before="0" w:after="0" w:line="240" w:lineRule="auto"/>
              <w:jc w:val="left"/>
            </w:pPr>
            <w:r>
              <w:rPr>
                <w:sz w:val="20"/>
                <w:szCs w:val="20"/>
              </w:rPr>
              <w:t xml:space="preserve">Installing and managing phpMyAdmin for the database servers (MariaDB and MySQL)</w:t>
            </w:r>
          </w:p>
        </w:tc>
      </w:tr>
      <w:tr>
        <w:tc>
          <w:tcPr>
            <w:tcW w:w="800" w:type="dxa"/>
            <w:vAlign w:val="top"/>
          </w:tcPr>
          <w:p>
            <w:pPr>
              <w:spacing w:before="0" w:after="0" w:line="240" w:lineRule="auto"/>
              <w:jc w:val="left"/>
            </w:pPr>
            <w:r>
              <w:rPr>
                <w:sz w:val="20"/>
                <w:szCs w:val="20"/>
              </w:rPr>
              <w:t xml:space="preserve">5</w:t>
            </w:r>
          </w:p>
        </w:tc>
        <w:tc>
          <w:tcPr>
            <w:tcW w:w="8226" w:type="dxa"/>
            <w:vAlign w:val="top"/>
          </w:tcPr>
          <w:p>
            <w:pPr>
              <w:spacing w:before="0" w:after="0" w:line="240" w:lineRule="auto"/>
              <w:jc w:val="left"/>
            </w:pPr>
            <w:r>
              <w:rPr>
                <w:sz w:val="20"/>
                <w:szCs w:val="20"/>
              </w:rPr>
              <w:t xml:space="preserve">Installing and setting up the OpenClaw AI agent with the Ollama framework for processing spreadsheets</w:t>
            </w:r>
          </w:p>
        </w:tc>
      </w:tr>
      <w:tr>
        <w:tc>
          <w:tcPr>
            <w:tcW w:w="800" w:type="dxa"/>
            <w:vAlign w:val="top"/>
          </w:tcPr>
          <w:p>
            <w:pPr>
              <w:spacing w:before="0" w:after="0" w:line="240" w:lineRule="auto"/>
              <w:jc w:val="left"/>
            </w:pPr>
            <w:r>
              <w:rPr>
                <w:sz w:val="20"/>
                <w:szCs w:val="20"/>
              </w:rPr>
              <w:t xml:space="preserve">6</w:t>
            </w:r>
          </w:p>
        </w:tc>
        <w:tc>
          <w:tcPr>
            <w:tcW w:w="8226" w:type="dxa"/>
            <w:vAlign w:val="top"/>
          </w:tcPr>
          <w:p>
            <w:pPr>
              <w:spacing w:before="0" w:after="0" w:line="240" w:lineRule="auto"/>
              <w:jc w:val="left"/>
            </w:pPr>
            <w:r>
              <w:rPr>
                <w:sz w:val="20"/>
                <w:szCs w:val="20"/>
              </w:rPr>
              <w:t xml:space="preserve">Editing and processing data in spreadsheets with the OpenClaw AI agent</w:t>
            </w:r>
          </w:p>
        </w:tc>
      </w:tr>
    </w:tbl>
    <w:p>
      <w:pPr>
        <w:spacing w:before="0" w:after="60" w:line="240" w:lineRule="auto"/>
        <w:jc w:val="both"/>
      </w:pPr>
    </w:p>
    <w:p>
      <w:pPr>
        <w:spacing w:before="0" w:after="120" w:line="360" w:lineRule="auto"/>
        <w:jc w:val="both"/>
      </w:pPr>
      <w:r>
        <w:rPr>
          <w:sz w:val="24"/>
          <w:szCs w:val="24"/>
        </w:rPr>
        <w:t xml:space="preserve">Table 1.3 lists the tasks I carried out in the RTB division, as recorded on the internship completion form signed by my supervisor.</w:t>
      </w:r>
    </w:p>
    <w:p>
      <w:pPr>
        <w:keepNext w:val="1"/>
        <w:spacing w:before="120" w:after="60" w:line="240" w:lineRule="auto"/>
        <w:jc w:val="center"/>
      </w:pPr>
      <w:r>
        <w:rPr>
          <w:b w:val="1"/>
          <w:sz w:val="20"/>
          <w:szCs w:val="20"/>
        </w:rPr>
        <w:t xml:space="preserve">Table 1.3 Tasks carried out in the RTB division</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800"/>
        <w:gridCol w:w="8226"/>
      </w:tblGrid>
      <w:tr>
        <w:trPr>
          <w:tblHeader w:val="1"/>
        </w:trPr>
        <w:tc>
          <w:tcPr>
            <w:tcW w:w="800" w:type="dxa"/>
            <w:shd w:val="clear" w:color="auto" w:fill="D9D9D9"/>
            <w:vAlign w:val="top"/>
          </w:tcPr>
          <w:p>
            <w:pPr>
              <w:spacing w:before="0" w:after="0" w:line="240" w:lineRule="auto"/>
              <w:jc w:val="left"/>
            </w:pPr>
            <w:r>
              <w:rPr>
                <w:b w:val="1"/>
                <w:sz w:val="20"/>
                <w:szCs w:val="20"/>
              </w:rPr>
              <w:t xml:space="preserve">No.</w:t>
            </w:r>
          </w:p>
        </w:tc>
        <w:tc>
          <w:tcPr>
            <w:tcW w:w="8226" w:type="dxa"/>
            <w:shd w:val="clear" w:color="auto" w:fill="D9D9D9"/>
            <w:vAlign w:val="top"/>
          </w:tcPr>
          <w:p>
            <w:pPr>
              <w:spacing w:before="0" w:after="0" w:line="240" w:lineRule="auto"/>
              <w:jc w:val="left"/>
            </w:pPr>
            <w:r>
              <w:rPr>
                <w:b w:val="1"/>
                <w:sz w:val="20"/>
                <w:szCs w:val="20"/>
              </w:rPr>
              <w:t xml:space="preserve">Task</w:t>
            </w:r>
          </w:p>
        </w:tc>
      </w:tr>
      <w:tr>
        <w:tc>
          <w:tcPr>
            <w:tcW w:w="800" w:type="dxa"/>
            <w:vAlign w:val="top"/>
          </w:tcPr>
          <w:p>
            <w:pPr>
              <w:spacing w:before="0" w:after="0" w:line="240" w:lineRule="auto"/>
              <w:jc w:val="left"/>
            </w:pPr>
            <w:r>
              <w:rPr>
                <w:sz w:val="20"/>
                <w:szCs w:val="20"/>
              </w:rPr>
              <w:t xml:space="preserve">1</w:t>
            </w:r>
          </w:p>
        </w:tc>
        <w:tc>
          <w:tcPr>
            <w:tcW w:w="8226" w:type="dxa"/>
            <w:vAlign w:val="top"/>
          </w:tcPr>
          <w:p>
            <w:pPr>
              <w:spacing w:before="0" w:after="0" w:line="240" w:lineRule="auto"/>
              <w:jc w:val="left"/>
            </w:pPr>
            <w:r>
              <w:rPr>
                <w:sz w:val="20"/>
                <w:szCs w:val="20"/>
              </w:rPr>
              <w:t xml:space="preserve">Editing and processing Qlola data (Static Data Report, Accumulated Summary Report, Monthly Summary Report, BG Portal Details, and TF Volume Details) in spreadsheets using Excel and the Excel Workflow Processor system</w:t>
            </w:r>
          </w:p>
        </w:tc>
      </w:tr>
      <w:tr>
        <w:tc>
          <w:tcPr>
            <w:tcW w:w="800" w:type="dxa"/>
            <w:vAlign w:val="top"/>
          </w:tcPr>
          <w:p>
            <w:pPr>
              <w:spacing w:before="0" w:after="0" w:line="240" w:lineRule="auto"/>
              <w:jc w:val="left"/>
            </w:pPr>
            <w:r>
              <w:rPr>
                <w:sz w:val="20"/>
                <w:szCs w:val="20"/>
              </w:rPr>
              <w:t xml:space="preserve">2</w:t>
            </w:r>
          </w:p>
        </w:tc>
        <w:tc>
          <w:tcPr>
            <w:tcW w:w="8226" w:type="dxa"/>
            <w:vAlign w:val="top"/>
          </w:tcPr>
          <w:p>
            <w:pPr>
              <w:spacing w:before="0" w:after="0" w:line="240" w:lineRule="auto"/>
              <w:jc w:val="left"/>
            </w:pPr>
            <w:r>
              <w:rPr>
                <w:sz w:val="20"/>
                <w:szCs w:val="20"/>
              </w:rPr>
              <w:t xml:space="preserve">Registering a new business, together with its Admin and SysAdmin users, in the Qlola system</w:t>
            </w:r>
          </w:p>
        </w:tc>
      </w:tr>
      <w:tr>
        <w:tc>
          <w:tcPr>
            <w:tcW w:w="800" w:type="dxa"/>
            <w:vAlign w:val="top"/>
          </w:tcPr>
          <w:p>
            <w:pPr>
              <w:spacing w:before="0" w:after="0" w:line="240" w:lineRule="auto"/>
              <w:jc w:val="left"/>
            </w:pPr>
            <w:r>
              <w:rPr>
                <w:sz w:val="20"/>
                <w:szCs w:val="20"/>
              </w:rPr>
              <w:t xml:space="preserve">3</w:t>
            </w:r>
          </w:p>
        </w:tc>
        <w:tc>
          <w:tcPr>
            <w:tcW w:w="8226" w:type="dxa"/>
            <w:vAlign w:val="top"/>
          </w:tcPr>
          <w:p>
            <w:pPr>
              <w:spacing w:before="0" w:after="0" w:line="240" w:lineRule="auto"/>
              <w:jc w:val="left"/>
            </w:pPr>
            <w:r>
              <w:rPr>
                <w:sz w:val="20"/>
                <w:szCs w:val="20"/>
              </w:rPr>
              <w:t xml:space="preserve">Creating digital infographics for bank customers and the marketing team that explain the features and benefits of the Giro Rewards Program and the Edupay Growth Program</w:t>
            </w:r>
          </w:p>
        </w:tc>
      </w:tr>
      <w:tr>
        <w:tc>
          <w:tcPr>
            <w:tcW w:w="800" w:type="dxa"/>
            <w:vAlign w:val="top"/>
          </w:tcPr>
          <w:p>
            <w:pPr>
              <w:spacing w:before="0" w:after="0" w:line="240" w:lineRule="auto"/>
              <w:jc w:val="left"/>
            </w:pPr>
            <w:r>
              <w:rPr>
                <w:sz w:val="20"/>
                <w:szCs w:val="20"/>
              </w:rPr>
              <w:t xml:space="preserve">4</w:t>
            </w:r>
          </w:p>
        </w:tc>
        <w:tc>
          <w:tcPr>
            <w:tcW w:w="8226" w:type="dxa"/>
            <w:vAlign w:val="top"/>
          </w:tcPr>
          <w:p>
            <w:pPr>
              <w:spacing w:before="0" w:after="0" w:line="240" w:lineRule="auto"/>
              <w:jc w:val="left"/>
            </w:pPr>
            <w:r>
              <w:rPr>
                <w:sz w:val="20"/>
                <w:szCs w:val="20"/>
              </w:rPr>
              <w:t xml:space="preserve">Attending a company-wide Microsoft Teams meeting on the Qlola Token app update and the switch to the new Qlola login URL, and studying the new Qlola version through the New Qlola by BRI PDF</w:t>
            </w:r>
          </w:p>
        </w:tc>
      </w:tr>
      <w:tr>
        <w:tc>
          <w:tcPr>
            <w:tcW w:w="800" w:type="dxa"/>
            <w:vAlign w:val="top"/>
          </w:tcPr>
          <w:p>
            <w:pPr>
              <w:spacing w:before="0" w:after="0" w:line="240" w:lineRule="auto"/>
              <w:jc w:val="left"/>
            </w:pPr>
            <w:r>
              <w:rPr>
                <w:sz w:val="20"/>
                <w:szCs w:val="20"/>
              </w:rPr>
              <w:t xml:space="preserve">5</w:t>
            </w:r>
          </w:p>
        </w:tc>
        <w:tc>
          <w:tcPr>
            <w:tcW w:w="8226" w:type="dxa"/>
            <w:vAlign w:val="top"/>
          </w:tcPr>
          <w:p>
            <w:pPr>
              <w:spacing w:before="0" w:after="0" w:line="240" w:lineRule="auto"/>
              <w:jc w:val="left"/>
            </w:pPr>
            <w:r>
              <w:rPr>
                <w:sz w:val="20"/>
                <w:szCs w:val="20"/>
              </w:rPr>
              <w:t xml:space="preserve">Studying the Online Update Administrator PDF for Qlola</w:t>
            </w:r>
          </w:p>
        </w:tc>
      </w:tr>
      <w:tr>
        <w:tc>
          <w:tcPr>
            <w:tcW w:w="800" w:type="dxa"/>
            <w:vAlign w:val="top"/>
          </w:tcPr>
          <w:p>
            <w:pPr>
              <w:spacing w:before="0" w:after="0" w:line="240" w:lineRule="auto"/>
              <w:jc w:val="left"/>
            </w:pPr>
            <w:r>
              <w:rPr>
                <w:sz w:val="20"/>
                <w:szCs w:val="20"/>
              </w:rPr>
              <w:t xml:space="preserve">6</w:t>
            </w:r>
          </w:p>
        </w:tc>
        <w:tc>
          <w:tcPr>
            <w:tcW w:w="8226" w:type="dxa"/>
            <w:vAlign w:val="top"/>
          </w:tcPr>
          <w:p>
            <w:pPr>
              <w:spacing w:before="0" w:after="0" w:line="240" w:lineRule="auto"/>
              <w:jc w:val="left"/>
            </w:pPr>
            <w:r>
              <w:rPr>
                <w:sz w:val="20"/>
                <w:szCs w:val="20"/>
              </w:rPr>
              <w:t xml:space="preserve">Printing maintenance reports for the Malang Regional Office</w:t>
            </w:r>
          </w:p>
        </w:tc>
      </w:tr>
      <w:tr>
        <w:tc>
          <w:tcPr>
            <w:tcW w:w="800" w:type="dxa"/>
            <w:vAlign w:val="top"/>
          </w:tcPr>
          <w:p>
            <w:pPr>
              <w:spacing w:before="0" w:after="0" w:line="240" w:lineRule="auto"/>
              <w:jc w:val="left"/>
            </w:pPr>
            <w:r>
              <w:rPr>
                <w:sz w:val="20"/>
                <w:szCs w:val="20"/>
              </w:rPr>
              <w:t xml:space="preserve">7</w:t>
            </w:r>
          </w:p>
        </w:tc>
        <w:tc>
          <w:tcPr>
            <w:tcW w:w="8226" w:type="dxa"/>
            <w:vAlign w:val="top"/>
          </w:tcPr>
          <w:p>
            <w:pPr>
              <w:spacing w:before="0" w:after="0" w:line="240" w:lineRule="auto"/>
              <w:jc w:val="left"/>
            </w:pPr>
            <w:r>
              <w:rPr>
                <w:sz w:val="20"/>
                <w:szCs w:val="20"/>
              </w:rPr>
              <w:t xml:space="preserve">Classifying and standardising group categories for Malang Regional Office customers in the Excel file for BRI's nationwide customer list</w:t>
            </w:r>
          </w:p>
        </w:tc>
      </w:tr>
      <w:tr>
        <w:tc>
          <w:tcPr>
            <w:tcW w:w="800" w:type="dxa"/>
            <w:vAlign w:val="top"/>
          </w:tcPr>
          <w:p>
            <w:pPr>
              <w:spacing w:before="0" w:after="0" w:line="240" w:lineRule="auto"/>
              <w:jc w:val="left"/>
            </w:pPr>
            <w:r>
              <w:rPr>
                <w:sz w:val="20"/>
                <w:szCs w:val="20"/>
              </w:rPr>
              <w:t xml:space="preserve">8</w:t>
            </w:r>
          </w:p>
        </w:tc>
        <w:tc>
          <w:tcPr>
            <w:tcW w:w="8226" w:type="dxa"/>
            <w:vAlign w:val="top"/>
          </w:tcPr>
          <w:p>
            <w:pPr>
              <w:spacing w:before="0" w:after="0" w:line="240" w:lineRule="auto"/>
              <w:jc w:val="left"/>
            </w:pPr>
            <w:r>
              <w:rPr>
                <w:sz w:val="20"/>
                <w:szCs w:val="20"/>
              </w:rPr>
              <w:t xml:space="preserve">Mapping currently registered Qlola customers and active users' transaction frequency and volume as of June 2026</w:t>
            </w:r>
          </w:p>
        </w:tc>
      </w:tr>
      <w:tr>
        <w:tc>
          <w:tcPr>
            <w:tcW w:w="800" w:type="dxa"/>
            <w:vAlign w:val="top"/>
          </w:tcPr>
          <w:p>
            <w:pPr>
              <w:spacing w:before="0" w:after="0" w:line="240" w:lineRule="auto"/>
              <w:jc w:val="left"/>
            </w:pPr>
            <w:r>
              <w:rPr>
                <w:sz w:val="20"/>
                <w:szCs w:val="20"/>
              </w:rPr>
              <w:t xml:space="preserve">9</w:t>
            </w:r>
          </w:p>
        </w:tc>
        <w:tc>
          <w:tcPr>
            <w:tcW w:w="8226" w:type="dxa"/>
            <w:vAlign w:val="top"/>
          </w:tcPr>
          <w:p>
            <w:pPr>
              <w:spacing w:before="0" w:after="0" w:line="240" w:lineRule="auto"/>
              <w:jc w:val="left"/>
            </w:pPr>
            <w:r>
              <w:rPr>
                <w:sz w:val="20"/>
                <w:szCs w:val="20"/>
              </w:rPr>
              <w:t xml:space="preserve">Building the Excel Workflow Processor system</w:t>
            </w:r>
          </w:p>
        </w:tc>
      </w:tr>
      <w:tr>
        <w:tc>
          <w:tcPr>
            <w:tcW w:w="800" w:type="dxa"/>
            <w:vAlign w:val="top"/>
          </w:tcPr>
          <w:p>
            <w:pPr>
              <w:spacing w:before="0" w:after="0" w:line="240" w:lineRule="auto"/>
              <w:jc w:val="left"/>
            </w:pPr>
            <w:r>
              <w:rPr>
                <w:sz w:val="20"/>
                <w:szCs w:val="20"/>
              </w:rPr>
              <w:t xml:space="preserve">10</w:t>
            </w:r>
          </w:p>
        </w:tc>
        <w:tc>
          <w:tcPr>
            <w:tcW w:w="8226" w:type="dxa"/>
            <w:vAlign w:val="top"/>
          </w:tcPr>
          <w:p>
            <w:pPr>
              <w:spacing w:before="0" w:after="0" w:line="240" w:lineRule="auto"/>
              <w:jc w:val="left"/>
            </w:pPr>
            <w:r>
              <w:rPr>
                <w:sz w:val="20"/>
                <w:szCs w:val="20"/>
              </w:rPr>
              <w:t xml:space="preserve">Assisting with maintenance work in the RTB division</w:t>
            </w:r>
          </w:p>
        </w:tc>
      </w:tr>
      <w:tr>
        <w:tc>
          <w:tcPr>
            <w:tcW w:w="800" w:type="dxa"/>
            <w:vAlign w:val="top"/>
          </w:tcPr>
          <w:p>
            <w:pPr>
              <w:spacing w:before="0" w:after="0" w:line="240" w:lineRule="auto"/>
              <w:jc w:val="left"/>
            </w:pPr>
            <w:r>
              <w:rPr>
                <w:sz w:val="20"/>
                <w:szCs w:val="20"/>
              </w:rPr>
              <w:t xml:space="preserve">11</w:t>
            </w:r>
          </w:p>
        </w:tc>
        <w:tc>
          <w:tcPr>
            <w:tcW w:w="8226" w:type="dxa"/>
            <w:vAlign w:val="top"/>
          </w:tcPr>
          <w:p>
            <w:pPr>
              <w:spacing w:before="0" w:after="0" w:line="240" w:lineRule="auto"/>
              <w:jc w:val="left"/>
            </w:pPr>
            <w:r>
              <w:rPr>
                <w:sz w:val="20"/>
                <w:szCs w:val="20"/>
              </w:rPr>
              <w:t xml:space="preserve">Editing and processing the customer pipeline recapitulation for current (giro) accounts at the Malang Regional Office</w:t>
            </w:r>
          </w:p>
        </w:tc>
      </w:tr>
      <w:tr>
        <w:tc>
          <w:tcPr>
            <w:tcW w:w="800" w:type="dxa"/>
            <w:vAlign w:val="top"/>
          </w:tcPr>
          <w:p>
            <w:pPr>
              <w:spacing w:before="0" w:after="0" w:line="240" w:lineRule="auto"/>
              <w:jc w:val="left"/>
            </w:pPr>
            <w:r>
              <w:rPr>
                <w:sz w:val="20"/>
                <w:szCs w:val="20"/>
              </w:rPr>
              <w:t xml:space="preserve">12</w:t>
            </w:r>
          </w:p>
        </w:tc>
        <w:tc>
          <w:tcPr>
            <w:tcW w:w="8226" w:type="dxa"/>
            <w:vAlign w:val="top"/>
          </w:tcPr>
          <w:p>
            <w:pPr>
              <w:spacing w:before="0" w:after="0" w:line="240" w:lineRule="auto"/>
              <w:jc w:val="left"/>
            </w:pPr>
            <w:r>
              <w:rPr>
                <w:sz w:val="20"/>
                <w:szCs w:val="20"/>
              </w:rPr>
              <w:t xml:space="preserve">Editing and processing data for the TSPM current account list report as of 30 June 2026</w:t>
            </w:r>
          </w:p>
        </w:tc>
      </w:tr>
      <w:tr>
        <w:tc>
          <w:tcPr>
            <w:tcW w:w="800" w:type="dxa"/>
            <w:vAlign w:val="top"/>
          </w:tcPr>
          <w:p>
            <w:pPr>
              <w:spacing w:before="0" w:after="0" w:line="240" w:lineRule="auto"/>
              <w:jc w:val="left"/>
            </w:pPr>
            <w:r>
              <w:rPr>
                <w:sz w:val="20"/>
                <w:szCs w:val="20"/>
              </w:rPr>
              <w:t xml:space="preserve">13</w:t>
            </w:r>
          </w:p>
        </w:tc>
        <w:tc>
          <w:tcPr>
            <w:tcW w:w="8226" w:type="dxa"/>
            <w:vAlign w:val="top"/>
          </w:tcPr>
          <w:p>
            <w:pPr>
              <w:spacing w:before="0" w:after="0" w:line="240" w:lineRule="auto"/>
              <w:jc w:val="left"/>
            </w:pPr>
            <w:r>
              <w:rPr>
                <w:sz w:val="20"/>
                <w:szCs w:val="20"/>
              </w:rPr>
              <w:t xml:space="preserve">Attending a Microsoft Teams meeting with customers on the BRIVA API and New Qlola by BRI for a ministry work unit</w:t>
            </w:r>
          </w:p>
        </w:tc>
      </w:tr>
      <w:tr>
        <w:tc>
          <w:tcPr>
            <w:tcW w:w="800" w:type="dxa"/>
            <w:vAlign w:val="top"/>
          </w:tcPr>
          <w:p>
            <w:pPr>
              <w:spacing w:before="0" w:after="0" w:line="240" w:lineRule="auto"/>
              <w:jc w:val="left"/>
            </w:pPr>
            <w:r>
              <w:rPr>
                <w:sz w:val="20"/>
                <w:szCs w:val="20"/>
              </w:rPr>
              <w:t xml:space="preserve">14</w:t>
            </w:r>
          </w:p>
        </w:tc>
        <w:tc>
          <w:tcPr>
            <w:tcW w:w="8226" w:type="dxa"/>
            <w:vAlign w:val="top"/>
          </w:tcPr>
          <w:p>
            <w:pPr>
              <w:spacing w:before="0" w:after="0" w:line="240" w:lineRule="auto"/>
              <w:jc w:val="left"/>
            </w:pPr>
            <w:r>
              <w:rPr>
                <w:sz w:val="20"/>
                <w:szCs w:val="20"/>
              </w:rPr>
              <w:t xml:space="preserve">Drafting a Digital Office (DiO) letter of approval in principle to follow up on a customer's request for reduced BRIVA fees</w:t>
            </w:r>
          </w:p>
        </w:tc>
      </w:tr>
    </w:tbl>
    <w:p>
      <w:pPr>
        <w:spacing w:before="0" w:after="60" w:line="240" w:lineRule="auto"/>
        <w:jc w:val="both"/>
      </w:pPr>
    </w:p>
    <w:p>
      <w:pPr>
        <w:spacing w:before="0" w:after="120" w:line="360" w:lineRule="auto"/>
        <w:jc w:val="both"/>
      </w:pPr>
      <w:r>
        <w:rPr>
          <w:sz w:val="24"/>
          <w:szCs w:val="24"/>
        </w:rPr>
        <w:t xml:space="preserve">The two largest tasks were software projects: the inventory system website for the IT division (Perangkat IT) and the Excel Workflow Processor for the RTB division, referred to in this report as the Tongkat Gaib Excel tool. Chapter 3 describes these two projects, Chapter 4 analyses them, and Chapter 5 covers their technical design.</w:t>
      </w:r>
    </w:p>
    <w:p w:rsidR="00000000" w:rsidDel="00000000" w:rsidP="00000000" w:rsidRDefault="00000000" w:rsidRPr="00000000" w14:paraId="00000017">
      <w:pPr>
        <w:spacing w:line="360" w:lineRule="auto"/>
        <w:rPr>
          <w:b w:val="1"/>
          <w:sz w:val="24"/>
          <w:szCs w:val="24"/>
        </w:rPr>
      </w:pPr>
      <w:bookmarkStart w:colFirst="0" w:colLast="0" w:name="_heading=h.gjdgxs" w:id="0"/>
      <w:bookmarkEnd w:id="0"/>
      <w:r w:rsidDel="00000000" w:rsidR="00000000" w:rsidRPr="00000000">
        <w:rPr>
          <w:rtl w:val="0"/>
        </w:rPr>
      </w:r>
    </w:p>
    <w:p w:rsidR="00000000" w:rsidDel="00000000" w:rsidP="00000000" w:rsidRDefault="00000000" w:rsidRPr="00000000" w14:paraId="00000018">
      <w:pPr>
        <w:spacing w:line="360" w:lineRule="auto"/>
        <w:rPr>
          <w:b w:val="1"/>
          <w:sz w:val="28"/>
          <w:szCs w:val="28"/>
        </w:rPr>
      </w:pPr>
      <w:r w:rsidDel="00000000" w:rsidR="00000000" w:rsidRPr="00000000">
        <w:rPr>
          <w:b w:val="1"/>
          <w:sz w:val="28"/>
          <w:szCs w:val="28"/>
          <w:rtl w:val="0"/>
        </w:rPr>
        <w:t xml:space="preserve">Chapter 2. COMPANY PROFILE</w:t>
      </w:r>
    </w:p>
    <w:p>
      <w:pPr>
        <w:spacing w:before="0" w:after="120" w:line="360" w:lineRule="auto"/>
        <w:jc w:val="both"/>
      </w:pPr>
      <w:r>
        <w:rPr>
          <w:sz w:val="24"/>
          <w:szCs w:val="24"/>
        </w:rPr>
        <w:t xml:space="preserve">This chapter describes PT Bank Rakyat Indonesia (Persero) Tbk (BRI), the company where the internship took place. It covers the company's business, vision and values, history, organizational structure, and the regional office where the internship was carried out. The information is taken from BRI's official website (bri.co.id) and from the BRI 2025 Sustainability Report published there.</w:t>
      </w:r>
    </w:p>
    <w:p>
      <w:pPr>
        <w:keepNext w:val="1"/>
        <w:spacing w:before="240" w:after="120" w:line="360" w:lineRule="auto"/>
        <w:jc w:val="left"/>
      </w:pPr>
      <w:r>
        <w:rPr>
          <w:b w:val="1"/>
          <w:sz w:val="24"/>
          <w:szCs w:val="24"/>
        </w:rPr>
        <w:t xml:space="preserve">2.1 Company Overview</w:t>
      </w:r>
    </w:p>
    <w:p>
      <w:pPr>
        <w:spacing w:before="0" w:after="120" w:line="360" w:lineRule="auto"/>
        <w:jc w:val="both"/>
      </w:pPr>
      <w:r>
        <w:rPr>
          <w:sz w:val="24"/>
          <w:szCs w:val="24"/>
        </w:rPr>
        <w:t xml:space="preserve">Bank Rakyat Indonesia (BRI) is a state-owned bank and one of the largest banks in Indonesia. It was established on 16 December 1895 in Purwokerto, Central Java, by Raden Bei Aria Wirjaatmadja, and has served customers for more than 130 years. BRI is registered with and supervised by the Financial Services Authority (Otoritas Jasa Keuangan, OJK) and is a participant in the Indonesia Deposit Insurance Corporation (Lembaga Penjamin Simpanan, LPS) guarantee scheme. Its corporate tagline is "Melayani Dengan Setulus Hati" (serving with sincerity). Table 2.1 summarises the company's general information.</w:t>
      </w:r>
    </w:p>
    <w:p>
      <w:pPr>
        <w:keepNext w:val="1"/>
        <w:spacing w:before="120" w:after="60" w:line="240" w:lineRule="auto"/>
        <w:jc w:val="center"/>
      </w:pPr>
      <w:r>
        <w:rPr>
          <w:b w:val="1"/>
          <w:sz w:val="20"/>
          <w:szCs w:val="20"/>
        </w:rPr>
        <w:t xml:space="preserve">Table 2.1 General information of BRI</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2400"/>
        <w:gridCol w:w="6626"/>
      </w:tblGrid>
      <w:tr>
        <w:trPr>
          <w:tblHeader w:val="1"/>
        </w:trPr>
        <w:tc>
          <w:tcPr>
            <w:tcW w:w="2400" w:type="dxa"/>
            <w:shd w:val="clear" w:color="auto" w:fill="D9D9D9"/>
            <w:vAlign w:val="top"/>
          </w:tcPr>
          <w:p>
            <w:pPr>
              <w:spacing w:before="0" w:after="0" w:line="240" w:lineRule="auto"/>
              <w:jc w:val="left"/>
            </w:pPr>
            <w:r>
              <w:rPr>
                <w:b w:val="1"/>
                <w:sz w:val="20"/>
                <w:szCs w:val="20"/>
              </w:rPr>
              <w:t xml:space="preserve">Item</w:t>
            </w:r>
          </w:p>
        </w:tc>
        <w:tc>
          <w:tcPr>
            <w:tcW w:w="6626" w:type="dxa"/>
            <w:shd w:val="clear" w:color="auto" w:fill="D9D9D9"/>
            <w:vAlign w:val="top"/>
          </w:tcPr>
          <w:p>
            <w:pPr>
              <w:spacing w:before="0" w:after="0" w:line="240" w:lineRule="auto"/>
              <w:jc w:val="left"/>
            </w:pPr>
            <w:r>
              <w:rPr>
                <w:b w:val="1"/>
                <w:sz w:val="20"/>
                <w:szCs w:val="20"/>
              </w:rPr>
              <w:t xml:space="preserve">Description</w:t>
            </w:r>
          </w:p>
        </w:tc>
      </w:tr>
      <w:tr>
        <w:tc>
          <w:tcPr>
            <w:tcW w:w="2400" w:type="dxa"/>
            <w:vAlign w:val="top"/>
          </w:tcPr>
          <w:p>
            <w:pPr>
              <w:spacing w:before="0" w:after="0" w:line="240" w:lineRule="auto"/>
              <w:jc w:val="left"/>
            </w:pPr>
            <w:r>
              <w:rPr>
                <w:sz w:val="20"/>
                <w:szCs w:val="20"/>
              </w:rPr>
              <w:t xml:space="preserve">Company name</w:t>
            </w:r>
          </w:p>
        </w:tc>
        <w:tc>
          <w:tcPr>
            <w:tcW w:w="6626" w:type="dxa"/>
            <w:vAlign w:val="top"/>
          </w:tcPr>
          <w:p>
            <w:pPr>
              <w:spacing w:before="0" w:after="0" w:line="240" w:lineRule="auto"/>
              <w:jc w:val="left"/>
            </w:pPr>
            <w:r>
              <w:rPr>
                <w:sz w:val="20"/>
                <w:szCs w:val="20"/>
              </w:rPr>
              <w:t xml:space="preserve">PT Bank Rakyat Indonesia (Persero) Tbk</w:t>
            </w:r>
          </w:p>
        </w:tc>
      </w:tr>
      <w:tr>
        <w:tc>
          <w:tcPr>
            <w:tcW w:w="2400" w:type="dxa"/>
            <w:vAlign w:val="top"/>
          </w:tcPr>
          <w:p>
            <w:pPr>
              <w:spacing w:before="0" w:after="0" w:line="240" w:lineRule="auto"/>
              <w:jc w:val="left"/>
            </w:pPr>
            <w:r>
              <w:rPr>
                <w:sz w:val="20"/>
                <w:szCs w:val="20"/>
              </w:rPr>
              <w:t xml:space="preserve">Legal entity</w:t>
            </w:r>
          </w:p>
        </w:tc>
        <w:tc>
          <w:tcPr>
            <w:tcW w:w="6626" w:type="dxa"/>
            <w:vAlign w:val="top"/>
          </w:tcPr>
          <w:p>
            <w:pPr>
              <w:spacing w:before="0" w:after="0" w:line="240" w:lineRule="auto"/>
              <w:jc w:val="left"/>
            </w:pPr>
            <w:r>
              <w:rPr>
                <w:sz w:val="20"/>
                <w:szCs w:val="20"/>
              </w:rPr>
              <w:t xml:space="preserve">Limited liability company, publicly listed</w:t>
            </w:r>
          </w:p>
        </w:tc>
      </w:tr>
      <w:tr>
        <w:tc>
          <w:tcPr>
            <w:tcW w:w="2400" w:type="dxa"/>
            <w:vAlign w:val="top"/>
          </w:tcPr>
          <w:p>
            <w:pPr>
              <w:spacing w:before="0" w:after="0" w:line="240" w:lineRule="auto"/>
              <w:jc w:val="left"/>
            </w:pPr>
            <w:r>
              <w:rPr>
                <w:sz w:val="20"/>
                <w:szCs w:val="20"/>
              </w:rPr>
              <w:t xml:space="preserve">Founded</w:t>
            </w:r>
          </w:p>
        </w:tc>
        <w:tc>
          <w:tcPr>
            <w:tcW w:w="6626" w:type="dxa"/>
            <w:vAlign w:val="top"/>
          </w:tcPr>
          <w:p>
            <w:pPr>
              <w:spacing w:before="0" w:after="0" w:line="240" w:lineRule="auto"/>
              <w:jc w:val="left"/>
            </w:pPr>
            <w:r>
              <w:rPr>
                <w:sz w:val="20"/>
                <w:szCs w:val="20"/>
              </w:rPr>
              <w:t xml:space="preserve">16 December 1895, Purwokerto, Central Java</w:t>
            </w:r>
          </w:p>
        </w:tc>
      </w:tr>
      <w:tr>
        <w:tc>
          <w:tcPr>
            <w:tcW w:w="2400" w:type="dxa"/>
            <w:vAlign w:val="top"/>
          </w:tcPr>
          <w:p>
            <w:pPr>
              <w:spacing w:before="0" w:after="0" w:line="240" w:lineRule="auto"/>
              <w:jc w:val="left"/>
            </w:pPr>
            <w:r>
              <w:rPr>
                <w:sz w:val="20"/>
                <w:szCs w:val="20"/>
              </w:rPr>
              <w:t xml:space="preserve">Head office</w:t>
            </w:r>
          </w:p>
        </w:tc>
        <w:tc>
          <w:tcPr>
            <w:tcW w:w="6626" w:type="dxa"/>
            <w:vAlign w:val="top"/>
          </w:tcPr>
          <w:p>
            <w:pPr>
              <w:spacing w:before="0" w:after="0" w:line="240" w:lineRule="auto"/>
              <w:jc w:val="left"/>
            </w:pPr>
            <w:r>
              <w:rPr>
                <w:sz w:val="20"/>
                <w:szCs w:val="20"/>
              </w:rPr>
              <w:t xml:space="preserve">BRI Building I, Jl. Jenderal Sudirman Kav. 44-46, Jakarta 10210</w:t>
            </w:r>
          </w:p>
        </w:tc>
      </w:tr>
      <w:tr>
        <w:tc>
          <w:tcPr>
            <w:tcW w:w="2400" w:type="dxa"/>
            <w:vAlign w:val="top"/>
          </w:tcPr>
          <w:p>
            <w:pPr>
              <w:spacing w:before="0" w:after="0" w:line="240" w:lineRule="auto"/>
              <w:jc w:val="left"/>
            </w:pPr>
            <w:r>
              <w:rPr>
                <w:sz w:val="20"/>
                <w:szCs w:val="20"/>
              </w:rPr>
              <w:t xml:space="preserve">Employees</w:t>
            </w:r>
          </w:p>
        </w:tc>
        <w:tc>
          <w:tcPr>
            <w:tcW w:w="6626" w:type="dxa"/>
            <w:vAlign w:val="top"/>
          </w:tcPr>
          <w:p>
            <w:pPr>
              <w:spacing w:before="0" w:after="0" w:line="240" w:lineRule="auto"/>
              <w:jc w:val="left"/>
            </w:pPr>
            <w:r>
              <w:rPr>
                <w:sz w:val="20"/>
                <w:szCs w:val="20"/>
              </w:rPr>
              <w:t xml:space="preserve">84,949 (end of 2025)</w:t>
            </w:r>
          </w:p>
        </w:tc>
      </w:tr>
      <w:tr>
        <w:tc>
          <w:tcPr>
            <w:tcW w:w="2400" w:type="dxa"/>
            <w:vAlign w:val="top"/>
          </w:tcPr>
          <w:p>
            <w:pPr>
              <w:spacing w:before="0" w:after="0" w:line="240" w:lineRule="auto"/>
              <w:jc w:val="left"/>
            </w:pPr>
            <w:r>
              <w:rPr>
                <w:sz w:val="20"/>
                <w:szCs w:val="20"/>
              </w:rPr>
              <w:t xml:space="preserve">Total assets</w:t>
            </w:r>
          </w:p>
        </w:tc>
        <w:tc>
          <w:tcPr>
            <w:tcW w:w="6626" w:type="dxa"/>
            <w:vAlign w:val="top"/>
          </w:tcPr>
          <w:p>
            <w:pPr>
              <w:spacing w:before="0" w:after="0" w:line="240" w:lineRule="auto"/>
              <w:jc w:val="left"/>
            </w:pPr>
            <w:r>
              <w:rPr>
                <w:sz w:val="20"/>
                <w:szCs w:val="20"/>
              </w:rPr>
              <w:t xml:space="preserve">IDR 1,931.54 trillion (bank only, 31 December 2025)</w:t>
            </w:r>
          </w:p>
        </w:tc>
      </w:tr>
      <w:tr>
        <w:tc>
          <w:tcPr>
            <w:tcW w:w="2400" w:type="dxa"/>
            <w:vAlign w:val="top"/>
          </w:tcPr>
          <w:p>
            <w:pPr>
              <w:spacing w:before="0" w:after="0" w:line="240" w:lineRule="auto"/>
              <w:jc w:val="left"/>
            </w:pPr>
            <w:r>
              <w:rPr>
                <w:sz w:val="20"/>
                <w:szCs w:val="20"/>
              </w:rPr>
              <w:t xml:space="preserve">Shareholders</w:t>
            </w:r>
          </w:p>
        </w:tc>
        <w:tc>
          <w:tcPr>
            <w:tcW w:w="6626" w:type="dxa"/>
            <w:vAlign w:val="top"/>
          </w:tcPr>
          <w:p>
            <w:pPr>
              <w:spacing w:before="0" w:after="0" w:line="240" w:lineRule="auto"/>
              <w:jc w:val="left"/>
            </w:pPr>
            <w:r>
              <w:rPr>
                <w:sz w:val="20"/>
                <w:szCs w:val="20"/>
              </w:rPr>
              <w:t xml:space="preserve">PT Danantara Asset Management (Persero) 53.19%; public 46.81%; the Government of Indonesia holds one Series A Dwiwarna share</w:t>
            </w:r>
          </w:p>
        </w:tc>
      </w:tr>
      <w:tr>
        <w:tc>
          <w:tcPr>
            <w:tcW w:w="2400" w:type="dxa"/>
            <w:vAlign w:val="top"/>
          </w:tcPr>
          <w:p>
            <w:pPr>
              <w:spacing w:before="0" w:after="0" w:line="240" w:lineRule="auto"/>
              <w:jc w:val="left"/>
            </w:pPr>
            <w:r>
              <w:rPr>
                <w:sz w:val="20"/>
                <w:szCs w:val="20"/>
              </w:rPr>
              <w:t xml:space="preserve">Website</w:t>
            </w:r>
          </w:p>
        </w:tc>
        <w:tc>
          <w:tcPr>
            <w:tcW w:w="6626" w:type="dxa"/>
            <w:vAlign w:val="top"/>
          </w:tcPr>
          <w:p>
            <w:pPr>
              <w:spacing w:before="0" w:after="0" w:line="240" w:lineRule="auto"/>
              <w:jc w:val="left"/>
            </w:pPr>
            <w:r>
              <w:rPr>
                <w:sz w:val="20"/>
                <w:szCs w:val="20"/>
              </w:rPr>
              <w:t xml:space="preserve">https://bri.co.id</w:t>
            </w:r>
          </w:p>
        </w:tc>
      </w:tr>
    </w:tbl>
    <w:p>
      <w:pPr>
        <w:spacing w:before="0" w:after="60" w:line="240" w:lineRule="auto"/>
        <w:jc w:val="both"/>
      </w:pPr>
    </w:p>
    <w:p>
      <w:pPr>
        <w:keepNext w:val="1"/>
        <w:spacing w:before="240" w:after="120" w:line="360" w:lineRule="auto"/>
        <w:jc w:val="left"/>
      </w:pPr>
      <w:r>
        <w:rPr>
          <w:b w:val="1"/>
          <w:sz w:val="24"/>
          <w:szCs w:val="24"/>
        </w:rPr>
        <w:t xml:space="preserve">2.2 Type of Business</w:t>
      </w:r>
    </w:p>
    <w:p>
      <w:pPr>
        <w:spacing w:before="0" w:after="120" w:line="360" w:lineRule="auto"/>
        <w:jc w:val="both"/>
      </w:pPr>
      <w:r>
        <w:rPr>
          <w:sz w:val="24"/>
          <w:szCs w:val="24"/>
        </w:rPr>
        <w:t xml:space="preserve">BRI is a commercial bank. It provides deposit-taking, lending, and other financial services to individuals, corporations, and micro, small, and medium enterprises (MSMEs), with a strategic focus on the MSME segment. Alongside its financial services, BRI runs training and advisory programmes that help MSMEs grow. Its main business areas are:</w:t>
      </w:r>
    </w:p>
    <w:p>
      <w:pPr>
        <w:numPr>
          <w:ilvl w:val="0"/>
          <w:numId w:val="3"/>
        </w:numPr>
        <w:spacing w:before="0" w:after="60" w:line="360" w:lineRule="auto"/>
        <w:jc w:val="both"/>
      </w:pPr>
      <w:r>
        <w:rPr>
          <w:sz w:val="24"/>
          <w:szCs w:val="24"/>
        </w:rPr>
        <w:t xml:space="preserve">Individual banking: savings, time deposits, giro (current) accounts, home loans (KPR), vehicle loans (KKB), salary-based loans (BRIguna), credit cards, and the BRIZZI electronic money card.</w:t>
      </w:r>
    </w:p>
    <w:p>
      <w:pPr>
        <w:numPr>
          <w:ilvl w:val="0"/>
          <w:numId w:val="3"/>
        </w:numPr>
        <w:spacing w:before="0" w:after="60" w:line="360" w:lineRule="auto"/>
        <w:jc w:val="both"/>
      </w:pPr>
      <w:r>
        <w:rPr>
          <w:sz w:val="24"/>
          <w:szCs w:val="24"/>
        </w:rPr>
        <w:t xml:space="preserve">MSME banking: micro and small business loans such as KUPEDES, supported by the micro-segment ecosystem the bank shares with its subsidiaries Pegadaian and PNM under the Ultra Micro (UMi) Holding.</w:t>
      </w:r>
    </w:p>
    <w:p>
      <w:pPr>
        <w:numPr>
          <w:ilvl w:val="0"/>
          <w:numId w:val="3"/>
        </w:numPr>
        <w:spacing w:before="0" w:after="60" w:line="360" w:lineRule="auto"/>
        <w:jc w:val="both"/>
      </w:pPr>
      <w:r>
        <w:rPr>
          <w:sz w:val="24"/>
          <w:szCs w:val="24"/>
        </w:rPr>
        <w:t xml:space="preserve">Corporate and commercial banking: financing, cash management, and transaction services for businesses, including the QLola corporate banking platform.</w:t>
      </w:r>
    </w:p>
    <w:p>
      <w:pPr>
        <w:numPr>
          <w:ilvl w:val="0"/>
          <w:numId w:val="3"/>
        </w:numPr>
        <w:spacing w:before="0" w:after="60" w:line="360" w:lineRule="auto"/>
        <w:jc w:val="both"/>
      </w:pPr>
      <w:r>
        <w:rPr>
          <w:sz w:val="24"/>
          <w:szCs w:val="24"/>
        </w:rPr>
        <w:t xml:space="preserve">Wealth management, treasury, and international banking services.</w:t>
      </w:r>
    </w:p>
    <w:p>
      <w:pPr>
        <w:numPr>
          <w:ilvl w:val="0"/>
          <w:numId w:val="3"/>
        </w:numPr>
        <w:spacing w:before="0" w:after="60" w:line="360" w:lineRule="auto"/>
        <w:jc w:val="both"/>
      </w:pPr>
      <w:r>
        <w:rPr>
          <w:sz w:val="24"/>
          <w:szCs w:val="24"/>
        </w:rPr>
        <w:t xml:space="preserve">Digital banking: the BRImo mobile banking application and internet banking.</w:t>
      </w:r>
    </w:p>
    <w:p>
      <w:pPr>
        <w:spacing w:before="0" w:after="120" w:line="360" w:lineRule="auto"/>
        <w:jc w:val="both"/>
      </w:pPr>
      <w:r>
        <w:rPr>
          <w:sz w:val="24"/>
          <w:szCs w:val="24"/>
        </w:rPr>
        <w:t xml:space="preserve">BRI has one of the widest service networks in Indonesia: 7,377 operational work units, 627,679 e-channels, and 1,193,835 BRILink agents (individual agents who provide basic banking services in their communities). It also operates six overseas networks, in the Cayman Islands, New York, Hong Kong, Taiwan, Singapore, and Timor Leste. Table 2.2 shows the domestic office network by region.</w:t>
      </w:r>
    </w:p>
    <w:p>
      <w:pPr>
        <w:keepNext w:val="1"/>
        <w:spacing w:before="120" w:after="60" w:line="240" w:lineRule="auto"/>
        <w:jc w:val="center"/>
      </w:pPr>
      <w:r>
        <w:rPr>
          <w:b w:val="1"/>
          <w:sz w:val="20"/>
          <w:szCs w:val="20"/>
        </w:rPr>
        <w:t xml:space="preserve">Table 2.2 BRI domestic office network by region (2025)</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2026"/>
        <w:gridCol w:w="1400"/>
        <w:gridCol w:w="1400"/>
        <w:gridCol w:w="1400"/>
        <w:gridCol w:w="1400"/>
        <w:gridCol w:w="1400"/>
      </w:tblGrid>
      <w:tr>
        <w:trPr>
          <w:tblHeader w:val="1"/>
        </w:trPr>
        <w:tc>
          <w:tcPr>
            <w:tcW w:w="2026" w:type="dxa"/>
            <w:shd w:val="clear" w:color="auto" w:fill="D9D9D9"/>
            <w:vAlign w:val="top"/>
          </w:tcPr>
          <w:p>
            <w:pPr>
              <w:spacing w:before="0" w:after="0" w:line="240" w:lineRule="auto"/>
              <w:jc w:val="left"/>
            </w:pPr>
            <w:r>
              <w:rPr>
                <w:b w:val="1"/>
                <w:sz w:val="20"/>
                <w:szCs w:val="20"/>
              </w:rPr>
              <w:t xml:space="preserve">Region</w:t>
            </w:r>
          </w:p>
        </w:tc>
        <w:tc>
          <w:tcPr>
            <w:tcW w:w="1400" w:type="dxa"/>
            <w:shd w:val="clear" w:color="auto" w:fill="D9D9D9"/>
            <w:vAlign w:val="top"/>
          </w:tcPr>
          <w:p>
            <w:pPr>
              <w:spacing w:before="0" w:after="0" w:line="240" w:lineRule="auto"/>
              <w:jc w:val="left"/>
            </w:pPr>
            <w:r>
              <w:rPr>
                <w:b w:val="1"/>
                <w:sz w:val="20"/>
                <w:szCs w:val="20"/>
              </w:rPr>
              <w:t xml:space="preserve">Regional Offices</w:t>
            </w:r>
          </w:p>
        </w:tc>
        <w:tc>
          <w:tcPr>
            <w:tcW w:w="1400" w:type="dxa"/>
            <w:shd w:val="clear" w:color="auto" w:fill="D9D9D9"/>
            <w:vAlign w:val="top"/>
          </w:tcPr>
          <w:p>
            <w:pPr>
              <w:spacing w:before="0" w:after="0" w:line="240" w:lineRule="auto"/>
              <w:jc w:val="left"/>
            </w:pPr>
            <w:r>
              <w:rPr>
                <w:b w:val="1"/>
                <w:sz w:val="20"/>
                <w:szCs w:val="20"/>
              </w:rPr>
              <w:t xml:space="preserve">Branch Offices</w:t>
            </w:r>
          </w:p>
        </w:tc>
        <w:tc>
          <w:tcPr>
            <w:tcW w:w="1400" w:type="dxa"/>
            <w:shd w:val="clear" w:color="auto" w:fill="D9D9D9"/>
            <w:vAlign w:val="top"/>
          </w:tcPr>
          <w:p>
            <w:pPr>
              <w:spacing w:before="0" w:after="0" w:line="240" w:lineRule="auto"/>
              <w:jc w:val="left"/>
            </w:pPr>
            <w:r>
              <w:rPr>
                <w:b w:val="1"/>
                <w:sz w:val="20"/>
                <w:szCs w:val="20"/>
              </w:rPr>
              <w:t xml:space="preserve">Sub-Branch Offices</w:t>
            </w:r>
          </w:p>
        </w:tc>
        <w:tc>
          <w:tcPr>
            <w:tcW w:w="1400" w:type="dxa"/>
            <w:shd w:val="clear" w:color="auto" w:fill="D9D9D9"/>
            <w:vAlign w:val="top"/>
          </w:tcPr>
          <w:p>
            <w:pPr>
              <w:spacing w:before="0" w:after="0" w:line="240" w:lineRule="auto"/>
              <w:jc w:val="left"/>
            </w:pPr>
            <w:r>
              <w:rPr>
                <w:b w:val="1"/>
                <w:sz w:val="20"/>
                <w:szCs w:val="20"/>
              </w:rPr>
              <w:t xml:space="preserve">BRI Units</w:t>
            </w:r>
          </w:p>
        </w:tc>
        <w:tc>
          <w:tcPr>
            <w:tcW w:w="1400" w:type="dxa"/>
            <w:shd w:val="clear" w:color="auto" w:fill="D9D9D9"/>
            <w:vAlign w:val="top"/>
          </w:tcPr>
          <w:p>
            <w:pPr>
              <w:spacing w:before="0" w:after="0" w:line="240" w:lineRule="auto"/>
              <w:jc w:val="left"/>
            </w:pPr>
            <w:r>
              <w:rPr>
                <w:b w:val="1"/>
                <w:sz w:val="20"/>
                <w:szCs w:val="20"/>
              </w:rPr>
              <w:t xml:space="preserve">BRILink Agents</w:t>
            </w:r>
          </w:p>
        </w:tc>
      </w:tr>
      <w:tr>
        <w:tc>
          <w:tcPr>
            <w:tcW w:w="2026" w:type="dxa"/>
            <w:vAlign w:val="top"/>
          </w:tcPr>
          <w:p>
            <w:pPr>
              <w:spacing w:before="0" w:after="0" w:line="240" w:lineRule="auto"/>
              <w:jc w:val="left"/>
            </w:pPr>
            <w:r>
              <w:rPr>
                <w:sz w:val="20"/>
                <w:szCs w:val="20"/>
              </w:rPr>
              <w:t xml:space="preserve">Sumatera</w:t>
            </w:r>
          </w:p>
        </w:tc>
        <w:tc>
          <w:tcPr>
            <w:tcW w:w="1400" w:type="dxa"/>
            <w:vAlign w:val="top"/>
          </w:tcPr>
          <w:p>
            <w:pPr>
              <w:spacing w:before="0" w:after="0" w:line="240" w:lineRule="auto"/>
              <w:jc w:val="left"/>
            </w:pPr>
            <w:r>
              <w:rPr>
                <w:sz w:val="20"/>
                <w:szCs w:val="20"/>
              </w:rPr>
              <w:t xml:space="preserve">5</w:t>
            </w:r>
          </w:p>
        </w:tc>
        <w:tc>
          <w:tcPr>
            <w:tcW w:w="1400" w:type="dxa"/>
            <w:vAlign w:val="top"/>
          </w:tcPr>
          <w:p>
            <w:pPr>
              <w:spacing w:before="0" w:after="0" w:line="240" w:lineRule="auto"/>
              <w:jc w:val="left"/>
            </w:pPr>
            <w:r>
              <w:rPr>
                <w:sz w:val="20"/>
                <w:szCs w:val="20"/>
              </w:rPr>
              <w:t xml:space="preserve">95</w:t>
            </w:r>
          </w:p>
        </w:tc>
        <w:tc>
          <w:tcPr>
            <w:tcW w:w="1400" w:type="dxa"/>
            <w:vAlign w:val="top"/>
          </w:tcPr>
          <w:p>
            <w:pPr>
              <w:spacing w:before="0" w:after="0" w:line="240" w:lineRule="auto"/>
              <w:jc w:val="left"/>
            </w:pPr>
            <w:r>
              <w:rPr>
                <w:sz w:val="20"/>
                <w:szCs w:val="20"/>
              </w:rPr>
              <w:t xml:space="preserve">105</w:t>
            </w:r>
          </w:p>
        </w:tc>
        <w:tc>
          <w:tcPr>
            <w:tcW w:w="1400" w:type="dxa"/>
            <w:vAlign w:val="top"/>
          </w:tcPr>
          <w:p>
            <w:pPr>
              <w:spacing w:before="0" w:after="0" w:line="240" w:lineRule="auto"/>
              <w:jc w:val="left"/>
            </w:pPr>
            <w:r>
              <w:rPr>
                <w:sz w:val="20"/>
                <w:szCs w:val="20"/>
              </w:rPr>
              <w:t xml:space="preserve">990</w:t>
            </w:r>
          </w:p>
        </w:tc>
        <w:tc>
          <w:tcPr>
            <w:tcW w:w="1400" w:type="dxa"/>
            <w:vAlign w:val="top"/>
          </w:tcPr>
          <w:p>
            <w:pPr>
              <w:spacing w:before="0" w:after="0" w:line="240" w:lineRule="auto"/>
              <w:jc w:val="left"/>
            </w:pPr>
            <w:r>
              <w:rPr>
                <w:sz w:val="20"/>
                <w:szCs w:val="20"/>
              </w:rPr>
              <w:t xml:space="preserve">273,100</w:t>
            </w:r>
          </w:p>
        </w:tc>
      </w:tr>
      <w:tr>
        <w:tc>
          <w:tcPr>
            <w:tcW w:w="2026" w:type="dxa"/>
            <w:vAlign w:val="top"/>
          </w:tcPr>
          <w:p>
            <w:pPr>
              <w:spacing w:before="0" w:after="0" w:line="240" w:lineRule="auto"/>
              <w:jc w:val="left"/>
            </w:pPr>
            <w:r>
              <w:rPr>
                <w:sz w:val="20"/>
                <w:szCs w:val="20"/>
              </w:rPr>
              <w:t xml:space="preserve">Java</w:t>
            </w:r>
          </w:p>
        </w:tc>
        <w:tc>
          <w:tcPr>
            <w:tcW w:w="1400" w:type="dxa"/>
            <w:vAlign w:val="top"/>
          </w:tcPr>
          <w:p>
            <w:pPr>
              <w:spacing w:before="0" w:after="0" w:line="240" w:lineRule="auto"/>
              <w:jc w:val="left"/>
            </w:pPr>
            <w:r>
              <w:rPr>
                <w:sz w:val="20"/>
                <w:szCs w:val="20"/>
              </w:rPr>
              <w:t xml:space="preserve">8</w:t>
            </w:r>
          </w:p>
        </w:tc>
        <w:tc>
          <w:tcPr>
            <w:tcW w:w="1400" w:type="dxa"/>
            <w:vAlign w:val="top"/>
          </w:tcPr>
          <w:p>
            <w:pPr>
              <w:spacing w:before="0" w:after="0" w:line="240" w:lineRule="auto"/>
              <w:jc w:val="left"/>
            </w:pPr>
            <w:r>
              <w:rPr>
                <w:sz w:val="20"/>
                <w:szCs w:val="20"/>
              </w:rPr>
              <w:t xml:space="preserve">271</w:t>
            </w:r>
          </w:p>
        </w:tc>
        <w:tc>
          <w:tcPr>
            <w:tcW w:w="1400" w:type="dxa"/>
            <w:vAlign w:val="top"/>
          </w:tcPr>
          <w:p>
            <w:pPr>
              <w:spacing w:before="0" w:after="0" w:line="240" w:lineRule="auto"/>
              <w:jc w:val="left"/>
            </w:pPr>
            <w:r>
              <w:rPr>
                <w:sz w:val="20"/>
                <w:szCs w:val="20"/>
              </w:rPr>
              <w:t xml:space="preserve">326</w:t>
            </w:r>
          </w:p>
        </w:tc>
        <w:tc>
          <w:tcPr>
            <w:tcW w:w="1400" w:type="dxa"/>
            <w:vAlign w:val="top"/>
          </w:tcPr>
          <w:p>
            <w:pPr>
              <w:spacing w:before="0" w:after="0" w:line="240" w:lineRule="auto"/>
              <w:jc w:val="left"/>
            </w:pPr>
            <w:r>
              <w:rPr>
                <w:sz w:val="20"/>
                <w:szCs w:val="20"/>
              </w:rPr>
              <w:t xml:space="preserve">2,786</w:t>
            </w:r>
          </w:p>
        </w:tc>
        <w:tc>
          <w:tcPr>
            <w:tcW w:w="1400" w:type="dxa"/>
            <w:vAlign w:val="top"/>
          </w:tcPr>
          <w:p>
            <w:pPr>
              <w:spacing w:before="0" w:after="0" w:line="240" w:lineRule="auto"/>
              <w:jc w:val="left"/>
            </w:pPr>
            <w:r>
              <w:rPr>
                <w:sz w:val="20"/>
                <w:szCs w:val="20"/>
              </w:rPr>
              <w:t xml:space="preserve">653,256</w:t>
            </w:r>
          </w:p>
        </w:tc>
      </w:tr>
      <w:tr>
        <w:tc>
          <w:tcPr>
            <w:tcW w:w="2026" w:type="dxa"/>
            <w:vAlign w:val="top"/>
          </w:tcPr>
          <w:p>
            <w:pPr>
              <w:spacing w:before="0" w:after="0" w:line="240" w:lineRule="auto"/>
              <w:jc w:val="left"/>
            </w:pPr>
            <w:r>
              <w:rPr>
                <w:sz w:val="20"/>
                <w:szCs w:val="20"/>
              </w:rPr>
              <w:t xml:space="preserve">Kalimantan</w:t>
            </w:r>
          </w:p>
        </w:tc>
        <w:tc>
          <w:tcPr>
            <w:tcW w:w="1400" w:type="dxa"/>
            <w:vAlign w:val="top"/>
          </w:tcPr>
          <w:p>
            <w:pPr>
              <w:spacing w:before="0" w:after="0" w:line="240" w:lineRule="auto"/>
              <w:jc w:val="left"/>
            </w:pPr>
            <w:r>
              <w:rPr>
                <w:sz w:val="20"/>
                <w:szCs w:val="20"/>
              </w:rPr>
              <w:t xml:space="preserve">1</w:t>
            </w:r>
          </w:p>
        </w:tc>
        <w:tc>
          <w:tcPr>
            <w:tcW w:w="1400" w:type="dxa"/>
            <w:vAlign w:val="top"/>
          </w:tcPr>
          <w:p>
            <w:pPr>
              <w:spacing w:before="0" w:after="0" w:line="240" w:lineRule="auto"/>
              <w:jc w:val="left"/>
            </w:pPr>
            <w:r>
              <w:rPr>
                <w:sz w:val="20"/>
                <w:szCs w:val="20"/>
              </w:rPr>
              <w:t xml:space="preserve">40</w:t>
            </w:r>
          </w:p>
        </w:tc>
        <w:tc>
          <w:tcPr>
            <w:tcW w:w="1400" w:type="dxa"/>
            <w:vAlign w:val="top"/>
          </w:tcPr>
          <w:p>
            <w:pPr>
              <w:spacing w:before="0" w:after="0" w:line="240" w:lineRule="auto"/>
              <w:jc w:val="left"/>
            </w:pPr>
            <w:r>
              <w:rPr>
                <w:sz w:val="20"/>
                <w:szCs w:val="20"/>
              </w:rPr>
              <w:t xml:space="preserve">42</w:t>
            </w:r>
          </w:p>
        </w:tc>
        <w:tc>
          <w:tcPr>
            <w:tcW w:w="1400" w:type="dxa"/>
            <w:vAlign w:val="top"/>
          </w:tcPr>
          <w:p>
            <w:pPr>
              <w:spacing w:before="0" w:after="0" w:line="240" w:lineRule="auto"/>
              <w:jc w:val="left"/>
            </w:pPr>
            <w:r>
              <w:rPr>
                <w:sz w:val="20"/>
                <w:szCs w:val="20"/>
              </w:rPr>
              <w:t xml:space="preserve">372</w:t>
            </w:r>
          </w:p>
        </w:tc>
        <w:tc>
          <w:tcPr>
            <w:tcW w:w="1400" w:type="dxa"/>
            <w:vAlign w:val="top"/>
          </w:tcPr>
          <w:p>
            <w:pPr>
              <w:spacing w:before="0" w:after="0" w:line="240" w:lineRule="auto"/>
              <w:jc w:val="left"/>
            </w:pPr>
            <w:r>
              <w:rPr>
                <w:sz w:val="20"/>
                <w:szCs w:val="20"/>
              </w:rPr>
              <w:t xml:space="preserve">75,220</w:t>
            </w:r>
          </w:p>
        </w:tc>
      </w:tr>
      <w:tr>
        <w:tc>
          <w:tcPr>
            <w:tcW w:w="2026" w:type="dxa"/>
            <w:vAlign w:val="top"/>
          </w:tcPr>
          <w:p>
            <w:pPr>
              <w:spacing w:before="0" w:after="0" w:line="240" w:lineRule="auto"/>
              <w:jc w:val="left"/>
            </w:pPr>
            <w:r>
              <w:rPr>
                <w:sz w:val="20"/>
                <w:szCs w:val="20"/>
              </w:rPr>
              <w:t xml:space="preserve">Sulawesi &amp; Maluku</w:t>
            </w:r>
          </w:p>
        </w:tc>
        <w:tc>
          <w:tcPr>
            <w:tcW w:w="1400" w:type="dxa"/>
            <w:vAlign w:val="top"/>
          </w:tcPr>
          <w:p>
            <w:pPr>
              <w:spacing w:before="0" w:after="0" w:line="240" w:lineRule="auto"/>
              <w:jc w:val="left"/>
            </w:pPr>
            <w:r>
              <w:rPr>
                <w:sz w:val="20"/>
                <w:szCs w:val="20"/>
              </w:rPr>
              <w:t xml:space="preserve">2</w:t>
            </w:r>
          </w:p>
        </w:tc>
        <w:tc>
          <w:tcPr>
            <w:tcW w:w="1400" w:type="dxa"/>
            <w:vAlign w:val="top"/>
          </w:tcPr>
          <w:p>
            <w:pPr>
              <w:spacing w:before="0" w:after="0" w:line="240" w:lineRule="auto"/>
              <w:jc w:val="left"/>
            </w:pPr>
            <w:r>
              <w:rPr>
                <w:sz w:val="20"/>
                <w:szCs w:val="20"/>
              </w:rPr>
              <w:t xml:space="preserve">57</w:t>
            </w:r>
          </w:p>
        </w:tc>
        <w:tc>
          <w:tcPr>
            <w:tcW w:w="1400" w:type="dxa"/>
            <w:vAlign w:val="top"/>
          </w:tcPr>
          <w:p>
            <w:pPr>
              <w:spacing w:before="0" w:after="0" w:line="240" w:lineRule="auto"/>
              <w:jc w:val="left"/>
            </w:pPr>
            <w:r>
              <w:rPr>
                <w:sz w:val="20"/>
                <w:szCs w:val="20"/>
              </w:rPr>
              <w:t xml:space="preserve">43</w:t>
            </w:r>
          </w:p>
        </w:tc>
        <w:tc>
          <w:tcPr>
            <w:tcW w:w="1400" w:type="dxa"/>
            <w:vAlign w:val="top"/>
          </w:tcPr>
          <w:p>
            <w:pPr>
              <w:spacing w:before="0" w:after="0" w:line="240" w:lineRule="auto"/>
              <w:jc w:val="left"/>
            </w:pPr>
            <w:r>
              <w:rPr>
                <w:sz w:val="20"/>
                <w:szCs w:val="20"/>
              </w:rPr>
              <w:t xml:space="preserve">551</w:t>
            </w:r>
          </w:p>
        </w:tc>
        <w:tc>
          <w:tcPr>
            <w:tcW w:w="1400" w:type="dxa"/>
            <w:vAlign w:val="top"/>
          </w:tcPr>
          <w:p>
            <w:pPr>
              <w:spacing w:before="0" w:after="0" w:line="240" w:lineRule="auto"/>
              <w:jc w:val="left"/>
            </w:pPr>
            <w:r>
              <w:rPr>
                <w:sz w:val="20"/>
                <w:szCs w:val="20"/>
              </w:rPr>
              <w:t xml:space="preserve">113,622</w:t>
            </w:r>
          </w:p>
        </w:tc>
      </w:tr>
      <w:tr>
        <w:tc>
          <w:tcPr>
            <w:tcW w:w="2026" w:type="dxa"/>
            <w:vAlign w:val="top"/>
          </w:tcPr>
          <w:p>
            <w:pPr>
              <w:spacing w:before="0" w:after="0" w:line="240" w:lineRule="auto"/>
              <w:jc w:val="left"/>
            </w:pPr>
            <w:r>
              <w:rPr>
                <w:sz w:val="20"/>
                <w:szCs w:val="20"/>
              </w:rPr>
              <w:t xml:space="preserve">Bali &amp; Nusa Tenggara</w:t>
            </w:r>
          </w:p>
        </w:tc>
        <w:tc>
          <w:tcPr>
            <w:tcW w:w="1400" w:type="dxa"/>
            <w:vAlign w:val="top"/>
          </w:tcPr>
          <w:p>
            <w:pPr>
              <w:spacing w:before="0" w:after="0" w:line="240" w:lineRule="auto"/>
              <w:jc w:val="left"/>
            </w:pPr>
            <w:r>
              <w:rPr>
                <w:sz w:val="20"/>
                <w:szCs w:val="20"/>
              </w:rPr>
              <w:t xml:space="preserve">1</w:t>
            </w:r>
          </w:p>
        </w:tc>
        <w:tc>
          <w:tcPr>
            <w:tcW w:w="1400" w:type="dxa"/>
            <w:vAlign w:val="top"/>
          </w:tcPr>
          <w:p>
            <w:pPr>
              <w:spacing w:before="0" w:after="0" w:line="240" w:lineRule="auto"/>
              <w:jc w:val="left"/>
            </w:pPr>
            <w:r>
              <w:rPr>
                <w:sz w:val="20"/>
                <w:szCs w:val="20"/>
              </w:rPr>
              <w:t xml:space="preserve">32</w:t>
            </w:r>
          </w:p>
        </w:tc>
        <w:tc>
          <w:tcPr>
            <w:tcW w:w="1400" w:type="dxa"/>
            <w:vAlign w:val="top"/>
          </w:tcPr>
          <w:p>
            <w:pPr>
              <w:spacing w:before="0" w:after="0" w:line="240" w:lineRule="auto"/>
              <w:jc w:val="left"/>
            </w:pPr>
            <w:r>
              <w:rPr>
                <w:sz w:val="20"/>
                <w:szCs w:val="20"/>
              </w:rPr>
              <w:t xml:space="preserve">26</w:t>
            </w:r>
          </w:p>
        </w:tc>
        <w:tc>
          <w:tcPr>
            <w:tcW w:w="1400" w:type="dxa"/>
            <w:vAlign w:val="top"/>
          </w:tcPr>
          <w:p>
            <w:pPr>
              <w:spacing w:before="0" w:after="0" w:line="240" w:lineRule="auto"/>
              <w:jc w:val="left"/>
            </w:pPr>
            <w:r>
              <w:rPr>
                <w:sz w:val="20"/>
                <w:szCs w:val="20"/>
              </w:rPr>
              <w:t xml:space="preserve">295</w:t>
            </w:r>
          </w:p>
        </w:tc>
        <w:tc>
          <w:tcPr>
            <w:tcW w:w="1400" w:type="dxa"/>
            <w:vAlign w:val="top"/>
          </w:tcPr>
          <w:p>
            <w:pPr>
              <w:spacing w:before="0" w:after="0" w:line="240" w:lineRule="auto"/>
              <w:jc w:val="left"/>
            </w:pPr>
            <w:r>
              <w:rPr>
                <w:sz w:val="20"/>
                <w:szCs w:val="20"/>
              </w:rPr>
              <w:t xml:space="preserve">65,007</w:t>
            </w:r>
          </w:p>
        </w:tc>
      </w:tr>
      <w:tr>
        <w:tc>
          <w:tcPr>
            <w:tcW w:w="2026" w:type="dxa"/>
            <w:vAlign w:val="top"/>
          </w:tcPr>
          <w:p>
            <w:pPr>
              <w:spacing w:before="0" w:after="0" w:line="240" w:lineRule="auto"/>
              <w:jc w:val="left"/>
            </w:pPr>
            <w:r>
              <w:rPr>
                <w:sz w:val="20"/>
                <w:szCs w:val="20"/>
              </w:rPr>
              <w:t xml:space="preserve">Papua</w:t>
            </w:r>
          </w:p>
        </w:tc>
        <w:tc>
          <w:tcPr>
            <w:tcW w:w="1400" w:type="dxa"/>
            <w:vAlign w:val="top"/>
          </w:tcPr>
          <w:p>
            <w:pPr>
              <w:spacing w:before="0" w:after="0" w:line="240" w:lineRule="auto"/>
              <w:jc w:val="left"/>
            </w:pPr>
            <w:r>
              <w:rPr>
                <w:sz w:val="20"/>
                <w:szCs w:val="20"/>
              </w:rPr>
              <w:t xml:space="preserve">1</w:t>
            </w:r>
          </w:p>
        </w:tc>
        <w:tc>
          <w:tcPr>
            <w:tcW w:w="1400" w:type="dxa"/>
            <w:vAlign w:val="top"/>
          </w:tcPr>
          <w:p>
            <w:pPr>
              <w:spacing w:before="0" w:after="0" w:line="240" w:lineRule="auto"/>
              <w:jc w:val="left"/>
            </w:pPr>
            <w:r>
              <w:rPr>
                <w:sz w:val="20"/>
                <w:szCs w:val="20"/>
              </w:rPr>
              <w:t xml:space="preserve">13</w:t>
            </w:r>
          </w:p>
        </w:tc>
        <w:tc>
          <w:tcPr>
            <w:tcW w:w="1400" w:type="dxa"/>
            <w:vAlign w:val="top"/>
          </w:tcPr>
          <w:p>
            <w:pPr>
              <w:spacing w:before="0" w:after="0" w:line="240" w:lineRule="auto"/>
              <w:jc w:val="left"/>
            </w:pPr>
            <w:r>
              <w:rPr>
                <w:sz w:val="20"/>
                <w:szCs w:val="20"/>
              </w:rPr>
              <w:t xml:space="preserve">13</w:t>
            </w:r>
          </w:p>
        </w:tc>
        <w:tc>
          <w:tcPr>
            <w:tcW w:w="1400" w:type="dxa"/>
            <w:vAlign w:val="top"/>
          </w:tcPr>
          <w:p>
            <w:pPr>
              <w:spacing w:before="0" w:after="0" w:line="240" w:lineRule="auto"/>
              <w:jc w:val="left"/>
            </w:pPr>
            <w:r>
              <w:rPr>
                <w:sz w:val="20"/>
                <w:szCs w:val="20"/>
              </w:rPr>
              <w:t xml:space="preserve">88</w:t>
            </w:r>
          </w:p>
        </w:tc>
        <w:tc>
          <w:tcPr>
            <w:tcW w:w="1400" w:type="dxa"/>
            <w:vAlign w:val="top"/>
          </w:tcPr>
          <w:p>
            <w:pPr>
              <w:spacing w:before="0" w:after="0" w:line="240" w:lineRule="auto"/>
              <w:jc w:val="left"/>
            </w:pPr>
            <w:r>
              <w:rPr>
                <w:sz w:val="20"/>
                <w:szCs w:val="20"/>
              </w:rPr>
              <w:t xml:space="preserve">13,630</w:t>
            </w:r>
          </w:p>
        </w:tc>
      </w:tr>
      <w:tr>
        <w:tc>
          <w:tcPr>
            <w:tcW w:w="2026" w:type="dxa"/>
            <w:vAlign w:val="top"/>
          </w:tcPr>
          <w:p>
            <w:pPr>
              <w:spacing w:before="0" w:after="0" w:line="240" w:lineRule="auto"/>
              <w:jc w:val="left"/>
            </w:pPr>
            <w:r>
              <w:rPr>
                <w:sz w:val="20"/>
                <w:szCs w:val="20"/>
              </w:rPr>
              <w:t xml:space="preserve">Total</w:t>
            </w:r>
          </w:p>
        </w:tc>
        <w:tc>
          <w:tcPr>
            <w:tcW w:w="1400" w:type="dxa"/>
            <w:vAlign w:val="top"/>
          </w:tcPr>
          <w:p>
            <w:pPr>
              <w:spacing w:before="0" w:after="0" w:line="240" w:lineRule="auto"/>
              <w:jc w:val="left"/>
            </w:pPr>
            <w:r>
              <w:rPr>
                <w:sz w:val="20"/>
                <w:szCs w:val="20"/>
              </w:rPr>
              <w:t xml:space="preserve">18</w:t>
            </w:r>
          </w:p>
        </w:tc>
        <w:tc>
          <w:tcPr>
            <w:tcW w:w="1400" w:type="dxa"/>
            <w:vAlign w:val="top"/>
          </w:tcPr>
          <w:p>
            <w:pPr>
              <w:spacing w:before="0" w:after="0" w:line="240" w:lineRule="auto"/>
              <w:jc w:val="left"/>
            </w:pPr>
            <w:r>
              <w:rPr>
                <w:sz w:val="20"/>
                <w:szCs w:val="20"/>
              </w:rPr>
              <w:t xml:space="preserve">508</w:t>
            </w:r>
          </w:p>
        </w:tc>
        <w:tc>
          <w:tcPr>
            <w:tcW w:w="1400" w:type="dxa"/>
            <w:vAlign w:val="top"/>
          </w:tcPr>
          <w:p>
            <w:pPr>
              <w:spacing w:before="0" w:after="0" w:line="240" w:lineRule="auto"/>
              <w:jc w:val="left"/>
            </w:pPr>
            <w:r>
              <w:rPr>
                <w:sz w:val="20"/>
                <w:szCs w:val="20"/>
              </w:rPr>
              <w:t xml:space="preserve">555</w:t>
            </w:r>
          </w:p>
        </w:tc>
        <w:tc>
          <w:tcPr>
            <w:tcW w:w="1400" w:type="dxa"/>
            <w:vAlign w:val="top"/>
          </w:tcPr>
          <w:p>
            <w:pPr>
              <w:spacing w:before="0" w:after="0" w:line="240" w:lineRule="auto"/>
              <w:jc w:val="left"/>
            </w:pPr>
            <w:r>
              <w:rPr>
                <w:sz w:val="20"/>
                <w:szCs w:val="20"/>
              </w:rPr>
              <w:t xml:space="preserve">5,082</w:t>
            </w:r>
          </w:p>
        </w:tc>
        <w:tc>
          <w:tcPr>
            <w:tcW w:w="1400" w:type="dxa"/>
            <w:vAlign w:val="top"/>
          </w:tcPr>
          <w:p>
            <w:pPr>
              <w:spacing w:before="0" w:after="0" w:line="240" w:lineRule="auto"/>
              <w:jc w:val="left"/>
            </w:pPr>
            <w:r>
              <w:rPr>
                <w:sz w:val="20"/>
                <w:szCs w:val="20"/>
              </w:rPr>
              <w:t xml:space="preserve">1,193,835</w:t>
            </w:r>
          </w:p>
        </w:tc>
      </w:tr>
    </w:tbl>
    <w:p>
      <w:pPr>
        <w:spacing w:before="0" w:after="60" w:line="240" w:lineRule="auto"/>
        <w:jc w:val="both"/>
      </w:pPr>
    </w:p>
    <w:p>
      <w:pPr>
        <w:spacing w:before="0" w:after="120" w:line="360" w:lineRule="auto"/>
        <w:jc w:val="both"/>
      </w:pPr>
      <w:r>
        <w:rPr>
          <w:sz w:val="24"/>
          <w:szCs w:val="24"/>
        </w:rPr>
        <w:t xml:space="preserve">Through ten main subsidiaries, the BRI Group also provides services beyond banking, as listed in Table 2.3.</w:t>
      </w:r>
    </w:p>
    <w:p>
      <w:pPr>
        <w:keepNext w:val="1"/>
        <w:spacing w:before="120" w:after="60" w:line="240" w:lineRule="auto"/>
        <w:jc w:val="center"/>
      </w:pPr>
      <w:r>
        <w:rPr>
          <w:b w:val="1"/>
          <w:sz w:val="20"/>
          <w:szCs w:val="20"/>
        </w:rPr>
        <w:t xml:space="preserve">Table 2.3 BRI subsidiaries</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4513"/>
        <w:gridCol w:w="4513"/>
      </w:tblGrid>
      <w:tr>
        <w:trPr>
          <w:tblHeader w:val="1"/>
        </w:trPr>
        <w:tc>
          <w:tcPr>
            <w:tcW w:w="4513" w:type="dxa"/>
            <w:shd w:val="clear" w:color="auto" w:fill="D9D9D9"/>
            <w:vAlign w:val="top"/>
          </w:tcPr>
          <w:p>
            <w:pPr>
              <w:spacing w:before="0" w:after="0" w:line="240" w:lineRule="auto"/>
              <w:jc w:val="left"/>
            </w:pPr>
            <w:r>
              <w:rPr>
                <w:b w:val="1"/>
                <w:sz w:val="20"/>
                <w:szCs w:val="20"/>
              </w:rPr>
              <w:t xml:space="preserve">Subsidiary</w:t>
            </w:r>
          </w:p>
        </w:tc>
        <w:tc>
          <w:tcPr>
            <w:tcW w:w="4513" w:type="dxa"/>
            <w:shd w:val="clear" w:color="auto" w:fill="D9D9D9"/>
            <w:vAlign w:val="top"/>
          </w:tcPr>
          <w:p>
            <w:pPr>
              <w:spacing w:before="0" w:after="0" w:line="240" w:lineRule="auto"/>
              <w:jc w:val="left"/>
            </w:pPr>
            <w:r>
              <w:rPr>
                <w:b w:val="1"/>
                <w:sz w:val="20"/>
                <w:szCs w:val="20"/>
              </w:rPr>
              <w:t xml:space="preserve">Business</w:t>
            </w:r>
          </w:p>
        </w:tc>
      </w:tr>
      <w:tr>
        <w:tc>
          <w:tcPr>
            <w:tcW w:w="4513" w:type="dxa"/>
            <w:vAlign w:val="top"/>
          </w:tcPr>
          <w:p>
            <w:pPr>
              <w:spacing w:before="0" w:after="0" w:line="240" w:lineRule="auto"/>
              <w:jc w:val="left"/>
            </w:pPr>
            <w:r>
              <w:rPr>
                <w:sz w:val="20"/>
                <w:szCs w:val="20"/>
              </w:rPr>
              <w:t xml:space="preserve">PT Bank Raya Indonesia Tbk</w:t>
            </w:r>
          </w:p>
        </w:tc>
        <w:tc>
          <w:tcPr>
            <w:tcW w:w="4513" w:type="dxa"/>
            <w:vAlign w:val="top"/>
          </w:tcPr>
          <w:p>
            <w:pPr>
              <w:spacing w:before="0" w:after="0" w:line="240" w:lineRule="auto"/>
              <w:jc w:val="left"/>
            </w:pPr>
            <w:r>
              <w:rPr>
                <w:sz w:val="20"/>
                <w:szCs w:val="20"/>
              </w:rPr>
              <w:t xml:space="preserve">Digital banking</w:t>
            </w:r>
          </w:p>
        </w:tc>
      </w:tr>
      <w:tr>
        <w:tc>
          <w:tcPr>
            <w:tcW w:w="4513" w:type="dxa"/>
            <w:vAlign w:val="top"/>
          </w:tcPr>
          <w:p>
            <w:pPr>
              <w:spacing w:before="0" w:after="0" w:line="240" w:lineRule="auto"/>
              <w:jc w:val="left"/>
            </w:pPr>
            <w:r>
              <w:rPr>
                <w:sz w:val="20"/>
                <w:szCs w:val="20"/>
              </w:rPr>
              <w:t xml:space="preserve">BRI Global Financial Services Ltd</w:t>
            </w:r>
          </w:p>
        </w:tc>
        <w:tc>
          <w:tcPr>
            <w:tcW w:w="4513" w:type="dxa"/>
            <w:vAlign w:val="top"/>
          </w:tcPr>
          <w:p>
            <w:pPr>
              <w:spacing w:before="0" w:after="0" w:line="240" w:lineRule="auto"/>
              <w:jc w:val="left"/>
            </w:pPr>
            <w:r>
              <w:rPr>
                <w:sz w:val="20"/>
                <w:szCs w:val="20"/>
              </w:rPr>
              <w:t xml:space="preserve">Remittance and financing</w:t>
            </w:r>
          </w:p>
        </w:tc>
      </w:tr>
      <w:tr>
        <w:tc>
          <w:tcPr>
            <w:tcW w:w="4513" w:type="dxa"/>
            <w:vAlign w:val="top"/>
          </w:tcPr>
          <w:p>
            <w:pPr>
              <w:spacing w:before="0" w:after="0" w:line="240" w:lineRule="auto"/>
              <w:jc w:val="left"/>
            </w:pPr>
            <w:r>
              <w:rPr>
                <w:sz w:val="20"/>
                <w:szCs w:val="20"/>
              </w:rPr>
              <w:t xml:space="preserve">PT Asuransi BRI Life</w:t>
            </w:r>
          </w:p>
        </w:tc>
        <w:tc>
          <w:tcPr>
            <w:tcW w:w="4513" w:type="dxa"/>
            <w:vAlign w:val="top"/>
          </w:tcPr>
          <w:p>
            <w:pPr>
              <w:spacing w:before="0" w:after="0" w:line="240" w:lineRule="auto"/>
              <w:jc w:val="left"/>
            </w:pPr>
            <w:r>
              <w:rPr>
                <w:sz w:val="20"/>
                <w:szCs w:val="20"/>
              </w:rPr>
              <w:t xml:space="preserve">Life insurance</w:t>
            </w:r>
          </w:p>
        </w:tc>
      </w:tr>
      <w:tr>
        <w:tc>
          <w:tcPr>
            <w:tcW w:w="4513" w:type="dxa"/>
            <w:vAlign w:val="top"/>
          </w:tcPr>
          <w:p>
            <w:pPr>
              <w:spacing w:before="0" w:after="0" w:line="240" w:lineRule="auto"/>
              <w:jc w:val="left"/>
            </w:pPr>
            <w:r>
              <w:rPr>
                <w:sz w:val="20"/>
                <w:szCs w:val="20"/>
              </w:rPr>
              <w:t xml:space="preserve">PT BRI Multifinance Indonesia (BRI Finance)</w:t>
            </w:r>
          </w:p>
        </w:tc>
        <w:tc>
          <w:tcPr>
            <w:tcW w:w="4513" w:type="dxa"/>
            <w:vAlign w:val="top"/>
          </w:tcPr>
          <w:p>
            <w:pPr>
              <w:spacing w:before="0" w:after="0" w:line="240" w:lineRule="auto"/>
              <w:jc w:val="left"/>
            </w:pPr>
            <w:r>
              <w:rPr>
                <w:sz w:val="20"/>
                <w:szCs w:val="20"/>
              </w:rPr>
              <w:t xml:space="preserve">Financing</w:t>
            </w:r>
          </w:p>
        </w:tc>
      </w:tr>
      <w:tr>
        <w:tc>
          <w:tcPr>
            <w:tcW w:w="4513" w:type="dxa"/>
            <w:vAlign w:val="top"/>
          </w:tcPr>
          <w:p>
            <w:pPr>
              <w:spacing w:before="0" w:after="0" w:line="240" w:lineRule="auto"/>
              <w:jc w:val="left"/>
            </w:pPr>
            <w:r>
              <w:rPr>
                <w:sz w:val="20"/>
                <w:szCs w:val="20"/>
              </w:rPr>
              <w:t xml:space="preserve">PT BRI Danareksa Sekuritas</w:t>
            </w:r>
          </w:p>
        </w:tc>
        <w:tc>
          <w:tcPr>
            <w:tcW w:w="4513" w:type="dxa"/>
            <w:vAlign w:val="top"/>
          </w:tcPr>
          <w:p>
            <w:pPr>
              <w:spacing w:before="0" w:after="0" w:line="240" w:lineRule="auto"/>
              <w:jc w:val="left"/>
            </w:pPr>
            <w:r>
              <w:rPr>
                <w:sz w:val="20"/>
                <w:szCs w:val="20"/>
              </w:rPr>
              <w:t xml:space="preserve">Securities services</w:t>
            </w:r>
          </w:p>
        </w:tc>
      </w:tr>
      <w:tr>
        <w:tc>
          <w:tcPr>
            <w:tcW w:w="4513" w:type="dxa"/>
            <w:vAlign w:val="top"/>
          </w:tcPr>
          <w:p>
            <w:pPr>
              <w:spacing w:before="0" w:after="0" w:line="240" w:lineRule="auto"/>
              <w:jc w:val="left"/>
            </w:pPr>
            <w:r>
              <w:rPr>
                <w:sz w:val="20"/>
                <w:szCs w:val="20"/>
              </w:rPr>
              <w:t xml:space="preserve">PT BRI Ventura Investama (BRI Ventures)</w:t>
            </w:r>
          </w:p>
        </w:tc>
        <w:tc>
          <w:tcPr>
            <w:tcW w:w="4513" w:type="dxa"/>
            <w:vAlign w:val="top"/>
          </w:tcPr>
          <w:p>
            <w:pPr>
              <w:spacing w:before="0" w:after="0" w:line="240" w:lineRule="auto"/>
              <w:jc w:val="left"/>
            </w:pPr>
            <w:r>
              <w:rPr>
                <w:sz w:val="20"/>
                <w:szCs w:val="20"/>
              </w:rPr>
              <w:t xml:space="preserve">Venture capital</w:t>
            </w:r>
          </w:p>
        </w:tc>
      </w:tr>
      <w:tr>
        <w:tc>
          <w:tcPr>
            <w:tcW w:w="4513" w:type="dxa"/>
            <w:vAlign w:val="top"/>
          </w:tcPr>
          <w:p>
            <w:pPr>
              <w:spacing w:before="0" w:after="0" w:line="240" w:lineRule="auto"/>
              <w:jc w:val="left"/>
            </w:pPr>
            <w:r>
              <w:rPr>
                <w:sz w:val="20"/>
                <w:szCs w:val="20"/>
              </w:rPr>
              <w:t xml:space="preserve">PT BRI Asuransi Indonesia (BRI Insurance)</w:t>
            </w:r>
          </w:p>
        </w:tc>
        <w:tc>
          <w:tcPr>
            <w:tcW w:w="4513" w:type="dxa"/>
            <w:vAlign w:val="top"/>
          </w:tcPr>
          <w:p>
            <w:pPr>
              <w:spacing w:before="0" w:after="0" w:line="240" w:lineRule="auto"/>
              <w:jc w:val="left"/>
            </w:pPr>
            <w:r>
              <w:rPr>
                <w:sz w:val="20"/>
                <w:szCs w:val="20"/>
              </w:rPr>
              <w:t xml:space="preserve">General insurance</w:t>
            </w:r>
          </w:p>
        </w:tc>
      </w:tr>
      <w:tr>
        <w:tc>
          <w:tcPr>
            <w:tcW w:w="4513" w:type="dxa"/>
            <w:vAlign w:val="top"/>
          </w:tcPr>
          <w:p>
            <w:pPr>
              <w:spacing w:before="0" w:after="0" w:line="240" w:lineRule="auto"/>
              <w:jc w:val="left"/>
            </w:pPr>
            <w:r>
              <w:rPr>
                <w:sz w:val="20"/>
                <w:szCs w:val="20"/>
              </w:rPr>
              <w:t xml:space="preserve">PT Pegadaian</w:t>
            </w:r>
          </w:p>
        </w:tc>
        <w:tc>
          <w:tcPr>
            <w:tcW w:w="4513" w:type="dxa"/>
            <w:vAlign w:val="top"/>
          </w:tcPr>
          <w:p>
            <w:pPr>
              <w:spacing w:before="0" w:after="0" w:line="240" w:lineRule="auto"/>
              <w:jc w:val="left"/>
            </w:pPr>
            <w:r>
              <w:rPr>
                <w:sz w:val="20"/>
                <w:szCs w:val="20"/>
              </w:rPr>
              <w:t xml:space="preserve">Pawn-based and other financing</w:t>
            </w:r>
          </w:p>
        </w:tc>
      </w:tr>
      <w:tr>
        <w:tc>
          <w:tcPr>
            <w:tcW w:w="4513" w:type="dxa"/>
            <w:vAlign w:val="top"/>
          </w:tcPr>
          <w:p>
            <w:pPr>
              <w:spacing w:before="0" w:after="0" w:line="240" w:lineRule="auto"/>
              <w:jc w:val="left"/>
            </w:pPr>
            <w:r>
              <w:rPr>
                <w:sz w:val="20"/>
                <w:szCs w:val="20"/>
              </w:rPr>
              <w:t xml:space="preserve">PT Permodalan Nasional Madani (PNM)</w:t>
            </w:r>
          </w:p>
        </w:tc>
        <w:tc>
          <w:tcPr>
            <w:tcW w:w="4513" w:type="dxa"/>
            <w:vAlign w:val="top"/>
          </w:tcPr>
          <w:p>
            <w:pPr>
              <w:spacing w:before="0" w:after="0" w:line="240" w:lineRule="auto"/>
              <w:jc w:val="left"/>
            </w:pPr>
            <w:r>
              <w:rPr>
                <w:sz w:val="20"/>
                <w:szCs w:val="20"/>
              </w:rPr>
              <w:t xml:space="preserve">Financing and mentoring for micro enterprises</w:t>
            </w:r>
          </w:p>
        </w:tc>
      </w:tr>
      <w:tr>
        <w:tc>
          <w:tcPr>
            <w:tcW w:w="4513" w:type="dxa"/>
            <w:vAlign w:val="top"/>
          </w:tcPr>
          <w:p>
            <w:pPr>
              <w:spacing w:before="0" w:after="0" w:line="240" w:lineRule="auto"/>
              <w:jc w:val="left"/>
            </w:pPr>
            <w:r>
              <w:rPr>
                <w:sz w:val="20"/>
                <w:szCs w:val="20"/>
              </w:rPr>
              <w:t xml:space="preserve">PT BRI Manajemen Investasi</w:t>
            </w:r>
          </w:p>
        </w:tc>
        <w:tc>
          <w:tcPr>
            <w:tcW w:w="4513" w:type="dxa"/>
            <w:vAlign w:val="top"/>
          </w:tcPr>
          <w:p>
            <w:pPr>
              <w:spacing w:before="0" w:after="0" w:line="240" w:lineRule="auto"/>
              <w:jc w:val="left"/>
            </w:pPr>
            <w:r>
              <w:rPr>
                <w:sz w:val="20"/>
                <w:szCs w:val="20"/>
              </w:rPr>
              <w:t xml:space="preserve">Investment management</w:t>
            </w:r>
          </w:p>
        </w:tc>
      </w:tr>
    </w:tbl>
    <w:p>
      <w:pPr>
        <w:spacing w:before="0" w:after="60" w:line="240" w:lineRule="auto"/>
        <w:jc w:val="both"/>
      </w:pPr>
    </w:p>
    <w:p>
      <w:pPr>
        <w:keepNext w:val="1"/>
        <w:spacing w:before="240" w:after="120" w:line="360" w:lineRule="auto"/>
        <w:jc w:val="left"/>
      </w:pPr>
      <w:r>
        <w:rPr>
          <w:b w:val="1"/>
          <w:sz w:val="24"/>
          <w:szCs w:val="24"/>
        </w:rPr>
        <w:t xml:space="preserve">2.3 Vision, Strategy, and Corporate Values</w:t>
      </w:r>
    </w:p>
    <w:p>
      <w:pPr>
        <w:spacing w:before="0" w:after="120" w:line="360" w:lineRule="auto"/>
        <w:jc w:val="both"/>
      </w:pPr>
      <w:r>
        <w:rPr>
          <w:b w:val="1"/>
          <w:sz w:val="24"/>
          <w:szCs w:val="24"/>
        </w:rPr>
        <w:t xml:space="preserve">Vision. </w:t>
      </w:r>
      <w:r>
        <w:rPr>
          <w:sz w:val="24"/>
          <w:szCs w:val="24"/>
        </w:rPr>
        <w:t xml:space="preserve">"Deliver Sustainable Values and Integrated Solutions to Achieve Indonesia's Aspiration."</w:t>
      </w:r>
    </w:p>
    <w:p>
      <w:pPr>
        <w:spacing w:before="0" w:after="120" w:line="360" w:lineRule="auto"/>
        <w:jc w:val="both"/>
      </w:pPr>
      <w:r>
        <w:rPr>
          <w:sz w:val="24"/>
          <w:szCs w:val="24"/>
        </w:rPr>
        <w:t xml:space="preserve">BRI pursues this vision through its transformation programme, BRIvolution Reignite, under the positioning "One Bank for All": an inclusive universal bank serving every segment of Indonesian society. The programme rests on two main pillars, Transform the Funding Franchise, and Revamp Existing Core and Build New Core. These are supported by six enablers: Human Capital, Risk Management, IT &amp; Digital, Distribution, Operational Excellence, and Rebranding. In practice, this means growing low-cost funding and transaction banking, strengthening the micro segment as the core business, building new income sources in the consumer segment, and improving digital capability, risk management, and human resources.</w:t>
      </w:r>
    </w:p>
    <w:p>
      <w:pPr>
        <w:spacing w:before="0" w:after="120" w:line="360" w:lineRule="auto"/>
        <w:jc w:val="both"/>
      </w:pPr>
      <w:r>
        <w:rPr>
          <w:sz w:val="24"/>
          <w:szCs w:val="24"/>
        </w:rPr>
        <w:t xml:space="preserve">On 14 July 2025, BRI adopted the BRILiaN Way as its corporate culture. It sets out five core values that guide the behaviour of every employee, shown in Table 2.4.</w:t>
      </w:r>
    </w:p>
    <w:p>
      <w:pPr>
        <w:keepNext w:val="1"/>
        <w:spacing w:before="120" w:after="60" w:line="240" w:lineRule="auto"/>
        <w:jc w:val="center"/>
      </w:pPr>
      <w:r>
        <w:rPr>
          <w:b w:val="1"/>
          <w:sz w:val="20"/>
          <w:szCs w:val="20"/>
        </w:rPr>
        <w:t xml:space="preserve">Table 2.4 BRI core values (the BRILiaN Way)</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2400"/>
        <w:gridCol w:w="6626"/>
      </w:tblGrid>
      <w:tr>
        <w:trPr>
          <w:tblHeader w:val="1"/>
        </w:trPr>
        <w:tc>
          <w:tcPr>
            <w:tcW w:w="2400" w:type="dxa"/>
            <w:shd w:val="clear" w:color="auto" w:fill="D9D9D9"/>
            <w:vAlign w:val="top"/>
          </w:tcPr>
          <w:p>
            <w:pPr>
              <w:spacing w:before="0" w:after="0" w:line="240" w:lineRule="auto"/>
              <w:jc w:val="left"/>
            </w:pPr>
            <w:r>
              <w:rPr>
                <w:b w:val="1"/>
                <w:sz w:val="20"/>
                <w:szCs w:val="20"/>
              </w:rPr>
              <w:t xml:space="preserve">Core value</w:t>
            </w:r>
          </w:p>
        </w:tc>
        <w:tc>
          <w:tcPr>
            <w:tcW w:w="6626" w:type="dxa"/>
            <w:shd w:val="clear" w:color="auto" w:fill="D9D9D9"/>
            <w:vAlign w:val="top"/>
          </w:tcPr>
          <w:p>
            <w:pPr>
              <w:spacing w:before="0" w:after="0" w:line="240" w:lineRule="auto"/>
              <w:jc w:val="left"/>
            </w:pPr>
            <w:r>
              <w:rPr>
                <w:b w:val="1"/>
                <w:sz w:val="20"/>
                <w:szCs w:val="20"/>
              </w:rPr>
              <w:t xml:space="preserve">Definition</w:t>
            </w:r>
          </w:p>
        </w:tc>
      </w:tr>
      <w:tr>
        <w:tc>
          <w:tcPr>
            <w:tcW w:w="2400" w:type="dxa"/>
            <w:vAlign w:val="top"/>
          </w:tcPr>
          <w:p>
            <w:pPr>
              <w:spacing w:before="0" w:after="0" w:line="240" w:lineRule="auto"/>
              <w:jc w:val="left"/>
            </w:pPr>
            <w:r>
              <w:rPr>
                <w:sz w:val="20"/>
                <w:szCs w:val="20"/>
              </w:rPr>
              <w:t xml:space="preserve">Integrity</w:t>
            </w:r>
          </w:p>
        </w:tc>
        <w:tc>
          <w:tcPr>
            <w:tcW w:w="6626" w:type="dxa"/>
            <w:vAlign w:val="top"/>
          </w:tcPr>
          <w:p>
            <w:pPr>
              <w:spacing w:before="0" w:after="0" w:line="240" w:lineRule="auto"/>
              <w:jc w:val="left"/>
            </w:pPr>
            <w:r>
              <w:rPr>
                <w:sz w:val="20"/>
                <w:szCs w:val="20"/>
              </w:rPr>
              <w:t xml:space="preserve">Upholding professionalism, ethics, and honesty by considering risks in every action.</w:t>
            </w:r>
          </w:p>
        </w:tc>
      </w:tr>
      <w:tr>
        <w:tc>
          <w:tcPr>
            <w:tcW w:w="2400" w:type="dxa"/>
            <w:vAlign w:val="top"/>
          </w:tcPr>
          <w:p>
            <w:pPr>
              <w:spacing w:before="0" w:after="0" w:line="240" w:lineRule="auto"/>
              <w:jc w:val="left"/>
            </w:pPr>
            <w:r>
              <w:rPr>
                <w:sz w:val="20"/>
                <w:szCs w:val="20"/>
              </w:rPr>
              <w:t xml:space="preserve">Collaboration</w:t>
            </w:r>
          </w:p>
        </w:tc>
        <w:tc>
          <w:tcPr>
            <w:tcW w:w="6626" w:type="dxa"/>
            <w:vAlign w:val="top"/>
          </w:tcPr>
          <w:p>
            <w:pPr>
              <w:spacing w:before="0" w:after="0" w:line="240" w:lineRule="auto"/>
              <w:jc w:val="left"/>
            </w:pPr>
            <w:r>
              <w:rPr>
                <w:sz w:val="20"/>
                <w:szCs w:val="20"/>
              </w:rPr>
              <w:t xml:space="preserve">Working in synergy and contributing actively to achieve shared objectives.</w:t>
            </w:r>
          </w:p>
        </w:tc>
      </w:tr>
      <w:tr>
        <w:tc>
          <w:tcPr>
            <w:tcW w:w="2400" w:type="dxa"/>
            <w:vAlign w:val="top"/>
          </w:tcPr>
          <w:p>
            <w:pPr>
              <w:spacing w:before="0" w:after="0" w:line="240" w:lineRule="auto"/>
              <w:jc w:val="left"/>
            </w:pPr>
            <w:r>
              <w:rPr>
                <w:sz w:val="20"/>
                <w:szCs w:val="20"/>
              </w:rPr>
              <w:t xml:space="preserve">Accountability</w:t>
            </w:r>
          </w:p>
        </w:tc>
        <w:tc>
          <w:tcPr>
            <w:tcW w:w="6626" w:type="dxa"/>
            <w:vAlign w:val="top"/>
          </w:tcPr>
          <w:p>
            <w:pPr>
              <w:spacing w:before="0" w:after="0" w:line="240" w:lineRule="auto"/>
              <w:jc w:val="left"/>
            </w:pPr>
            <w:r>
              <w:rPr>
                <w:sz w:val="20"/>
                <w:szCs w:val="20"/>
              </w:rPr>
              <w:t xml:space="preserve">Taking full responsibility for people development and exercising disciplined execution to achieve optimal results.</w:t>
            </w:r>
          </w:p>
        </w:tc>
      </w:tr>
      <w:tr>
        <w:tc>
          <w:tcPr>
            <w:tcW w:w="2400" w:type="dxa"/>
            <w:vAlign w:val="top"/>
          </w:tcPr>
          <w:p>
            <w:pPr>
              <w:spacing w:before="0" w:after="0" w:line="240" w:lineRule="auto"/>
              <w:jc w:val="left"/>
            </w:pPr>
            <w:r>
              <w:rPr>
                <w:sz w:val="20"/>
                <w:szCs w:val="20"/>
              </w:rPr>
              <w:t xml:space="preserve">Growth Mindset</w:t>
            </w:r>
          </w:p>
        </w:tc>
        <w:tc>
          <w:tcPr>
            <w:tcW w:w="6626" w:type="dxa"/>
            <w:vAlign w:val="top"/>
          </w:tcPr>
          <w:p>
            <w:pPr>
              <w:spacing w:before="0" w:after="0" w:line="240" w:lineRule="auto"/>
              <w:jc w:val="left"/>
            </w:pPr>
            <w:r>
              <w:rPr>
                <w:sz w:val="20"/>
                <w:szCs w:val="20"/>
              </w:rPr>
              <w:t xml:space="preserve">Being adaptive, innovative, and open to continuous learning through every stage of change.</w:t>
            </w:r>
          </w:p>
        </w:tc>
      </w:tr>
      <w:tr>
        <w:tc>
          <w:tcPr>
            <w:tcW w:w="2400" w:type="dxa"/>
            <w:vAlign w:val="top"/>
          </w:tcPr>
          <w:p>
            <w:pPr>
              <w:spacing w:before="0" w:after="0" w:line="240" w:lineRule="auto"/>
              <w:jc w:val="left"/>
            </w:pPr>
            <w:r>
              <w:rPr>
                <w:sz w:val="20"/>
                <w:szCs w:val="20"/>
              </w:rPr>
              <w:t xml:space="preserve">Customer Focus</w:t>
            </w:r>
          </w:p>
        </w:tc>
        <w:tc>
          <w:tcPr>
            <w:tcW w:w="6626" w:type="dxa"/>
            <w:vAlign w:val="top"/>
          </w:tcPr>
          <w:p>
            <w:pPr>
              <w:spacing w:before="0" w:after="0" w:line="240" w:lineRule="auto"/>
              <w:jc w:val="left"/>
            </w:pPr>
            <w:r>
              <w:rPr>
                <w:sz w:val="20"/>
                <w:szCs w:val="20"/>
              </w:rPr>
              <w:t xml:space="preserve">Delivering empathetic services and solutions aligned with customer needs.</w:t>
            </w:r>
          </w:p>
        </w:tc>
      </w:tr>
    </w:tbl>
    <w:p>
      <w:pPr>
        <w:spacing w:before="0" w:after="60" w:line="240" w:lineRule="auto"/>
        <w:jc w:val="both"/>
      </w:pPr>
    </w:p>
    <w:p>
      <w:pPr>
        <w:keepNext w:val="1"/>
        <w:spacing w:before="240" w:after="120" w:line="360" w:lineRule="auto"/>
        <w:jc w:val="left"/>
      </w:pPr>
      <w:r>
        <w:rPr>
          <w:b w:val="1"/>
          <w:sz w:val="24"/>
          <w:szCs w:val="24"/>
        </w:rPr>
        <w:t xml:space="preserve">2.4 Company History</w:t>
      </w:r>
    </w:p>
    <w:p>
      <w:pPr>
        <w:spacing w:before="0" w:after="120" w:line="360" w:lineRule="auto"/>
        <w:jc w:val="both"/>
      </w:pPr>
      <w:r>
        <w:rPr>
          <w:sz w:val="24"/>
          <w:szCs w:val="24"/>
        </w:rPr>
        <w:t xml:space="preserve">BRI began in 1895 as De Poerwokertosche Hulp en Spaarbank der Inlandsche Hoofden, a savings and loan bank in Purwokerto intended to serve Indonesian people. Since then it has gone through several changes of name and legal status. Table 2.5 lists the main milestones.</w:t>
      </w:r>
    </w:p>
    <w:p>
      <w:pPr>
        <w:keepNext w:val="1"/>
        <w:spacing w:before="120" w:after="60" w:line="240" w:lineRule="auto"/>
        <w:jc w:val="center"/>
      </w:pPr>
      <w:r>
        <w:rPr>
          <w:b w:val="1"/>
          <w:sz w:val="20"/>
          <w:szCs w:val="20"/>
        </w:rPr>
        <w:t xml:space="preserve">Table 2.5 Milestones in BRI's history</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1600"/>
        <w:gridCol w:w="7426"/>
      </w:tblGrid>
      <w:tr>
        <w:trPr>
          <w:tblHeader w:val="1"/>
        </w:trPr>
        <w:tc>
          <w:tcPr>
            <w:tcW w:w="1600" w:type="dxa"/>
            <w:shd w:val="clear" w:color="auto" w:fill="D9D9D9"/>
            <w:vAlign w:val="top"/>
          </w:tcPr>
          <w:p>
            <w:pPr>
              <w:spacing w:before="0" w:after="0" w:line="240" w:lineRule="auto"/>
              <w:jc w:val="left"/>
            </w:pPr>
            <w:r>
              <w:rPr>
                <w:b w:val="1"/>
                <w:sz w:val="20"/>
                <w:szCs w:val="20"/>
              </w:rPr>
              <w:t xml:space="preserve">Year</w:t>
            </w:r>
          </w:p>
        </w:tc>
        <w:tc>
          <w:tcPr>
            <w:tcW w:w="7426" w:type="dxa"/>
            <w:shd w:val="clear" w:color="auto" w:fill="D9D9D9"/>
            <w:vAlign w:val="top"/>
          </w:tcPr>
          <w:p>
            <w:pPr>
              <w:spacing w:before="0" w:after="0" w:line="240" w:lineRule="auto"/>
              <w:jc w:val="left"/>
            </w:pPr>
            <w:r>
              <w:rPr>
                <w:b w:val="1"/>
                <w:sz w:val="20"/>
                <w:szCs w:val="20"/>
              </w:rPr>
              <w:t xml:space="preserve">Milestone</w:t>
            </w:r>
          </w:p>
        </w:tc>
      </w:tr>
      <w:tr>
        <w:tc>
          <w:tcPr>
            <w:tcW w:w="1600" w:type="dxa"/>
            <w:vAlign w:val="top"/>
          </w:tcPr>
          <w:p>
            <w:pPr>
              <w:spacing w:before="0" w:after="0" w:line="240" w:lineRule="auto"/>
              <w:jc w:val="left"/>
            </w:pPr>
            <w:r>
              <w:rPr>
                <w:sz w:val="20"/>
                <w:szCs w:val="20"/>
              </w:rPr>
              <w:t xml:space="preserve">1895</w:t>
            </w:r>
          </w:p>
        </w:tc>
        <w:tc>
          <w:tcPr>
            <w:tcW w:w="7426" w:type="dxa"/>
            <w:vAlign w:val="top"/>
          </w:tcPr>
          <w:p>
            <w:pPr>
              <w:spacing w:before="0" w:after="0" w:line="240" w:lineRule="auto"/>
              <w:jc w:val="left"/>
            </w:pPr>
            <w:r>
              <w:rPr>
                <w:sz w:val="20"/>
                <w:szCs w:val="20"/>
              </w:rPr>
              <w:t xml:space="preserve">Established on 16 December in Purwokerto, Central Java, by Raden Bei Aria Wirjaatmadja as De Poerwokertosche Hulp en Spaarbank der Inlandsche Hoofden.</w:t>
            </w:r>
          </w:p>
        </w:tc>
      </w:tr>
      <w:tr>
        <w:tc>
          <w:tcPr>
            <w:tcW w:w="1600" w:type="dxa"/>
            <w:vAlign w:val="top"/>
          </w:tcPr>
          <w:p>
            <w:pPr>
              <w:spacing w:before="0" w:after="0" w:line="240" w:lineRule="auto"/>
              <w:jc w:val="left"/>
            </w:pPr>
            <w:r>
              <w:rPr>
                <w:sz w:val="20"/>
                <w:szCs w:val="20"/>
              </w:rPr>
              <w:t xml:space="preserve">1946</w:t>
            </w:r>
          </w:p>
        </w:tc>
        <w:tc>
          <w:tcPr>
            <w:tcW w:w="7426" w:type="dxa"/>
            <w:vAlign w:val="top"/>
          </w:tcPr>
          <w:p>
            <w:pPr>
              <w:spacing w:before="0" w:after="0" w:line="240" w:lineRule="auto"/>
              <w:jc w:val="left"/>
            </w:pPr>
            <w:r>
              <w:rPr>
                <w:sz w:val="20"/>
                <w:szCs w:val="20"/>
              </w:rPr>
              <w:t xml:space="preserve">Became the first state-owned bank of the Republic of Indonesia under Article 1 of Government Regulation No. 1 of 1946.</w:t>
            </w:r>
          </w:p>
        </w:tc>
      </w:tr>
      <w:tr>
        <w:tc>
          <w:tcPr>
            <w:tcW w:w="1600" w:type="dxa"/>
            <w:vAlign w:val="top"/>
          </w:tcPr>
          <w:p>
            <w:pPr>
              <w:spacing w:before="0" w:after="0" w:line="240" w:lineRule="auto"/>
              <w:jc w:val="left"/>
            </w:pPr>
            <w:r>
              <w:rPr>
                <w:sz w:val="20"/>
                <w:szCs w:val="20"/>
              </w:rPr>
              <w:t xml:space="preserve">1948 to 1949</w:t>
            </w:r>
          </w:p>
        </w:tc>
        <w:tc>
          <w:tcPr>
            <w:tcW w:w="7426" w:type="dxa"/>
            <w:vAlign w:val="top"/>
          </w:tcPr>
          <w:p>
            <w:pPr>
              <w:spacing w:before="0" w:after="0" w:line="240" w:lineRule="auto"/>
              <w:jc w:val="left"/>
            </w:pPr>
            <w:r>
              <w:rPr>
                <w:sz w:val="20"/>
                <w:szCs w:val="20"/>
              </w:rPr>
              <w:t xml:space="preserve">Operations were suspended during the revolutionary war and resumed after the Renville Agreement, under the name Bank Rakyat Indonesia Serikat.</w:t>
            </w:r>
          </w:p>
        </w:tc>
      </w:tr>
      <w:tr>
        <w:tc>
          <w:tcPr>
            <w:tcW w:w="1600" w:type="dxa"/>
            <w:vAlign w:val="top"/>
          </w:tcPr>
          <w:p>
            <w:pPr>
              <w:spacing w:before="0" w:after="0" w:line="240" w:lineRule="auto"/>
              <w:jc w:val="left"/>
            </w:pPr>
            <w:r>
              <w:rPr>
                <w:sz w:val="20"/>
                <w:szCs w:val="20"/>
              </w:rPr>
              <w:t xml:space="preserve">1960</w:t>
            </w:r>
          </w:p>
        </w:tc>
        <w:tc>
          <w:tcPr>
            <w:tcW w:w="7426" w:type="dxa"/>
            <w:vAlign w:val="top"/>
          </w:tcPr>
          <w:p>
            <w:pPr>
              <w:spacing w:before="0" w:after="0" w:line="240" w:lineRule="auto"/>
              <w:jc w:val="left"/>
            </w:pPr>
            <w:r>
              <w:rPr>
                <w:sz w:val="20"/>
                <w:szCs w:val="20"/>
              </w:rPr>
              <w:t xml:space="preserve">Merged with Bank Tani Nelayan and Nederlandsche Handel-Maatschappij (NHM) into Bank Koperasi Tani dan Nelayan (BKTN) under PERPU No. 41 of 1960.</w:t>
            </w:r>
          </w:p>
        </w:tc>
      </w:tr>
      <w:tr>
        <w:tc>
          <w:tcPr>
            <w:tcW w:w="1600" w:type="dxa"/>
            <w:vAlign w:val="top"/>
          </w:tcPr>
          <w:p>
            <w:pPr>
              <w:spacing w:before="0" w:after="0" w:line="240" w:lineRule="auto"/>
              <w:jc w:val="left"/>
            </w:pPr>
            <w:r>
              <w:rPr>
                <w:sz w:val="20"/>
                <w:szCs w:val="20"/>
              </w:rPr>
              <w:t xml:space="preserve">1965</w:t>
            </w:r>
          </w:p>
        </w:tc>
        <w:tc>
          <w:tcPr>
            <w:tcW w:w="7426" w:type="dxa"/>
            <w:vAlign w:val="top"/>
          </w:tcPr>
          <w:p>
            <w:pPr>
              <w:spacing w:before="0" w:after="0" w:line="240" w:lineRule="auto"/>
              <w:jc w:val="left"/>
            </w:pPr>
            <w:r>
              <w:rPr>
                <w:sz w:val="20"/>
                <w:szCs w:val="20"/>
              </w:rPr>
              <w:t xml:space="preserve">BKTN was integrated into Bank Indonesia and then into Bank Negara Indonesia Unit II (Rural Sector) under Presidential Decrees No. 9 and No. 17 of 1965.</w:t>
            </w:r>
          </w:p>
        </w:tc>
      </w:tr>
      <w:tr>
        <w:tc>
          <w:tcPr>
            <w:tcW w:w="1600" w:type="dxa"/>
            <w:vAlign w:val="top"/>
          </w:tcPr>
          <w:p>
            <w:pPr>
              <w:spacing w:before="0" w:after="0" w:line="240" w:lineRule="auto"/>
              <w:jc w:val="left"/>
            </w:pPr>
            <w:r>
              <w:rPr>
                <w:sz w:val="20"/>
                <w:szCs w:val="20"/>
              </w:rPr>
              <w:t xml:space="preserve">1992</w:t>
            </w:r>
          </w:p>
        </w:tc>
        <w:tc>
          <w:tcPr>
            <w:tcW w:w="7426" w:type="dxa"/>
            <w:vAlign w:val="top"/>
          </w:tcPr>
          <w:p>
            <w:pPr>
              <w:spacing w:before="0" w:after="0" w:line="240" w:lineRule="auto"/>
              <w:jc w:val="left"/>
            </w:pPr>
            <w:r>
              <w:rPr>
                <w:sz w:val="20"/>
                <w:szCs w:val="20"/>
              </w:rPr>
              <w:t xml:space="preserve">Became a limited liability company (Persero) on 1 August 1992 under Banking Law No. 7 of 1992 and Government Regulation No. 21 of 1992, wholly owned by the Government.</w:t>
            </w:r>
          </w:p>
        </w:tc>
      </w:tr>
      <w:tr>
        <w:tc>
          <w:tcPr>
            <w:tcW w:w="1600" w:type="dxa"/>
            <w:vAlign w:val="top"/>
          </w:tcPr>
          <w:p>
            <w:pPr>
              <w:spacing w:before="0" w:after="0" w:line="240" w:lineRule="auto"/>
              <w:jc w:val="left"/>
            </w:pPr>
            <w:r>
              <w:rPr>
                <w:sz w:val="20"/>
                <w:szCs w:val="20"/>
              </w:rPr>
              <w:t xml:space="preserve">2003</w:t>
            </w:r>
          </w:p>
        </w:tc>
        <w:tc>
          <w:tcPr>
            <w:tcW w:w="7426" w:type="dxa"/>
            <w:vAlign w:val="top"/>
          </w:tcPr>
          <w:p>
            <w:pPr>
              <w:spacing w:before="0" w:after="0" w:line="240" w:lineRule="auto"/>
              <w:jc w:val="left"/>
            </w:pPr>
            <w:r>
              <w:rPr>
                <w:sz w:val="20"/>
                <w:szCs w:val="20"/>
              </w:rPr>
              <w:t xml:space="preserve">The Government sold 30% of its shares to the public, and the bank became PT Bank Rakyat Indonesia (Persero) Tbk.</w:t>
            </w:r>
          </w:p>
        </w:tc>
      </w:tr>
      <w:tr>
        <w:tc>
          <w:tcPr>
            <w:tcW w:w="1600" w:type="dxa"/>
            <w:vAlign w:val="top"/>
          </w:tcPr>
          <w:p>
            <w:pPr>
              <w:spacing w:before="0" w:after="0" w:line="240" w:lineRule="auto"/>
              <w:jc w:val="left"/>
            </w:pPr>
            <w:r>
              <w:rPr>
                <w:sz w:val="20"/>
                <w:szCs w:val="20"/>
              </w:rPr>
              <w:t xml:space="preserve">2025</w:t>
            </w:r>
          </w:p>
        </w:tc>
        <w:tc>
          <w:tcPr>
            <w:tcW w:w="7426" w:type="dxa"/>
            <w:vAlign w:val="top"/>
          </w:tcPr>
          <w:p>
            <w:pPr>
              <w:spacing w:before="0" w:after="0" w:line="240" w:lineRule="auto"/>
              <w:jc w:val="left"/>
            </w:pPr>
            <w:r>
              <w:rPr>
                <w:sz w:val="20"/>
                <w:szCs w:val="20"/>
              </w:rPr>
              <w:t xml:space="preserve">Marked 130 years of operation, continued its transformation under BRIvolution Reignite, and adopted the BRILiaN Way corporate culture; the state's Series B shares are now held through PT Danantara Asset Management (Persero).</w:t>
            </w:r>
          </w:p>
        </w:tc>
      </w:tr>
    </w:tbl>
    <w:p>
      <w:pPr>
        <w:spacing w:before="0" w:after="60" w:line="240" w:lineRule="auto"/>
        <w:jc w:val="both"/>
      </w:pPr>
    </w:p>
    <w:p>
      <w:pPr>
        <w:keepNext w:val="1"/>
        <w:spacing w:before="240" w:after="120" w:line="360" w:lineRule="auto"/>
        <w:jc w:val="left"/>
      </w:pPr>
      <w:r>
        <w:rPr>
          <w:b w:val="1"/>
          <w:sz w:val="24"/>
          <w:szCs w:val="24"/>
        </w:rPr>
        <w:t xml:space="preserve">2.5 Organizational Structure</w:t>
      </w:r>
    </w:p>
    <w:p>
      <w:pPr>
        <w:spacing w:before="0" w:after="120" w:line="360" w:lineRule="auto"/>
        <w:jc w:val="both"/>
      </w:pPr>
      <w:r>
        <w:rPr>
          <w:sz w:val="24"/>
          <w:szCs w:val="24"/>
        </w:rPr>
        <w:t xml:space="preserve">Figure 2.1 shows BRI's organizational structure. The General Meeting of Shareholders (Rapat Umum Pemegang Saham) is the highest authority. The Board of Commissioners (Dewan Komisaris) supervises the Board of Directors and is supported by committees for audit, nomination and remuneration, risk monitoring, and integrated governance. The President Director (Direktur Utama) leads the Board of Directors, together with the Vice President Director (Wakil Direktur Utama).</w:t>
      </w:r>
    </w:p>
    <w:p>
      <w:pPr>
        <w:keepNext/>
        <w:jc w:val="center"/>
      </w:pPr>
      <w:r>
        <w:drawing>
          <wp:inline>
            <wp:extent cx="5669280" cy="3188970"/>
            <wp:docPr id="2" name="Picture 2"/>
            <wp:cNvGraphicFramePr>
              <a:graphicFrameLocks noChangeAspect="1"/>
            </wp:cNvGraphicFramePr>
            <a:graphic>
              <a:graphicData uri="http://schemas.openxmlformats.org/drawingml/2006/picture">
                <pic:pic>
                  <pic:nvPicPr>
                    <pic:cNvPr id="0" name="bri_org.jpg"/>
                    <pic:cNvPicPr/>
                  </pic:nvPicPr>
                  <pic:blipFill>
                    <a:blip r:embed="rId8"/>
                    <a:stretch>
                      <a:fillRect/>
                    </a:stretch>
                  </pic:blipFill>
                  <pic:spPr>
                    <a:xfrm>
                      <a:off x="0" y="0"/>
                      <a:ext cx="5669280" cy="3188970"/>
                    </a:xfrm>
                    <a:prstGeom prst="rect"/>
                  </pic:spPr>
                </pic:pic>
              </a:graphicData>
            </a:graphic>
          </wp:inline>
        </w:drawing>
      </w:r>
    </w:p>
    <w:p>
      <w:pPr>
        <w:spacing w:before="60" w:after="160" w:line="240" w:lineRule="auto"/>
        <w:jc w:val="center"/>
      </w:pPr>
      <w:r>
        <w:rPr>
          <w:b w:val="1"/>
          <w:sz w:val="20"/>
          <w:szCs w:val="20"/>
        </w:rPr>
        <w:t xml:space="preserve">Figure 2.1 Organizational structure of PT Bank Rakyat Indonesia (Persero) Tbk (source: bri.co.id)</w:t>
      </w:r>
    </w:p>
    <w:p>
      <w:pPr>
        <w:spacing w:before="0" w:after="120" w:line="360" w:lineRule="auto"/>
        <w:jc w:val="both"/>
      </w:pPr>
      <w:r>
        <w:rPr>
          <w:sz w:val="24"/>
          <w:szCs w:val="24"/>
        </w:rPr>
        <w:t xml:space="preserve">Below the President Director and Vice President Director, the bank is organized into directorates: Micro, Operations, Treasury &amp; International Banking, Corporate Banking, Commercial Banking, Consumer Banking, Network &amp; Retail Funding, Information Technology, Risk Management, Human Capital &amp; Compliance, and Finance &amp; Strategy. Senior Executive Vice President (SEVP) units handle Retail Transaction &amp; Funding, Digital, Retail Risk, Wholesale Risk, Human Capital, Corporate Transformation, and Internal Audit. Directors are further supported by committees covering asset and liability management (ALCO), capital and investment, human capital, information technology, procurement, credit and policy, products, transformation, risk management, and ESG. Table 2.6 lists the members of the Board of Commissioners and Board of Directors as published on the BRI website.</w:t>
      </w:r>
    </w:p>
    <w:p>
      <w:pPr>
        <w:keepNext w:val="1"/>
        <w:spacing w:before="120" w:after="60" w:line="240" w:lineRule="auto"/>
        <w:jc w:val="center"/>
      </w:pPr>
      <w:r>
        <w:rPr>
          <w:b w:val="1"/>
          <w:sz w:val="20"/>
          <w:szCs w:val="20"/>
        </w:rPr>
        <w:t xml:space="preserve">Table 2.6 BRI Board of Commissioners and Board of Directors</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3800"/>
        <w:gridCol w:w="5226"/>
      </w:tblGrid>
      <w:tr>
        <w:trPr>
          <w:tblHeader w:val="1"/>
        </w:trPr>
        <w:tc>
          <w:tcPr>
            <w:tcW w:w="3800" w:type="dxa"/>
            <w:shd w:val="clear" w:color="auto" w:fill="D9D9D9"/>
            <w:vAlign w:val="top"/>
          </w:tcPr>
          <w:p>
            <w:pPr>
              <w:spacing w:before="0" w:after="0" w:line="240" w:lineRule="auto"/>
              <w:jc w:val="left"/>
            </w:pPr>
            <w:r>
              <w:rPr>
                <w:b w:val="1"/>
                <w:sz w:val="20"/>
                <w:szCs w:val="20"/>
              </w:rPr>
              <w:t xml:space="preserve">Name</w:t>
            </w:r>
          </w:p>
        </w:tc>
        <w:tc>
          <w:tcPr>
            <w:tcW w:w="5226" w:type="dxa"/>
            <w:shd w:val="clear" w:color="auto" w:fill="D9D9D9"/>
            <w:vAlign w:val="top"/>
          </w:tcPr>
          <w:p>
            <w:pPr>
              <w:spacing w:before="0" w:after="0" w:line="240" w:lineRule="auto"/>
              <w:jc w:val="left"/>
            </w:pPr>
            <w:r>
              <w:rPr>
                <w:b w:val="1"/>
                <w:sz w:val="20"/>
                <w:szCs w:val="20"/>
              </w:rPr>
              <w:t xml:space="preserve">Position</w:t>
            </w:r>
          </w:p>
        </w:tc>
      </w:tr>
      <w:tr>
        <w:tc>
          <w:tcPr>
            <w:tcW w:w="3800" w:type="dxa"/>
            <w:vAlign w:val="top"/>
          </w:tcPr>
          <w:p>
            <w:pPr>
              <w:spacing w:before="0" w:after="0" w:line="240" w:lineRule="auto"/>
              <w:jc w:val="left"/>
            </w:pPr>
            <w:r>
              <w:rPr>
                <w:sz w:val="20"/>
                <w:szCs w:val="20"/>
              </w:rPr>
              <w:t xml:space="preserve">Kartika Wirjoatmodjo</w:t>
            </w:r>
          </w:p>
        </w:tc>
        <w:tc>
          <w:tcPr>
            <w:tcW w:w="5226" w:type="dxa"/>
            <w:vAlign w:val="top"/>
          </w:tcPr>
          <w:p>
            <w:pPr>
              <w:spacing w:before="0" w:after="0" w:line="240" w:lineRule="auto"/>
              <w:jc w:val="left"/>
            </w:pPr>
            <w:r>
              <w:rPr>
                <w:sz w:val="20"/>
                <w:szCs w:val="20"/>
              </w:rPr>
              <w:t xml:space="preserve">President Commissioner</w:t>
            </w:r>
          </w:p>
        </w:tc>
      </w:tr>
      <w:tr>
        <w:tc>
          <w:tcPr>
            <w:tcW w:w="3800" w:type="dxa"/>
            <w:vAlign w:val="top"/>
          </w:tcPr>
          <w:p>
            <w:pPr>
              <w:spacing w:before="0" w:after="0" w:line="240" w:lineRule="auto"/>
              <w:jc w:val="left"/>
            </w:pPr>
            <w:r>
              <w:rPr>
                <w:sz w:val="20"/>
                <w:szCs w:val="20"/>
              </w:rPr>
              <w:t xml:space="preserve">Parman Nataatmadja</w:t>
            </w:r>
          </w:p>
        </w:tc>
        <w:tc>
          <w:tcPr>
            <w:tcW w:w="5226" w:type="dxa"/>
            <w:vAlign w:val="top"/>
          </w:tcPr>
          <w:p>
            <w:pPr>
              <w:spacing w:before="0" w:after="0" w:line="240" w:lineRule="auto"/>
              <w:jc w:val="left"/>
            </w:pPr>
            <w:r>
              <w:rPr>
                <w:sz w:val="20"/>
                <w:szCs w:val="20"/>
              </w:rPr>
              <w:t xml:space="preserve">Vice President Commissioner / Independent Commissioner</w:t>
            </w:r>
          </w:p>
        </w:tc>
      </w:tr>
      <w:tr>
        <w:tc>
          <w:tcPr>
            <w:tcW w:w="3800" w:type="dxa"/>
            <w:vAlign w:val="top"/>
          </w:tcPr>
          <w:p>
            <w:pPr>
              <w:spacing w:before="0" w:after="0" w:line="240" w:lineRule="auto"/>
              <w:jc w:val="left"/>
            </w:pPr>
            <w:r>
              <w:rPr>
                <w:sz w:val="20"/>
                <w:szCs w:val="20"/>
              </w:rPr>
              <w:t xml:space="preserve">Awan Nurmawan Nuh</w:t>
            </w:r>
          </w:p>
        </w:tc>
        <w:tc>
          <w:tcPr>
            <w:tcW w:w="5226" w:type="dxa"/>
            <w:vAlign w:val="top"/>
          </w:tcPr>
          <w:p>
            <w:pPr>
              <w:spacing w:before="0" w:after="0" w:line="240" w:lineRule="auto"/>
              <w:jc w:val="left"/>
            </w:pPr>
            <w:r>
              <w:rPr>
                <w:sz w:val="20"/>
                <w:szCs w:val="20"/>
              </w:rPr>
              <w:t xml:space="preserve">Commissioner</w:t>
            </w:r>
          </w:p>
        </w:tc>
      </w:tr>
      <w:tr>
        <w:tc>
          <w:tcPr>
            <w:tcW w:w="3800" w:type="dxa"/>
            <w:vAlign w:val="top"/>
          </w:tcPr>
          <w:p>
            <w:pPr>
              <w:spacing w:before="0" w:after="0" w:line="240" w:lineRule="auto"/>
              <w:jc w:val="left"/>
            </w:pPr>
            <w:r>
              <w:rPr>
                <w:sz w:val="20"/>
                <w:szCs w:val="20"/>
              </w:rPr>
              <w:t xml:space="preserve">Helvi Yuni Moraza</w:t>
            </w:r>
          </w:p>
        </w:tc>
        <w:tc>
          <w:tcPr>
            <w:tcW w:w="5226" w:type="dxa"/>
            <w:vAlign w:val="top"/>
          </w:tcPr>
          <w:p>
            <w:pPr>
              <w:spacing w:before="0" w:after="0" w:line="240" w:lineRule="auto"/>
              <w:jc w:val="left"/>
            </w:pPr>
            <w:r>
              <w:rPr>
                <w:sz w:val="20"/>
                <w:szCs w:val="20"/>
              </w:rPr>
              <w:t xml:space="preserve">Commissioner</w:t>
            </w:r>
          </w:p>
        </w:tc>
      </w:tr>
      <w:tr>
        <w:tc>
          <w:tcPr>
            <w:tcW w:w="3800" w:type="dxa"/>
            <w:vAlign w:val="top"/>
          </w:tcPr>
          <w:p>
            <w:pPr>
              <w:spacing w:before="0" w:after="0" w:line="240" w:lineRule="auto"/>
              <w:jc w:val="left"/>
            </w:pPr>
            <w:r>
              <w:rPr>
                <w:sz w:val="20"/>
                <w:szCs w:val="20"/>
              </w:rPr>
              <w:t xml:space="preserve">Edi Susianto</w:t>
            </w:r>
          </w:p>
        </w:tc>
        <w:tc>
          <w:tcPr>
            <w:tcW w:w="5226" w:type="dxa"/>
            <w:vAlign w:val="top"/>
          </w:tcPr>
          <w:p>
            <w:pPr>
              <w:spacing w:before="0" w:after="0" w:line="240" w:lineRule="auto"/>
              <w:jc w:val="left"/>
            </w:pPr>
            <w:r>
              <w:rPr>
                <w:sz w:val="20"/>
                <w:szCs w:val="20"/>
              </w:rPr>
              <w:t xml:space="preserve">Independent Commissioner</w:t>
            </w:r>
          </w:p>
        </w:tc>
      </w:tr>
      <w:tr>
        <w:tc>
          <w:tcPr>
            <w:tcW w:w="3800" w:type="dxa"/>
            <w:vAlign w:val="top"/>
          </w:tcPr>
          <w:p>
            <w:pPr>
              <w:spacing w:before="0" w:after="0" w:line="240" w:lineRule="auto"/>
              <w:jc w:val="left"/>
            </w:pPr>
            <w:r>
              <w:rPr>
                <w:sz w:val="20"/>
                <w:szCs w:val="20"/>
              </w:rPr>
              <w:t xml:space="preserve">Lukmanul Khakim</w:t>
            </w:r>
          </w:p>
        </w:tc>
        <w:tc>
          <w:tcPr>
            <w:tcW w:w="5226" w:type="dxa"/>
            <w:vAlign w:val="top"/>
          </w:tcPr>
          <w:p>
            <w:pPr>
              <w:spacing w:before="0" w:after="0" w:line="240" w:lineRule="auto"/>
              <w:jc w:val="left"/>
            </w:pPr>
            <w:r>
              <w:rPr>
                <w:sz w:val="20"/>
                <w:szCs w:val="20"/>
              </w:rPr>
              <w:t xml:space="preserve">Independent Commissioner</w:t>
            </w:r>
          </w:p>
        </w:tc>
      </w:tr>
      <w:tr>
        <w:tc>
          <w:tcPr>
            <w:tcW w:w="3800" w:type="dxa"/>
            <w:vAlign w:val="top"/>
          </w:tcPr>
          <w:p>
            <w:pPr>
              <w:spacing w:before="0" w:after="0" w:line="240" w:lineRule="auto"/>
              <w:jc w:val="left"/>
            </w:pPr>
            <w:r>
              <w:rPr>
                <w:sz w:val="20"/>
                <w:szCs w:val="20"/>
              </w:rPr>
              <w:t xml:space="preserve">Hery Gunardi</w:t>
            </w:r>
          </w:p>
        </w:tc>
        <w:tc>
          <w:tcPr>
            <w:tcW w:w="5226" w:type="dxa"/>
            <w:vAlign w:val="top"/>
          </w:tcPr>
          <w:p>
            <w:pPr>
              <w:spacing w:before="0" w:after="0" w:line="240" w:lineRule="auto"/>
              <w:jc w:val="left"/>
            </w:pPr>
            <w:r>
              <w:rPr>
                <w:sz w:val="20"/>
                <w:szCs w:val="20"/>
              </w:rPr>
              <w:t xml:space="preserve">President Director</w:t>
            </w:r>
          </w:p>
        </w:tc>
      </w:tr>
      <w:tr>
        <w:tc>
          <w:tcPr>
            <w:tcW w:w="3800" w:type="dxa"/>
            <w:vAlign w:val="top"/>
          </w:tcPr>
          <w:p>
            <w:pPr>
              <w:spacing w:before="0" w:after="0" w:line="240" w:lineRule="auto"/>
              <w:jc w:val="left"/>
            </w:pPr>
            <w:r>
              <w:rPr>
                <w:sz w:val="20"/>
                <w:szCs w:val="20"/>
              </w:rPr>
              <w:t xml:space="preserve">Viviana Dyah Ayu Retno</w:t>
            </w:r>
          </w:p>
        </w:tc>
        <w:tc>
          <w:tcPr>
            <w:tcW w:w="5226" w:type="dxa"/>
            <w:vAlign w:val="top"/>
          </w:tcPr>
          <w:p>
            <w:pPr>
              <w:spacing w:before="0" w:after="0" w:line="240" w:lineRule="auto"/>
              <w:jc w:val="left"/>
            </w:pPr>
            <w:r>
              <w:rPr>
                <w:sz w:val="20"/>
                <w:szCs w:val="20"/>
              </w:rPr>
              <w:t xml:space="preserve">Vice President Director</w:t>
            </w:r>
          </w:p>
        </w:tc>
      </w:tr>
      <w:tr>
        <w:tc>
          <w:tcPr>
            <w:tcW w:w="3800" w:type="dxa"/>
            <w:vAlign w:val="top"/>
          </w:tcPr>
          <w:p>
            <w:pPr>
              <w:spacing w:before="0" w:after="0" w:line="240" w:lineRule="auto"/>
              <w:jc w:val="left"/>
            </w:pPr>
            <w:r>
              <w:rPr>
                <w:sz w:val="20"/>
                <w:szCs w:val="20"/>
              </w:rPr>
              <w:t xml:space="preserve">Achmad Royadi</w:t>
            </w:r>
          </w:p>
        </w:tc>
        <w:tc>
          <w:tcPr>
            <w:tcW w:w="5226" w:type="dxa"/>
            <w:vAlign w:val="top"/>
          </w:tcPr>
          <w:p>
            <w:pPr>
              <w:spacing w:before="0" w:after="0" w:line="240" w:lineRule="auto"/>
              <w:jc w:val="left"/>
            </w:pPr>
            <w:r>
              <w:rPr>
                <w:sz w:val="20"/>
                <w:szCs w:val="20"/>
              </w:rPr>
              <w:t xml:space="preserve">Director of Finance &amp; Strategy</w:t>
            </w:r>
          </w:p>
        </w:tc>
      </w:tr>
      <w:tr>
        <w:tc>
          <w:tcPr>
            <w:tcW w:w="3800" w:type="dxa"/>
            <w:vAlign w:val="top"/>
          </w:tcPr>
          <w:p>
            <w:pPr>
              <w:spacing w:before="0" w:after="0" w:line="240" w:lineRule="auto"/>
              <w:jc w:val="left"/>
            </w:pPr>
            <w:r>
              <w:rPr>
                <w:sz w:val="20"/>
                <w:szCs w:val="20"/>
              </w:rPr>
              <w:t xml:space="preserve">Aquarius Rudianto</w:t>
            </w:r>
          </w:p>
        </w:tc>
        <w:tc>
          <w:tcPr>
            <w:tcW w:w="5226" w:type="dxa"/>
            <w:vAlign w:val="top"/>
          </w:tcPr>
          <w:p>
            <w:pPr>
              <w:spacing w:before="0" w:after="0" w:line="240" w:lineRule="auto"/>
              <w:jc w:val="left"/>
            </w:pPr>
            <w:r>
              <w:rPr>
                <w:sz w:val="20"/>
                <w:szCs w:val="20"/>
              </w:rPr>
              <w:t xml:space="preserve">Director of Network and Retail Funding</w:t>
            </w:r>
          </w:p>
        </w:tc>
      </w:tr>
      <w:tr>
        <w:tc>
          <w:tcPr>
            <w:tcW w:w="3800" w:type="dxa"/>
            <w:vAlign w:val="top"/>
          </w:tcPr>
          <w:p>
            <w:pPr>
              <w:spacing w:before="0" w:after="0" w:line="240" w:lineRule="auto"/>
              <w:jc w:val="left"/>
            </w:pPr>
            <w:r>
              <w:rPr>
                <w:sz w:val="20"/>
                <w:szCs w:val="20"/>
              </w:rPr>
              <w:t xml:space="preserve">Alexander Dippo Paris Y. S.</w:t>
            </w:r>
          </w:p>
        </w:tc>
        <w:tc>
          <w:tcPr>
            <w:tcW w:w="5226" w:type="dxa"/>
            <w:vAlign w:val="top"/>
          </w:tcPr>
          <w:p>
            <w:pPr>
              <w:spacing w:before="0" w:after="0" w:line="240" w:lineRule="auto"/>
              <w:jc w:val="left"/>
            </w:pPr>
            <w:r>
              <w:rPr>
                <w:sz w:val="20"/>
                <w:szCs w:val="20"/>
              </w:rPr>
              <w:t xml:space="preserve">Director of Commercial Banking</w:t>
            </w:r>
          </w:p>
        </w:tc>
      </w:tr>
      <w:tr>
        <w:tc>
          <w:tcPr>
            <w:tcW w:w="3800" w:type="dxa"/>
            <w:vAlign w:val="top"/>
          </w:tcPr>
          <w:p>
            <w:pPr>
              <w:spacing w:before="0" w:after="0" w:line="240" w:lineRule="auto"/>
              <w:jc w:val="left"/>
            </w:pPr>
            <w:r>
              <w:rPr>
                <w:sz w:val="20"/>
                <w:szCs w:val="20"/>
              </w:rPr>
              <w:t xml:space="preserve">Saladin Dharma Nugraha Effendi</w:t>
            </w:r>
          </w:p>
        </w:tc>
        <w:tc>
          <w:tcPr>
            <w:tcW w:w="5226" w:type="dxa"/>
            <w:vAlign w:val="top"/>
          </w:tcPr>
          <w:p>
            <w:pPr>
              <w:spacing w:before="0" w:after="0" w:line="240" w:lineRule="auto"/>
              <w:jc w:val="left"/>
            </w:pPr>
            <w:r>
              <w:rPr>
                <w:sz w:val="20"/>
                <w:szCs w:val="20"/>
              </w:rPr>
              <w:t xml:space="preserve">Director of Information Technology</w:t>
            </w:r>
          </w:p>
        </w:tc>
      </w:tr>
      <w:tr>
        <w:tc>
          <w:tcPr>
            <w:tcW w:w="3800" w:type="dxa"/>
            <w:vAlign w:val="top"/>
          </w:tcPr>
          <w:p>
            <w:pPr>
              <w:spacing w:before="0" w:after="0" w:line="240" w:lineRule="auto"/>
              <w:jc w:val="left"/>
            </w:pPr>
            <w:r>
              <w:rPr>
                <w:sz w:val="20"/>
                <w:szCs w:val="20"/>
              </w:rPr>
              <w:t xml:space="preserve">Riko Tasmaya</w:t>
            </w:r>
          </w:p>
        </w:tc>
        <w:tc>
          <w:tcPr>
            <w:tcW w:w="5226" w:type="dxa"/>
            <w:vAlign w:val="top"/>
          </w:tcPr>
          <w:p>
            <w:pPr>
              <w:spacing w:before="0" w:after="0" w:line="240" w:lineRule="auto"/>
              <w:jc w:val="left"/>
            </w:pPr>
            <w:r>
              <w:rPr>
                <w:sz w:val="20"/>
                <w:szCs w:val="20"/>
              </w:rPr>
              <w:t xml:space="preserve">Director of Corporate Banking</w:t>
            </w:r>
          </w:p>
        </w:tc>
      </w:tr>
      <w:tr>
        <w:tc>
          <w:tcPr>
            <w:tcW w:w="3800" w:type="dxa"/>
            <w:vAlign w:val="top"/>
          </w:tcPr>
          <w:p>
            <w:pPr>
              <w:spacing w:before="0" w:after="0" w:line="240" w:lineRule="auto"/>
              <w:jc w:val="left"/>
            </w:pPr>
            <w:r>
              <w:rPr>
                <w:sz w:val="20"/>
                <w:szCs w:val="20"/>
              </w:rPr>
              <w:t xml:space="preserve">Hakim Putratama</w:t>
            </w:r>
          </w:p>
        </w:tc>
        <w:tc>
          <w:tcPr>
            <w:tcW w:w="5226" w:type="dxa"/>
            <w:vAlign w:val="top"/>
          </w:tcPr>
          <w:p>
            <w:pPr>
              <w:spacing w:before="0" w:after="0" w:line="240" w:lineRule="auto"/>
              <w:jc w:val="left"/>
            </w:pPr>
            <w:r>
              <w:rPr>
                <w:sz w:val="20"/>
                <w:szCs w:val="20"/>
              </w:rPr>
              <w:t xml:space="preserve">Director of Operations</w:t>
            </w:r>
          </w:p>
        </w:tc>
      </w:tr>
      <w:tr>
        <w:tc>
          <w:tcPr>
            <w:tcW w:w="3800" w:type="dxa"/>
            <w:vAlign w:val="top"/>
          </w:tcPr>
          <w:p>
            <w:pPr>
              <w:spacing w:before="0" w:after="0" w:line="240" w:lineRule="auto"/>
              <w:jc w:val="left"/>
            </w:pPr>
            <w:r>
              <w:rPr>
                <w:sz w:val="20"/>
                <w:szCs w:val="20"/>
              </w:rPr>
              <w:t xml:space="preserve">Akhmad Purwakajaya</w:t>
            </w:r>
          </w:p>
        </w:tc>
        <w:tc>
          <w:tcPr>
            <w:tcW w:w="5226" w:type="dxa"/>
            <w:vAlign w:val="top"/>
          </w:tcPr>
          <w:p>
            <w:pPr>
              <w:spacing w:before="0" w:after="0" w:line="240" w:lineRule="auto"/>
              <w:jc w:val="left"/>
            </w:pPr>
            <w:r>
              <w:rPr>
                <w:sz w:val="20"/>
                <w:szCs w:val="20"/>
              </w:rPr>
              <w:t xml:space="preserve">Director of Micro</w:t>
            </w:r>
          </w:p>
        </w:tc>
      </w:tr>
      <w:tr>
        <w:tc>
          <w:tcPr>
            <w:tcW w:w="3800" w:type="dxa"/>
            <w:vAlign w:val="top"/>
          </w:tcPr>
          <w:p>
            <w:pPr>
              <w:spacing w:before="0" w:after="0" w:line="240" w:lineRule="auto"/>
              <w:jc w:val="left"/>
            </w:pPr>
            <w:r>
              <w:rPr>
                <w:sz w:val="20"/>
                <w:szCs w:val="20"/>
              </w:rPr>
              <w:t xml:space="preserve">Farida Thamrin</w:t>
            </w:r>
          </w:p>
        </w:tc>
        <w:tc>
          <w:tcPr>
            <w:tcW w:w="5226" w:type="dxa"/>
            <w:vAlign w:val="top"/>
          </w:tcPr>
          <w:p>
            <w:pPr>
              <w:spacing w:before="0" w:after="0" w:line="240" w:lineRule="auto"/>
              <w:jc w:val="left"/>
            </w:pPr>
            <w:r>
              <w:rPr>
                <w:sz w:val="20"/>
                <w:szCs w:val="20"/>
              </w:rPr>
              <w:t xml:space="preserve">Director of Treasury and International Banking</w:t>
            </w:r>
          </w:p>
        </w:tc>
      </w:tr>
      <w:tr>
        <w:tc>
          <w:tcPr>
            <w:tcW w:w="3800" w:type="dxa"/>
            <w:vAlign w:val="top"/>
          </w:tcPr>
          <w:p>
            <w:pPr>
              <w:spacing w:before="0" w:after="0" w:line="240" w:lineRule="auto"/>
              <w:jc w:val="left"/>
            </w:pPr>
            <w:r>
              <w:rPr>
                <w:sz w:val="20"/>
                <w:szCs w:val="20"/>
              </w:rPr>
              <w:t xml:space="preserve">Ety Yuniarti</w:t>
            </w:r>
          </w:p>
        </w:tc>
        <w:tc>
          <w:tcPr>
            <w:tcW w:w="5226" w:type="dxa"/>
            <w:vAlign w:val="top"/>
          </w:tcPr>
          <w:p>
            <w:pPr>
              <w:spacing w:before="0" w:after="0" w:line="240" w:lineRule="auto"/>
              <w:jc w:val="left"/>
            </w:pPr>
            <w:r>
              <w:rPr>
                <w:sz w:val="20"/>
                <w:szCs w:val="20"/>
              </w:rPr>
              <w:t xml:space="preserve">Director of Risk Management</w:t>
            </w:r>
          </w:p>
        </w:tc>
      </w:tr>
      <w:tr>
        <w:tc>
          <w:tcPr>
            <w:tcW w:w="3800" w:type="dxa"/>
            <w:vAlign w:val="top"/>
          </w:tcPr>
          <w:p>
            <w:pPr>
              <w:spacing w:before="0" w:after="0" w:line="240" w:lineRule="auto"/>
              <w:jc w:val="left"/>
            </w:pPr>
            <w:r>
              <w:rPr>
                <w:sz w:val="20"/>
                <w:szCs w:val="20"/>
              </w:rPr>
              <w:t xml:space="preserve">Aris Hartanto</w:t>
            </w:r>
          </w:p>
        </w:tc>
        <w:tc>
          <w:tcPr>
            <w:tcW w:w="5226" w:type="dxa"/>
            <w:vAlign w:val="top"/>
          </w:tcPr>
          <w:p>
            <w:pPr>
              <w:spacing w:before="0" w:after="0" w:line="240" w:lineRule="auto"/>
              <w:jc w:val="left"/>
            </w:pPr>
            <w:r>
              <w:rPr>
                <w:sz w:val="20"/>
                <w:szCs w:val="20"/>
              </w:rPr>
              <w:t xml:space="preserve">Director of Consumer Banking</w:t>
            </w:r>
          </w:p>
        </w:tc>
      </w:tr>
      <w:tr>
        <w:tc>
          <w:tcPr>
            <w:tcW w:w="3800" w:type="dxa"/>
            <w:vAlign w:val="top"/>
          </w:tcPr>
          <w:p>
            <w:pPr>
              <w:spacing w:before="0" w:after="0" w:line="240" w:lineRule="auto"/>
              <w:jc w:val="left"/>
            </w:pPr>
            <w:r>
              <w:rPr>
                <w:sz w:val="20"/>
                <w:szCs w:val="20"/>
              </w:rPr>
              <w:t xml:space="preserve">Mahdi Yusuf</w:t>
            </w:r>
          </w:p>
        </w:tc>
        <w:tc>
          <w:tcPr>
            <w:tcW w:w="5226" w:type="dxa"/>
            <w:vAlign w:val="top"/>
          </w:tcPr>
          <w:p>
            <w:pPr>
              <w:spacing w:before="0" w:after="0" w:line="240" w:lineRule="auto"/>
              <w:jc w:val="left"/>
            </w:pPr>
            <w:r>
              <w:rPr>
                <w:sz w:val="20"/>
                <w:szCs w:val="20"/>
              </w:rPr>
              <w:t xml:space="preserve">Director of Legal &amp; Compliance</w:t>
            </w:r>
          </w:p>
        </w:tc>
      </w:tr>
    </w:tbl>
    <w:p>
      <w:pPr>
        <w:spacing w:before="0" w:after="60" w:line="240" w:lineRule="auto"/>
        <w:jc w:val="both"/>
      </w:pPr>
    </w:p>
    <w:p>
      <w:pPr>
        <w:keepNext w:val="1"/>
        <w:spacing w:before="240" w:after="120" w:line="360" w:lineRule="auto"/>
        <w:jc w:val="left"/>
      </w:pPr>
      <w:r>
        <w:rPr>
          <w:b w:val="1"/>
          <w:sz w:val="24"/>
          <w:szCs w:val="24"/>
        </w:rPr>
        <w:t xml:space="preserve">2.6 Internship Placement: Regional Office Malang</w:t>
      </w:r>
    </w:p>
    <w:p>
      <w:pPr>
        <w:spacing w:before="0" w:after="120" w:line="360" w:lineRule="auto"/>
        <w:jc w:val="both"/>
      </w:pPr>
      <w:r>
        <w:rPr>
          <w:sz w:val="24"/>
          <w:szCs w:val="24"/>
        </w:rPr>
        <w:t xml:space="preserve">BRI's domestic network is managed through 18 regional offices (Kantor Wilayah), eight of them in Java. The internship took place at the Regional Office (Kantor Wilayah) Malang, which oversees 25 branch offices in East Java: Banyuwangi, Batu, Blitar, Bondowoso, Genteng, Jember, Kediri, Kepanjen, Lumajang, Madiun, Magetan, Malang Kawi, Malang Marthadinata, Malang Soekarno Hatta, Malang Sutoyo, Nganjuk, Ngawi, Pacitan, Pare, Pasuruan, Ponorogo, Probolinggo, Situbondo, Trenggalek, and Tulungagung. The regional office coordinates and monitors the performance of these branches, and relies on recurring reports and internal systems to do so. During the internship I worked with two of its divisions: the IT division, which manages the office's IT devices and systems, and the RTB division, which prepares the regional performance reports for the branch network. The work done for each division is described in Chapter 3.</w:t>
      </w:r>
    </w:p>
    <w:p w:rsidR="00000000" w:rsidDel="00000000" w:rsidP="00000000" w:rsidRDefault="00000000" w:rsidRPr="00000000" w14:paraId="0000001A">
      <w:pPr>
        <w:rPr>
          <w:b w:val="1"/>
          <w:sz w:val="28"/>
          <w:szCs w:val="28"/>
        </w:rPr>
      </w:pPr>
      <w:r w:rsidDel="00000000" w:rsidR="00000000" w:rsidRPr="00000000">
        <w:rPr>
          <w:rtl w:val="0"/>
        </w:rPr>
      </w:r>
    </w:p>
    <w:p w:rsidR="00000000" w:rsidDel="00000000" w:rsidP="00000000" w:rsidRDefault="00000000" w:rsidRPr="00000000" w14:paraId="0000001B">
      <w:pPr>
        <w:rPr>
          <w:b w:val="1"/>
          <w:sz w:val="28"/>
          <w:szCs w:val="28"/>
        </w:rPr>
      </w:pPr>
      <w:r w:rsidDel="00000000" w:rsidR="00000000" w:rsidRPr="00000000">
        <w:rPr>
          <w:b w:val="1"/>
          <w:sz w:val="28"/>
          <w:szCs w:val="28"/>
          <w:rtl w:val="0"/>
        </w:rPr>
        <w:t xml:space="preserve">Chapter 3. INTERNSHIP ACTIVITY</w:t>
      </w:r>
    </w:p>
    <w:p>
      <w:pPr>
        <w:spacing w:before="0" w:after="120" w:line="360" w:lineRule="auto"/>
        <w:jc w:val="both"/>
      </w:pPr>
      <w:r>
        <w:rPr>
          <w:sz w:val="24"/>
          <w:szCs w:val="24"/>
        </w:rPr>
        <w:t xml:space="preserve">My internship involved a range of tasks. This chapter covers two of them: software projects I worked on for two different divisions. They are grouped by the division each project served. Section 3.1 covers the IT asset management system built for the IT division, and Section 3.2 covers the Excel report automation tool built for the RTB division. The technical design of both systems is described in Chapter 5.</w:t>
      </w:r>
    </w:p>
    <w:p>
      <w:pPr>
        <w:keepNext w:val="1"/>
        <w:spacing w:before="240" w:after="120" w:line="360" w:lineRule="auto"/>
        <w:jc w:val="left"/>
      </w:pPr>
      <w:r>
        <w:rPr>
          <w:b w:val="1"/>
          <w:sz w:val="24"/>
          <w:szCs w:val="24"/>
        </w:rPr>
        <w:t xml:space="preserve">3.1 IT Division: Perangkat IT Asset Management System</w:t>
      </w:r>
    </w:p>
    <w:p>
      <w:pPr>
        <w:keepNext w:val="1"/>
        <w:spacing w:before="120" w:after="60" w:line="360" w:lineRule="auto"/>
        <w:jc w:val="left"/>
      </w:pPr>
      <w:r>
        <w:rPr>
          <w:b w:val="1"/>
          <w:i w:val="1"/>
          <w:sz w:val="24"/>
          <w:szCs w:val="24"/>
        </w:rPr>
        <w:t xml:space="preserve">3.1.1 Assignment Overview</w:t>
      </w:r>
    </w:p>
    <w:p>
      <w:pPr>
        <w:spacing w:before="0" w:after="120" w:line="360" w:lineRule="auto"/>
        <w:jc w:val="both"/>
      </w:pPr>
      <w:r>
        <w:rPr>
          <w:sz w:val="24"/>
          <w:szCs w:val="24"/>
        </w:rPr>
        <w:t xml:space="preserve">The IT division keeps records of the company's IT devices (PCs, laptops, and printers). For each device it tracks which employee holds it, its current status (in use, under maintenance, in storage, or set aside for auction), and the handover documents behind each assignment. The division already had an internal web application for this called Perangkat IT ("IT devices"). It used React for the user interface, Express (Node.js) for the server, and PostgreSQL for the database.</w:t>
      </w:r>
    </w:p>
    <w:p>
      <w:pPr>
        <w:spacing w:before="0" w:after="120" w:line="360" w:lineRule="auto"/>
        <w:jc w:val="both"/>
      </w:pPr>
      <w:r>
        <w:rPr>
          <w:sz w:val="24"/>
          <w:szCs w:val="24"/>
        </w:rPr>
        <w:t xml:space="preserve">The application handled basic data entry, but it was not safe or reliable enough for everyday use. Login tokens were kept in the browser's localStorage, most data could be read without logging in, any website was allowed to call the API, uploaded handover documents could be downloaded by anyone who knew the link, and there were no automated tests. My assignment was to make the application dependable enough for the division to use, without changing its business rules or its existing database schema. Once that was done, I added two features the division requested: an in-app data backup, and a separate, limited view for ordinary employees.</w:t>
      </w:r>
    </w:p>
    <w:p>
      <w:pPr>
        <w:keepNext w:val="1"/>
        <w:spacing w:before="120" w:after="60" w:line="360" w:lineRule="auto"/>
        <w:jc w:val="left"/>
      </w:pPr>
      <w:r>
        <w:rPr>
          <w:b w:val="1"/>
          <w:i w:val="1"/>
          <w:sz w:val="24"/>
          <w:szCs w:val="24"/>
        </w:rPr>
        <w:t xml:space="preserve">3.1.2 Activities</w:t>
      </w:r>
    </w:p>
    <w:p>
      <w:pPr>
        <w:spacing w:before="0" w:after="120" w:line="360" w:lineRule="auto"/>
        <w:jc w:val="both"/>
      </w:pPr>
      <w:r>
        <w:rPr>
          <w:sz w:val="24"/>
          <w:szCs w:val="24"/>
        </w:rPr>
        <w:t xml:space="preserve">I split the work into phases. Each phase had a written plan, a list of exit criteria, and a full test run before the next phase started. Table 3.1 summarises the phases.</w:t>
      </w:r>
    </w:p>
    <w:p>
      <w:pPr>
        <w:keepNext w:val="1"/>
        <w:spacing w:before="120" w:after="60" w:line="240" w:lineRule="auto"/>
        <w:jc w:val="center"/>
      </w:pPr>
      <w:r>
        <w:rPr>
          <w:b w:val="1"/>
          <w:sz w:val="20"/>
          <w:szCs w:val="20"/>
        </w:rPr>
        <w:t xml:space="preserve">Table 3.1 Activities carried out for the IT division</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1900"/>
        <w:gridCol w:w="4826"/>
        <w:gridCol w:w="2300"/>
      </w:tblGrid>
      <w:tr>
        <w:trPr>
          <w:tblHeader w:val="1"/>
        </w:trPr>
        <w:tc>
          <w:tcPr>
            <w:tcW w:w="1900" w:type="dxa"/>
            <w:shd w:val="clear" w:color="auto" w:fill="D9D9D9"/>
            <w:vAlign w:val="top"/>
          </w:tcPr>
          <w:p>
            <w:pPr>
              <w:spacing w:before="0" w:after="0" w:line="240" w:lineRule="auto"/>
              <w:jc w:val="left"/>
            </w:pPr>
            <w:r>
              <w:rPr>
                <w:b w:val="1"/>
                <w:sz w:val="20"/>
                <w:szCs w:val="20"/>
              </w:rPr>
              <w:t xml:space="preserve">Phase</w:t>
            </w:r>
          </w:p>
        </w:tc>
        <w:tc>
          <w:tcPr>
            <w:tcW w:w="4826" w:type="dxa"/>
            <w:shd w:val="clear" w:color="auto" w:fill="D9D9D9"/>
            <w:vAlign w:val="top"/>
          </w:tcPr>
          <w:p>
            <w:pPr>
              <w:spacing w:before="0" w:after="0" w:line="240" w:lineRule="auto"/>
              <w:jc w:val="left"/>
            </w:pPr>
            <w:r>
              <w:rPr>
                <w:b w:val="1"/>
                <w:sz w:val="20"/>
                <w:szCs w:val="20"/>
              </w:rPr>
              <w:t xml:space="preserve">Activity</w:t>
            </w:r>
          </w:p>
        </w:tc>
        <w:tc>
          <w:tcPr>
            <w:tcW w:w="2300" w:type="dxa"/>
            <w:shd w:val="clear" w:color="auto" w:fill="D9D9D9"/>
            <w:vAlign w:val="top"/>
          </w:tcPr>
          <w:p>
            <w:pPr>
              <w:spacing w:before="0" w:after="0" w:line="240" w:lineRule="auto"/>
              <w:jc w:val="left"/>
            </w:pPr>
            <w:r>
              <w:rPr>
                <w:b w:val="1"/>
                <w:sz w:val="20"/>
                <w:szCs w:val="20"/>
              </w:rPr>
              <w:t xml:space="preserve">Output</w:t>
            </w:r>
          </w:p>
        </w:tc>
      </w:tr>
      <w:tr>
        <w:tc>
          <w:tcPr>
            <w:tcW w:w="1900" w:type="dxa"/>
            <w:vAlign w:val="top"/>
          </w:tcPr>
          <w:p>
            <w:pPr>
              <w:spacing w:before="0" w:after="0" w:line="240" w:lineRule="auto"/>
              <w:jc w:val="left"/>
            </w:pPr>
            <w:r>
              <w:rPr>
                <w:sz w:val="20"/>
                <w:szCs w:val="20"/>
              </w:rPr>
              <w:t xml:space="preserve">0. Preparation</w:t>
            </w:r>
          </w:p>
        </w:tc>
        <w:tc>
          <w:tcPr>
            <w:tcW w:w="4826" w:type="dxa"/>
            <w:vAlign w:val="top"/>
          </w:tcPr>
          <w:p>
            <w:pPr>
              <w:spacing w:before="0" w:after="0" w:line="240" w:lineRule="auto"/>
              <w:jc w:val="left"/>
            </w:pPr>
            <w:r>
              <w:rPr>
                <w:sz w:val="20"/>
                <w:szCs w:val="20"/>
              </w:rPr>
              <w:t xml:space="preserve">Set up PostgreSQL locally, restored the existing database, mapped the codebase, and wrote a technical design document (TDD) describing the current and target state.</w:t>
            </w:r>
          </w:p>
        </w:tc>
        <w:tc>
          <w:tcPr>
            <w:tcW w:w="2300" w:type="dxa"/>
            <w:vAlign w:val="top"/>
          </w:tcPr>
          <w:p>
            <w:pPr>
              <w:spacing w:before="0" w:after="0" w:line="240" w:lineRule="auto"/>
              <w:jc w:val="left"/>
            </w:pPr>
            <w:r>
              <w:rPr>
                <w:sz w:val="20"/>
                <w:szCs w:val="20"/>
              </w:rPr>
              <w:t xml:space="preserve">Working local environment; TDD</w:t>
            </w:r>
          </w:p>
        </w:tc>
      </w:tr>
      <w:tr>
        <w:tc>
          <w:tcPr>
            <w:tcW w:w="1900" w:type="dxa"/>
            <w:vAlign w:val="top"/>
          </w:tcPr>
          <w:p>
            <w:pPr>
              <w:spacing w:before="0" w:after="0" w:line="240" w:lineRule="auto"/>
              <w:jc w:val="left"/>
            </w:pPr>
            <w:r>
              <w:rPr>
                <w:sz w:val="20"/>
                <w:szCs w:val="20"/>
              </w:rPr>
              <w:t xml:space="preserve">1. Security foundation</w:t>
            </w:r>
          </w:p>
        </w:tc>
        <w:tc>
          <w:tcPr>
            <w:tcW w:w="4826" w:type="dxa"/>
            <w:vAlign w:val="top"/>
          </w:tcPr>
          <w:p>
            <w:pPr>
              <w:spacing w:before="0" w:after="0" w:line="240" w:lineRule="auto"/>
              <w:jc w:val="left"/>
            </w:pPr>
            <w:r>
              <w:rPr>
                <w:sz w:val="20"/>
                <w:szCs w:val="20"/>
              </w:rPr>
              <w:t xml:space="preserve">Moved the login token into an httpOnly cookie, required login on every API route, restricted all data changes to administrators, limited which websites may call the API, added security headers and request rate limiting, and served uploaded documents only to logged-in users.</w:t>
            </w:r>
          </w:p>
        </w:tc>
        <w:tc>
          <w:tcPr>
            <w:tcW w:w="2300" w:type="dxa"/>
            <w:vAlign w:val="top"/>
          </w:tcPr>
          <w:p>
            <w:pPr>
              <w:spacing w:before="0" w:after="0" w:line="240" w:lineRule="auto"/>
              <w:jc w:val="left"/>
            </w:pPr>
            <w:r>
              <w:rPr>
                <w:sz w:val="20"/>
                <w:szCs w:val="20"/>
              </w:rPr>
              <w:t xml:space="preserve">Closed the main security gaps without changing business rules</w:t>
            </w:r>
          </w:p>
        </w:tc>
      </w:tr>
      <w:tr>
        <w:tc>
          <w:tcPr>
            <w:tcW w:w="1900" w:type="dxa"/>
            <w:vAlign w:val="top"/>
          </w:tcPr>
          <w:p>
            <w:pPr>
              <w:spacing w:before="0" w:after="0" w:line="240" w:lineRule="auto"/>
              <w:jc w:val="left"/>
            </w:pPr>
            <w:r>
              <w:rPr>
                <w:sz w:val="20"/>
                <w:szCs w:val="20"/>
              </w:rPr>
              <w:t xml:space="preserve">2. Testing and code structure</w:t>
            </w:r>
          </w:p>
        </w:tc>
        <w:tc>
          <w:tcPr>
            <w:tcW w:w="4826" w:type="dxa"/>
            <w:vAlign w:val="top"/>
          </w:tcPr>
          <w:p>
            <w:pPr>
              <w:spacing w:before="0" w:after="0" w:line="240" w:lineRule="auto"/>
              <w:jc w:val="left"/>
            </w:pPr>
            <w:r>
              <w:rPr>
                <w:sz w:val="20"/>
                <w:szCs w:val="20"/>
              </w:rPr>
              <w:t xml:space="preserve">Built an automated backend test suite against a real test database and reorganised the backend so that business rules and SQL queries live in separate service and repository layers.</w:t>
            </w:r>
          </w:p>
        </w:tc>
        <w:tc>
          <w:tcPr>
            <w:tcW w:w="2300" w:type="dxa"/>
            <w:vAlign w:val="top"/>
          </w:tcPr>
          <w:p>
            <w:pPr>
              <w:spacing w:before="0" w:after="0" w:line="240" w:lineRule="auto"/>
              <w:jc w:val="left"/>
            </w:pPr>
            <w:r>
              <w:rPr>
                <w:sz w:val="20"/>
                <w:szCs w:val="20"/>
              </w:rPr>
              <w:t xml:space="preserve">Repeatable tests; clearer code layers</w:t>
            </w:r>
          </w:p>
        </w:tc>
      </w:tr>
      <w:tr>
        <w:tc>
          <w:tcPr>
            <w:tcW w:w="1900" w:type="dxa"/>
            <w:vAlign w:val="top"/>
          </w:tcPr>
          <w:p>
            <w:pPr>
              <w:spacing w:before="0" w:after="0" w:line="240" w:lineRule="auto"/>
              <w:jc w:val="left"/>
            </w:pPr>
            <w:r>
              <w:rPr>
                <w:sz w:val="20"/>
                <w:szCs w:val="20"/>
              </w:rPr>
              <w:t xml:space="preserve">3. Presentation polish</w:t>
            </w:r>
          </w:p>
        </w:tc>
        <w:tc>
          <w:tcPr>
            <w:tcW w:w="4826" w:type="dxa"/>
            <w:vAlign w:val="top"/>
          </w:tcPr>
          <w:p>
            <w:pPr>
              <w:spacing w:before="0" w:after="0" w:line="240" w:lineRule="auto"/>
              <w:jc w:val="left"/>
            </w:pPr>
            <w:r>
              <w:rPr>
                <w:sz w:val="20"/>
                <w:szCs w:val="20"/>
              </w:rPr>
              <w:t xml:space="preserve">Made the layout work on smaller screens (sidebar drawer, menu button), added loading placeholders, form validation, and consistent error messages.</w:t>
            </w:r>
          </w:p>
        </w:tc>
        <w:tc>
          <w:tcPr>
            <w:tcW w:w="2300" w:type="dxa"/>
            <w:vAlign w:val="top"/>
          </w:tcPr>
          <w:p>
            <w:pPr>
              <w:spacing w:before="0" w:after="0" w:line="240" w:lineRule="auto"/>
              <w:jc w:val="left"/>
            </w:pPr>
            <w:r>
              <w:rPr>
                <w:sz w:val="20"/>
                <w:szCs w:val="20"/>
              </w:rPr>
              <w:t xml:space="preserve">Usable interface on large and small screens</w:t>
            </w:r>
          </w:p>
        </w:tc>
      </w:tr>
      <w:tr>
        <w:tc>
          <w:tcPr>
            <w:tcW w:w="1900" w:type="dxa"/>
            <w:vAlign w:val="top"/>
          </w:tcPr>
          <w:p>
            <w:pPr>
              <w:spacing w:before="0" w:after="0" w:line="240" w:lineRule="auto"/>
              <w:jc w:val="left"/>
            </w:pPr>
            <w:r>
              <w:rPr>
                <w:sz w:val="20"/>
                <w:szCs w:val="20"/>
              </w:rPr>
              <w:t xml:space="preserve">4. Failure handling</w:t>
            </w:r>
          </w:p>
        </w:tc>
        <w:tc>
          <w:tcPr>
            <w:tcW w:w="4826" w:type="dxa"/>
            <w:vAlign w:val="top"/>
          </w:tcPr>
          <w:p>
            <w:pPr>
              <w:spacing w:before="0" w:after="0" w:line="240" w:lineRule="auto"/>
              <w:jc w:val="left"/>
            </w:pPr>
            <w:r>
              <w:rPr>
                <w:sz w:val="20"/>
                <w:szCs w:val="20"/>
              </w:rPr>
              <w:t xml:space="preserve">Turned database errors (such as duplicate or still-referenced records) into clear messages, added structured server logs and health checks.</w:t>
            </w:r>
          </w:p>
        </w:tc>
        <w:tc>
          <w:tcPr>
            <w:tcW w:w="2300" w:type="dxa"/>
            <w:vAlign w:val="top"/>
          </w:tcPr>
          <w:p>
            <w:pPr>
              <w:spacing w:before="0" w:after="0" w:line="240" w:lineRule="auto"/>
              <w:jc w:val="left"/>
            </w:pPr>
            <w:r>
              <w:rPr>
                <w:sz w:val="20"/>
                <w:szCs w:val="20"/>
              </w:rPr>
              <w:t xml:space="preserve">Predictable behaviour when something goes wrong</w:t>
            </w:r>
          </w:p>
        </w:tc>
      </w:tr>
      <w:tr>
        <w:tc>
          <w:tcPr>
            <w:tcW w:w="1900" w:type="dxa"/>
            <w:vAlign w:val="top"/>
          </w:tcPr>
          <w:p>
            <w:pPr>
              <w:spacing w:before="0" w:after="0" w:line="240" w:lineRule="auto"/>
              <w:jc w:val="left"/>
            </w:pPr>
            <w:r>
              <w:rPr>
                <w:sz w:val="20"/>
                <w:szCs w:val="20"/>
              </w:rPr>
              <w:t xml:space="preserve">5. Deployment path</w:t>
            </w:r>
          </w:p>
        </w:tc>
        <w:tc>
          <w:tcPr>
            <w:tcW w:w="4826" w:type="dxa"/>
            <w:vAlign w:val="top"/>
          </w:tcPr>
          <w:p>
            <w:pPr>
              <w:spacing w:before="0" w:after="0" w:line="240" w:lineRule="auto"/>
              <w:jc w:val="left"/>
            </w:pPr>
            <w:r>
              <w:rPr>
                <w:sz w:val="20"/>
                <w:szCs w:val="20"/>
              </w:rPr>
              <w:t xml:space="preserve">Packaged the system with Docker Compose (web server, API, database), set up a GitHub Actions pipeline that tests and builds every change, and added an end-to-end browser test.</w:t>
            </w:r>
          </w:p>
        </w:tc>
        <w:tc>
          <w:tcPr>
            <w:tcW w:w="2300" w:type="dxa"/>
            <w:vAlign w:val="top"/>
          </w:tcPr>
          <w:p>
            <w:pPr>
              <w:spacing w:before="0" w:after="0" w:line="240" w:lineRule="auto"/>
              <w:jc w:val="left"/>
            </w:pPr>
            <w:r>
              <w:rPr>
                <w:sz w:val="20"/>
                <w:szCs w:val="20"/>
              </w:rPr>
              <w:t xml:space="preserve">One-command start-up; automatic checks on every change</w:t>
            </w:r>
          </w:p>
        </w:tc>
      </w:tr>
      <w:tr>
        <w:tc>
          <w:tcPr>
            <w:tcW w:w="1900" w:type="dxa"/>
            <w:vAlign w:val="top"/>
          </w:tcPr>
          <w:p>
            <w:pPr>
              <w:spacing w:before="0" w:after="0" w:line="240" w:lineRule="auto"/>
              <w:jc w:val="left"/>
            </w:pPr>
            <w:r>
              <w:rPr>
                <w:sz w:val="20"/>
                <w:szCs w:val="20"/>
              </w:rPr>
              <w:t xml:space="preserve">6. Internal pilot and stakeholder requests</w:t>
            </w:r>
          </w:p>
        </w:tc>
        <w:tc>
          <w:tcPr>
            <w:tcW w:w="4826" w:type="dxa"/>
            <w:vAlign w:val="top"/>
          </w:tcPr>
          <w:p>
            <w:pPr>
              <w:spacing w:before="0" w:after="0" w:line="240" w:lineRule="auto"/>
              <w:jc w:val="left"/>
            </w:pPr>
            <w:r>
              <w:rPr>
                <w:sz w:val="20"/>
                <w:szCs w:val="20"/>
              </w:rPr>
              <w:t xml:space="preserve">Ran the system on the internal network, wrote a go-live checklist in English and Indonesian, limited what ordinary employees can see (USER role), and added a backup and restore page for administrators.</w:t>
            </w:r>
          </w:p>
        </w:tc>
        <w:tc>
          <w:tcPr>
            <w:tcW w:w="2300" w:type="dxa"/>
            <w:vAlign w:val="top"/>
          </w:tcPr>
          <w:p>
            <w:pPr>
              <w:spacing w:before="0" w:after="0" w:line="240" w:lineRule="auto"/>
              <w:jc w:val="left"/>
            </w:pPr>
            <w:r>
              <w:rPr>
                <w:sz w:val="20"/>
                <w:szCs w:val="20"/>
              </w:rPr>
              <w:t xml:space="preserve">Pilot-ready system; both requested features delivered</w:t>
            </w:r>
          </w:p>
        </w:tc>
      </w:tr>
      <w:tr>
        <w:tc>
          <w:tcPr>
            <w:tcW w:w="1900" w:type="dxa"/>
            <w:vAlign w:val="top"/>
          </w:tcPr>
          <w:p>
            <w:pPr>
              <w:spacing w:before="0" w:after="0" w:line="240" w:lineRule="auto"/>
              <w:jc w:val="left"/>
            </w:pPr>
            <w:r>
              <w:rPr>
                <w:sz w:val="20"/>
                <w:szCs w:val="20"/>
              </w:rPr>
              <w:t xml:space="preserve">7. Frontend tests</w:t>
            </w:r>
          </w:p>
        </w:tc>
        <w:tc>
          <w:tcPr>
            <w:tcW w:w="4826" w:type="dxa"/>
            <w:vAlign w:val="top"/>
          </w:tcPr>
          <w:p>
            <w:pPr>
              <w:spacing w:before="0" w:after="0" w:line="240" w:lineRule="auto"/>
              <w:jc w:val="left"/>
            </w:pPr>
            <w:r>
              <w:rPr>
                <w:sz w:val="20"/>
                <w:szCs w:val="20"/>
              </w:rPr>
              <w:t xml:space="preserve">Added unit tests for the main pages, forms, and data hooks of the user interface.</w:t>
            </w:r>
          </w:p>
        </w:tc>
        <w:tc>
          <w:tcPr>
            <w:tcW w:w="2300" w:type="dxa"/>
            <w:vAlign w:val="top"/>
          </w:tcPr>
          <w:p>
            <w:pPr>
              <w:spacing w:before="0" w:after="0" w:line="240" w:lineRule="auto"/>
              <w:jc w:val="left"/>
            </w:pPr>
            <w:r>
              <w:rPr>
                <w:sz w:val="20"/>
                <w:szCs w:val="20"/>
              </w:rPr>
              <w:t xml:space="preserve">Frontend regression safety net</w:t>
            </w:r>
          </w:p>
        </w:tc>
      </w:tr>
    </w:tbl>
    <w:p>
      <w:pPr>
        <w:spacing w:before="0" w:after="60" w:line="240" w:lineRule="auto"/>
        <w:jc w:val="both"/>
      </w:pPr>
    </w:p>
    <w:p>
      <w:pPr>
        <w:spacing w:before="0" w:after="120" w:line="360" w:lineRule="auto"/>
        <w:jc w:val="both"/>
      </w:pPr>
      <w:r>
        <w:rPr>
          <w:sz w:val="24"/>
          <w:szCs w:val="24"/>
        </w:rPr>
        <w:t xml:space="preserve">Alongside the planned phases I fixed defects found during trial use, for example an internal server error when a user changed their password from the profile page, and a backup button that failed with the message "Gagal membuat backup" (failed to create backup). The finished system was pushed to a GitHub repository on 29 June 2026.</w:t>
      </w:r>
    </w:p>
    <w:p>
      <w:pPr>
        <w:keepNext w:val="1"/>
        <w:spacing w:before="120" w:after="60" w:line="360" w:lineRule="auto"/>
        <w:jc w:val="left"/>
      </w:pPr>
      <w:r>
        <w:rPr>
          <w:b w:val="1"/>
          <w:i w:val="1"/>
          <w:sz w:val="24"/>
          <w:szCs w:val="24"/>
        </w:rPr>
        <w:t xml:space="preserve">3.1.3 Tools Used</w:t>
      </w:r>
    </w:p>
    <w:p>
      <w:pPr>
        <w:spacing w:before="0" w:after="120" w:line="360" w:lineRule="auto"/>
        <w:jc w:val="both"/>
      </w:pPr>
      <w:r>
        <w:rPr>
          <w:sz w:val="24"/>
          <w:szCs w:val="24"/>
        </w:rPr>
        <w:t xml:space="preserve">React 18 and Vite for the user interface; Express 4 on Node.js for the API; PostgreSQL 18 for the database; Docker and Docker Compose for packaging; GitHub Actions for continuous integration; Vitest, Supertest, React Testing Library, and Playwright for automated testing; and Git and GitHub for version control.</w:t>
      </w:r>
    </w:p>
    <w:p>
      <w:pPr>
        <w:keepNext w:val="1"/>
        <w:spacing w:before="240" w:after="120" w:line="360" w:lineRule="auto"/>
        <w:jc w:val="left"/>
      </w:pPr>
      <w:r>
        <w:rPr>
          <w:b w:val="1"/>
          <w:sz w:val="24"/>
          <w:szCs w:val="24"/>
        </w:rPr>
        <w:t xml:space="preserve">3.2 RTB Division: Tongkat Gaib Excel Report Automation Tool</w:t>
      </w:r>
    </w:p>
    <w:p>
      <w:pPr>
        <w:keepNext w:val="1"/>
        <w:spacing w:before="120" w:after="60" w:line="360" w:lineRule="auto"/>
        <w:jc w:val="left"/>
      </w:pPr>
      <w:r>
        <w:rPr>
          <w:b w:val="1"/>
          <w:i w:val="1"/>
          <w:sz w:val="24"/>
          <w:szCs w:val="24"/>
        </w:rPr>
        <w:t xml:space="preserve">3.2.1 Assignment Overview</w:t>
      </w:r>
    </w:p>
    <w:p>
      <w:pPr>
        <w:spacing w:before="0" w:after="120" w:line="360" w:lineRule="auto"/>
        <w:jc w:val="both"/>
      </w:pPr>
      <w:r>
        <w:rPr>
          <w:sz w:val="24"/>
          <w:szCs w:val="24"/>
        </w:rPr>
        <w:t xml:space="preserve">The RTB division produces a set of recurring Excel reports from data extracts downloaded from the company's systems. Each report was built by hand. Staff pasted a pipe-delimited (|) text extract into Excel and split it with Text to Columns, added branch codes and names with VLOOKUP against a mapping workbook, built a PivotTable filtered by customer segment, and then reformatted it (tabular layout, no subtotals, and a number format that shows large rupiah values in full instead of as E+12). For the giro report, staff searched for each account in the monthly file with Ctrl+F and copied its balance into a master list by hand.</w:t>
      </w:r>
    </w:p>
    <w:p>
      <w:pPr>
        <w:spacing w:before="0" w:after="120" w:line="360" w:lineRule="auto"/>
        <w:jc w:val="both"/>
      </w:pPr>
      <w:r>
        <w:rPr>
          <w:sz w:val="24"/>
          <w:szCs w:val="24"/>
        </w:rPr>
        <w:t xml:space="preserve">This process was repetitive and slow with large extracts. It was also easy to get wrong: a segment ticked by mistake, a broken VLOOKUP range, or a mistyped balance could change the report without anyone noticing. My assignment was to automate these reports so that each one only needs the right input files and a single click.</w:t>
      </w:r>
    </w:p>
    <w:p>
      <w:pPr>
        <w:keepNext w:val="1"/>
        <w:spacing w:before="120" w:after="60" w:line="360" w:lineRule="auto"/>
        <w:jc w:val="left"/>
      </w:pPr>
      <w:r>
        <w:rPr>
          <w:b w:val="1"/>
          <w:i w:val="1"/>
          <w:sz w:val="24"/>
          <w:szCs w:val="24"/>
        </w:rPr>
        <w:t xml:space="preserve">3.2.2 Activities</w:t>
      </w:r>
    </w:p>
    <w:p>
      <w:pPr>
        <w:spacing w:before="0" w:after="120" w:line="360" w:lineRule="auto"/>
        <w:jc w:val="both"/>
      </w:pPr>
      <w:r>
        <w:rPr>
          <w:sz w:val="24"/>
          <w:szCs w:val="24"/>
        </w:rPr>
        <w:t xml:space="preserve">I started by documenting the manual process step by step and writing a technical design for the automated pipeline. After that I worked in short release cycles. Each cycle added a report or fixed a problem that RTB staff found while running the tool on real monthly files. Table 3.2 lists the main milestones.</w:t>
      </w:r>
    </w:p>
    <w:p>
      <w:pPr>
        <w:keepNext w:val="1"/>
        <w:spacing w:before="120" w:after="60" w:line="240" w:lineRule="auto"/>
        <w:jc w:val="center"/>
      </w:pPr>
      <w:r>
        <w:rPr>
          <w:b w:val="1"/>
          <w:sz w:val="20"/>
          <w:szCs w:val="20"/>
        </w:rPr>
        <w:t xml:space="preserve">Table 3.2 Activities carried out for the RTB division</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1900"/>
        <w:gridCol w:w="7126"/>
      </w:tblGrid>
      <w:tr>
        <w:trPr>
          <w:tblHeader w:val="1"/>
        </w:trPr>
        <w:tc>
          <w:tcPr>
            <w:tcW w:w="1900" w:type="dxa"/>
            <w:shd w:val="clear" w:color="auto" w:fill="D9D9D9"/>
            <w:vAlign w:val="top"/>
          </w:tcPr>
          <w:p>
            <w:pPr>
              <w:spacing w:before="0" w:after="0" w:line="240" w:lineRule="auto"/>
              <w:jc w:val="left"/>
            </w:pPr>
            <w:r>
              <w:rPr>
                <w:b w:val="1"/>
                <w:sz w:val="20"/>
                <w:szCs w:val="20"/>
              </w:rPr>
              <w:t xml:space="preserve">Date (2026)</w:t>
            </w:r>
          </w:p>
        </w:tc>
        <w:tc>
          <w:tcPr>
            <w:tcW w:w="7126" w:type="dxa"/>
            <w:shd w:val="clear" w:color="auto" w:fill="D9D9D9"/>
            <w:vAlign w:val="top"/>
          </w:tcPr>
          <w:p>
            <w:pPr>
              <w:spacing w:before="0" w:after="0" w:line="240" w:lineRule="auto"/>
              <w:jc w:val="left"/>
            </w:pPr>
            <w:r>
              <w:rPr>
                <w:b w:val="1"/>
                <w:sz w:val="20"/>
                <w:szCs w:val="20"/>
              </w:rPr>
              <w:t xml:space="preserve">Activity</w:t>
            </w:r>
          </w:p>
        </w:tc>
      </w:tr>
      <w:tr>
        <w:tc>
          <w:tcPr>
            <w:tcW w:w="1900" w:type="dxa"/>
            <w:vAlign w:val="top"/>
          </w:tcPr>
          <w:p>
            <w:pPr>
              <w:spacing w:before="0" w:after="0" w:line="240" w:lineRule="auto"/>
              <w:jc w:val="left"/>
            </w:pPr>
            <w:r>
              <w:rPr>
                <w:sz w:val="20"/>
                <w:szCs w:val="20"/>
              </w:rPr>
              <w:t xml:space="preserve">21 July</w:t>
            </w:r>
          </w:p>
        </w:tc>
        <w:tc>
          <w:tcPr>
            <w:tcW w:w="7126" w:type="dxa"/>
            <w:vAlign w:val="top"/>
          </w:tcPr>
          <w:p>
            <w:pPr>
              <w:spacing w:before="0" w:after="0" w:line="240" w:lineRule="auto"/>
              <w:jc w:val="left"/>
            </w:pPr>
            <w:r>
              <w:rPr>
                <w:sz w:val="20"/>
                <w:szCs w:val="20"/>
              </w:rPr>
              <w:t xml:space="preserve">Documented the manual Excel workflow, wrote the technical design, and released the first version (Report Summary Akumulasi) with a desktop window and a command-line mode.</w:t>
            </w:r>
          </w:p>
        </w:tc>
      </w:tr>
      <w:tr>
        <w:tc>
          <w:tcPr>
            <w:tcW w:w="1900" w:type="dxa"/>
            <w:vAlign w:val="top"/>
          </w:tcPr>
          <w:p>
            <w:pPr>
              <w:spacing w:before="0" w:after="0" w:line="240" w:lineRule="auto"/>
              <w:jc w:val="left"/>
            </w:pPr>
            <w:r>
              <w:rPr>
                <w:sz w:val="20"/>
                <w:szCs w:val="20"/>
              </w:rPr>
              <w:t xml:space="preserve">22 July</w:t>
            </w:r>
          </w:p>
        </w:tc>
        <w:tc>
          <w:tcPr>
            <w:tcW w:w="7126" w:type="dxa"/>
            <w:vAlign w:val="top"/>
          </w:tcPr>
          <w:p>
            <w:pPr>
              <w:spacing w:before="0" w:after="0" w:line="240" w:lineRule="auto"/>
              <w:jc w:val="left"/>
            </w:pPr>
            <w:r>
              <w:rPr>
                <w:sz w:val="20"/>
                <w:szCs w:val="20"/>
              </w:rPr>
              <w:t xml:space="preserve">Accepted the real mapping workbook's column names and sheet layout, so staff no longer had to rename columns before a run.</w:t>
            </w:r>
          </w:p>
        </w:tc>
      </w:tr>
      <w:tr>
        <w:tc>
          <w:tcPr>
            <w:tcW w:w="1900" w:type="dxa"/>
            <w:vAlign w:val="top"/>
          </w:tcPr>
          <w:p>
            <w:pPr>
              <w:spacing w:before="0" w:after="0" w:line="240" w:lineRule="auto"/>
              <w:jc w:val="left"/>
            </w:pPr>
            <w:r>
              <w:rPr>
                <w:sz w:val="20"/>
                <w:szCs w:val="20"/>
              </w:rPr>
              <w:t xml:space="preserve">24 July</w:t>
            </w:r>
          </w:p>
        </w:tc>
        <w:tc>
          <w:tcPr>
            <w:tcW w:w="7126" w:type="dxa"/>
            <w:vAlign w:val="top"/>
          </w:tcPr>
          <w:p>
            <w:pPr>
              <w:spacing w:before="0" w:after="0" w:line="240" w:lineRule="auto"/>
              <w:jc w:val="left"/>
            </w:pPr>
            <w:r>
              <w:rPr>
                <w:sz w:val="20"/>
                <w:szCs w:val="20"/>
              </w:rPr>
              <w:t xml:space="preserve">Added Sum of FBI to Akumulasi; added the Time Series FBI Briva and Active User Qlola reports and the Rincian Vol TF and Rincian Portal BG reports; checked results against reports staff had made by hand; named the tool Tongkat Gaib Excel.</w:t>
            </w:r>
          </w:p>
        </w:tc>
      </w:tr>
      <w:tr>
        <w:tc>
          <w:tcPr>
            <w:tcW w:w="1900" w:type="dxa"/>
            <w:vAlign w:val="top"/>
          </w:tcPr>
          <w:p>
            <w:pPr>
              <w:spacing w:before="0" w:after="0" w:line="240" w:lineRule="auto"/>
              <w:jc w:val="left"/>
            </w:pPr>
            <w:r>
              <w:rPr>
                <w:sz w:val="20"/>
                <w:szCs w:val="20"/>
              </w:rPr>
              <w:t xml:space="preserve">27 July</w:t>
            </w:r>
          </w:p>
        </w:tc>
        <w:tc>
          <w:tcPr>
            <w:tcW w:w="7126" w:type="dxa"/>
            <w:vAlign w:val="top"/>
          </w:tcPr>
          <w:p>
            <w:pPr>
              <w:spacing w:before="0" w:after="0" w:line="240" w:lineRule="auto"/>
              <w:jc w:val="left"/>
            </w:pPr>
            <w:r>
              <w:rPr>
                <w:sz w:val="20"/>
                <w:szCs w:val="20"/>
              </w:rPr>
              <w:t xml:space="preserve">Fixed how Qlola user IDs are matched to the master data, switched outputs to plain whole numbers, and released a standalone Windows program that needs no Python installation.</w:t>
            </w:r>
          </w:p>
        </w:tc>
      </w:tr>
      <w:tr>
        <w:tc>
          <w:tcPr>
            <w:tcW w:w="1900" w:type="dxa"/>
            <w:vAlign w:val="top"/>
          </w:tcPr>
          <w:p>
            <w:pPr>
              <w:spacing w:before="0" w:after="0" w:line="240" w:lineRule="auto"/>
              <w:jc w:val="left"/>
            </w:pPr>
            <w:r>
              <w:rPr>
                <w:sz w:val="20"/>
                <w:szCs w:val="20"/>
              </w:rPr>
              <w:t xml:space="preserve">8 to 13 August</w:t>
            </w:r>
          </w:p>
        </w:tc>
        <w:tc>
          <w:tcPr>
            <w:tcW w:w="7126" w:type="dxa"/>
            <w:vAlign w:val="top"/>
          </w:tcPr>
          <w:p>
            <w:pPr>
              <w:spacing w:before="0" w:after="0" w:line="240" w:lineRule="auto"/>
              <w:jc w:val="left"/>
            </w:pPr>
            <w:r>
              <w:rPr>
                <w:sz w:val="20"/>
                <w:szCs w:val="20"/>
              </w:rPr>
              <w:t xml:space="preserve">Added Report Data Statis and Report Giro (automatic balance update of the giro master list) and made filters editable per run.</w:t>
            </w:r>
          </w:p>
        </w:tc>
      </w:tr>
      <w:tr>
        <w:tc>
          <w:tcPr>
            <w:tcW w:w="1900" w:type="dxa"/>
            <w:vAlign w:val="top"/>
          </w:tcPr>
          <w:p>
            <w:pPr>
              <w:spacing w:before="0" w:after="0" w:line="240" w:lineRule="auto"/>
              <w:jc w:val="left"/>
            </w:pPr>
            <w:r>
              <w:rPr>
                <w:sz w:val="20"/>
                <w:szCs w:val="20"/>
              </w:rPr>
              <w:t xml:space="preserve">15 August</w:t>
            </w:r>
          </w:p>
        </w:tc>
        <w:tc>
          <w:tcPr>
            <w:tcW w:w="7126" w:type="dxa"/>
            <w:vAlign w:val="top"/>
          </w:tcPr>
          <w:p>
            <w:pPr>
              <w:spacing w:before="0" w:after="0" w:line="240" w:lineRule="auto"/>
              <w:jc w:val="left"/>
            </w:pPr>
            <w:r>
              <w:rPr>
                <w:sz w:val="20"/>
                <w:szCs w:val="20"/>
              </w:rPr>
              <w:t xml:space="preserve">Reworked the filters into SEGMENT, SOURCE, and KW keep-lists after feedback from RTB staff.</w:t>
            </w:r>
          </w:p>
        </w:tc>
      </w:tr>
      <w:tr>
        <w:tc>
          <w:tcPr>
            <w:tcW w:w="1900" w:type="dxa"/>
            <w:vAlign w:val="top"/>
          </w:tcPr>
          <w:p>
            <w:pPr>
              <w:spacing w:before="0" w:after="0" w:line="240" w:lineRule="auto"/>
              <w:jc w:val="left"/>
            </w:pPr>
            <w:r>
              <w:rPr>
                <w:sz w:val="20"/>
                <w:szCs w:val="20"/>
              </w:rPr>
              <w:t xml:space="preserve">17 to 20 August</w:t>
            </w:r>
          </w:p>
        </w:tc>
        <w:tc>
          <w:tcPr>
            <w:tcW w:w="7126" w:type="dxa"/>
            <w:vAlign w:val="top"/>
          </w:tcPr>
          <w:p>
            <w:pPr>
              <w:spacing w:before="0" w:after="0" w:line="240" w:lineRule="auto"/>
              <w:jc w:val="left"/>
            </w:pPr>
            <w:r>
              <w:rPr>
                <w:sz w:val="20"/>
                <w:szCs w:val="20"/>
              </w:rPr>
              <w:t xml:space="preserve">Fixed Report Data Statis runs, let Report Giro fill both the original and later master files (including old .xls files), warned on empty extracts, and recovered header rows placed in the middle of a sheet.</w:t>
            </w:r>
          </w:p>
        </w:tc>
      </w:tr>
      <w:tr>
        <w:tc>
          <w:tcPr>
            <w:tcW w:w="1900" w:type="dxa"/>
            <w:vAlign w:val="top"/>
          </w:tcPr>
          <w:p>
            <w:pPr>
              <w:spacing w:before="0" w:after="0" w:line="240" w:lineRule="auto"/>
              <w:jc w:val="left"/>
            </w:pPr>
            <w:r>
              <w:rPr>
                <w:sz w:val="20"/>
                <w:szCs w:val="20"/>
              </w:rPr>
              <w:t xml:space="preserve">21 August</w:t>
            </w:r>
          </w:p>
        </w:tc>
        <w:tc>
          <w:tcPr>
            <w:tcW w:w="7126" w:type="dxa"/>
            <w:vAlign w:val="top"/>
          </w:tcPr>
          <w:p>
            <w:pPr>
              <w:spacing w:before="0" w:after="0" w:line="240" w:lineRule="auto"/>
              <w:jc w:val="left"/>
            </w:pPr>
            <w:r>
              <w:rPr>
                <w:sz w:val="20"/>
                <w:szCs w:val="20"/>
              </w:rPr>
              <w:t xml:space="preserve">Ordered every summary in the same branch order as the division's dashboard, replaced technical error popups with plain-language guidance, showed the valid filter values next to each box, and wrote the operator guide (START HERE) and the system requirements sheet.</w:t>
            </w:r>
          </w:p>
        </w:tc>
      </w:tr>
    </w:tbl>
    <w:p>
      <w:pPr>
        <w:spacing w:before="0" w:after="60" w:line="240" w:lineRule="auto"/>
        <w:jc w:val="both"/>
      </w:pPr>
    </w:p>
    <w:p>
      <w:pPr>
        <w:keepNext w:val="1"/>
        <w:spacing w:before="120" w:after="60" w:line="360" w:lineRule="auto"/>
        <w:jc w:val="left"/>
      </w:pPr>
      <w:r>
        <w:rPr>
          <w:b w:val="1"/>
          <w:i w:val="1"/>
          <w:sz w:val="24"/>
          <w:szCs w:val="24"/>
        </w:rPr>
        <w:t xml:space="preserve">3.2.3 Tools Used</w:t>
      </w:r>
    </w:p>
    <w:p>
      <w:pPr>
        <w:spacing w:before="0" w:after="120" w:line="360" w:lineRule="auto"/>
        <w:jc w:val="both"/>
      </w:pPr>
      <w:r>
        <w:rPr>
          <w:sz w:val="24"/>
          <w:szCs w:val="24"/>
        </w:rPr>
        <w:t xml:space="preserve">Python with pandas for data processing; openpyxl and xlrd for reading and writing Excel files; Tkinter for the desktop window; Typer for the command-line mode; Pydantic for configuration checks; pytest for automated testing; PyInstaller to build the standalone Windows program; and Git and GitHub for version control.</w:t>
      </w:r>
    </w:p>
    <w:p w:rsidR="00000000" w:rsidDel="00000000" w:rsidP="00000000" w:rsidRDefault="00000000" w:rsidRPr="00000000" w14:paraId="0000001D">
      <w:pPr>
        <w:rPr>
          <w:b w:val="1"/>
          <w:sz w:val="28"/>
          <w:szCs w:val="28"/>
        </w:rPr>
      </w:pPr>
      <w:r w:rsidDel="00000000" w:rsidR="00000000" w:rsidRPr="00000000">
        <w:rPr>
          <w:rtl w:val="0"/>
        </w:rPr>
      </w:r>
    </w:p>
    <w:p w:rsidR="00000000" w:rsidDel="00000000" w:rsidP="00000000" w:rsidRDefault="00000000" w:rsidRPr="00000000" w14:paraId="0000001E">
      <w:pPr>
        <w:rPr>
          <w:b w:val="1"/>
          <w:sz w:val="28"/>
          <w:szCs w:val="28"/>
        </w:rPr>
      </w:pPr>
      <w:r w:rsidDel="00000000" w:rsidR="00000000" w:rsidRPr="00000000">
        <w:rPr>
          <w:b w:val="1"/>
          <w:sz w:val="28"/>
          <w:szCs w:val="28"/>
          <w:rtl w:val="0"/>
        </w:rPr>
        <w:t xml:space="preserve">Chapter 4. ANALYSIS AND INTEPRETATION</w:t>
      </w:r>
    </w:p>
    <w:p>
      <w:pPr>
        <w:spacing w:before="0" w:after="120" w:line="360" w:lineRule="auto"/>
        <w:jc w:val="both"/>
      </w:pPr>
      <w:r>
        <w:rPr>
          <w:sz w:val="24"/>
          <w:szCs w:val="24"/>
        </w:rPr>
        <w:t xml:space="preserve">This chapter reviews the two projects described in Chapter 3. Section 4.1 sets out what I learned from each one, along with its benefits, advantages, disadvantages, and recommendations. Section 4.2 compares the work with theory from lectures, and Section 4.3 gives suggestions for improvement.</w:t>
      </w:r>
    </w:p>
    <w:p>
      <w:pPr>
        <w:keepNext w:val="1"/>
        <w:spacing w:before="240" w:after="120" w:line="360" w:lineRule="auto"/>
        <w:jc w:val="left"/>
      </w:pPr>
      <w:r>
        <w:rPr>
          <w:b w:val="1"/>
          <w:sz w:val="24"/>
          <w:szCs w:val="24"/>
        </w:rPr>
        <w:t xml:space="preserve">4.1 Insight Gained from Each Activity</w:t>
      </w:r>
    </w:p>
    <w:p>
      <w:pPr>
        <w:keepNext w:val="1"/>
        <w:spacing w:before="120" w:after="60" w:line="360" w:lineRule="auto"/>
        <w:jc w:val="left"/>
      </w:pPr>
      <w:r>
        <w:rPr>
          <w:b w:val="1"/>
          <w:i w:val="1"/>
          <w:sz w:val="24"/>
          <w:szCs w:val="24"/>
        </w:rPr>
        <w:t xml:space="preserve">4.1.1 IT Division: Perangkat IT Asset Management System</w:t>
      </w:r>
    </w:p>
    <w:p>
      <w:pPr>
        <w:spacing w:before="0" w:after="120" w:line="360" w:lineRule="auto"/>
        <w:jc w:val="both"/>
      </w:pPr>
      <w:r>
        <w:rPr>
          <w:b w:val="1"/>
          <w:sz w:val="24"/>
          <w:szCs w:val="24"/>
        </w:rPr>
        <w:t xml:space="preserve">Understanding and insight gained. </w:t>
      </w:r>
      <w:r>
        <w:rPr>
          <w:sz w:val="24"/>
          <w:szCs w:val="24"/>
        </w:rPr>
        <w:t xml:space="preserve">An application that works is not the same as one that is ready to use. Every page of Perangkat IT already worked, yet anyone on the network could read employee and device data, and nothing proved that a change in one place had not broken another. I learned to read an existing codebase before changing it, to check the real database schema instead of trusting the documents, and to improve a live system in small steps that keep its existing behaviour intact.</w:t>
      </w:r>
    </w:p>
    <w:p>
      <w:pPr>
        <w:spacing w:before="0" w:after="120" w:line="360" w:lineRule="auto"/>
        <w:jc w:val="both"/>
      </w:pPr>
      <w:r>
        <w:rPr>
          <w:b w:val="1"/>
          <w:sz w:val="24"/>
          <w:szCs w:val="24"/>
        </w:rPr>
        <w:t xml:space="preserve">Benefits. </w:t>
      </w:r>
      <w:r>
        <w:rPr>
          <w:sz w:val="24"/>
          <w:szCs w:val="24"/>
        </w:rPr>
        <w:t xml:space="preserve">The IT division now has one place to see which devices exist, who holds them, and how their status has changed over time. Each assignment has its handover document attached, and every change is recorded in an audit log. Administrators can take and download a backup from the application itself, and ordinary employees see only their own devices.</w:t>
      </w:r>
    </w:p>
    <w:p>
      <w:pPr>
        <w:spacing w:before="0" w:after="120" w:line="360" w:lineRule="auto"/>
        <w:jc w:val="both"/>
      </w:pPr>
      <w:r>
        <w:rPr>
          <w:b w:val="1"/>
          <w:sz w:val="24"/>
          <w:szCs w:val="24"/>
        </w:rPr>
        <w:t xml:space="preserve">Advantages. </w:t>
      </w:r>
      <w:r>
        <w:rPr>
          <w:sz w:val="24"/>
          <w:szCs w:val="24"/>
        </w:rPr>
        <w:t xml:space="preserve">Access rules are enforced on the server and in the database queries, not only by hiding buttons, so a user cannot get around them by calling the API directly. Key rules, such as one active assignment per device, are enforced by the database itself. About 180 automated tests and a CI pipeline check every change, and Docker lets the whole system start the same way on any machine.</w:t>
      </w:r>
    </w:p>
    <w:p>
      <w:pPr>
        <w:spacing w:before="0" w:after="120" w:line="360" w:lineRule="auto"/>
        <w:jc w:val="both"/>
      </w:pPr>
      <w:r>
        <w:rPr>
          <w:b w:val="1"/>
          <w:sz w:val="24"/>
          <w:szCs w:val="24"/>
        </w:rPr>
        <w:t xml:space="preserve">Disadvantages. </w:t>
      </w:r>
      <w:r>
        <w:rPr>
          <w:sz w:val="24"/>
          <w:szCs w:val="24"/>
        </w:rPr>
        <w:t xml:space="preserve">The system is currently set up for an internal pilot. Public HTTPS hosting, scheduled off-machine backups, and a rehearsed restore procedure were deferred to a later phase. Device and employee data still has to be typed in by hand, and the system is not linked to the company's employee directory or single sign-on.</w:t>
      </w:r>
    </w:p>
    <w:p>
      <w:pPr>
        <w:spacing w:before="0" w:after="120" w:line="360" w:lineRule="auto"/>
        <w:jc w:val="both"/>
      </w:pPr>
      <w:r>
        <w:rPr>
          <w:b w:val="1"/>
          <w:sz w:val="24"/>
          <w:szCs w:val="24"/>
        </w:rPr>
        <w:t xml:space="preserve">Recommendations. </w:t>
      </w:r>
      <w:r>
        <w:rPr>
          <w:sz w:val="24"/>
          <w:szCs w:val="24"/>
        </w:rPr>
        <w:t xml:space="preserve">Finish the production phase (HTTPS, scheduled backups, and a tested restore) before opening the system beyond the pilot group. Name a maintainer within the IT division who owns the deployment and the go-live checklist after my internship ends.</w:t>
      </w:r>
    </w:p>
    <w:p>
      <w:pPr>
        <w:keepNext w:val="1"/>
        <w:spacing w:before="120" w:after="60" w:line="360" w:lineRule="auto"/>
        <w:jc w:val="left"/>
      </w:pPr>
      <w:r>
        <w:rPr>
          <w:b w:val="1"/>
          <w:i w:val="1"/>
          <w:sz w:val="24"/>
          <w:szCs w:val="24"/>
        </w:rPr>
        <w:t xml:space="preserve">4.1.2 RTB Division: Tongkat Gaib Excel Report Automation Tool</w:t>
      </w:r>
    </w:p>
    <w:p>
      <w:pPr>
        <w:spacing w:before="0" w:after="120" w:line="360" w:lineRule="auto"/>
        <w:jc w:val="both"/>
      </w:pPr>
      <w:r>
        <w:rPr>
          <w:b w:val="1"/>
          <w:sz w:val="24"/>
          <w:szCs w:val="24"/>
        </w:rPr>
        <w:t xml:space="preserve">Understanding and insight gained. </w:t>
      </w:r>
      <w:r>
        <w:rPr>
          <w:sz w:val="24"/>
          <w:szCs w:val="24"/>
        </w:rPr>
        <w:t xml:space="preserve">To automate a business process, you first have to understand it exactly. The real requirements were not written down anywhere; they lived in the clicks staff made in Excel. Details such as which segment is unticked in a pivot, which rounding the dashboard expects, or which branch comes first only came out by watching staff work and comparing my output to theirs. I also learned that the people who use a tool decide whether it succeeds. A correct report is not enough if the filters are confusing or an error message cannot be understood.</w:t>
      </w:r>
    </w:p>
    <w:p>
      <w:pPr>
        <w:spacing w:before="0" w:after="120" w:line="360" w:lineRule="auto"/>
        <w:jc w:val="both"/>
      </w:pPr>
      <w:r>
        <w:rPr>
          <w:b w:val="1"/>
          <w:sz w:val="24"/>
          <w:szCs w:val="24"/>
        </w:rPr>
        <w:t xml:space="preserve">Benefits. </w:t>
      </w:r>
      <w:r>
        <w:rPr>
          <w:sz w:val="24"/>
          <w:szCs w:val="24"/>
        </w:rPr>
        <w:t xml:space="preserve">Seven recurring reports that used to take several manual Excel steps each are now produced by choosing the input files and clicking Run. Report Giro removes the manual Ctrl+F lookup of every account balance. Each summary comes out in the dashboard's branch order, so it can be pasted straight in.</w:t>
      </w:r>
    </w:p>
    <w:p>
      <w:pPr>
        <w:spacing w:before="0" w:after="120" w:line="360" w:lineRule="auto"/>
        <w:jc w:val="both"/>
      </w:pPr>
      <w:r>
        <w:rPr>
          <w:b w:val="1"/>
          <w:sz w:val="24"/>
          <w:szCs w:val="24"/>
        </w:rPr>
        <w:t xml:space="preserve">Advantages. </w:t>
      </w:r>
      <w:r>
        <w:rPr>
          <w:sz w:val="24"/>
          <w:szCs w:val="24"/>
        </w:rPr>
        <w:t xml:space="preserve">The tool gives the same result every time for the same input, never modifies the input files, and states on each report which filters were applied. It runs as a single Windows program without Python or Excel installed. 279 automated tests cover each report, including tests that compare output against reports staff made by hand.</w:t>
      </w:r>
    </w:p>
    <w:p>
      <w:pPr>
        <w:spacing w:before="0" w:after="120" w:line="360" w:lineRule="auto"/>
        <w:jc w:val="both"/>
      </w:pPr>
      <w:r>
        <w:rPr>
          <w:b w:val="1"/>
          <w:sz w:val="24"/>
          <w:szCs w:val="24"/>
        </w:rPr>
        <w:t xml:space="preserve">Disadvantages. </w:t>
      </w:r>
      <w:r>
        <w:rPr>
          <w:sz w:val="24"/>
          <w:szCs w:val="24"/>
        </w:rPr>
        <w:t xml:space="preserve">The tool depends on the layout of the system extracts. If the source system renames a column or adds a new segment, the tool must be updated. Some settings, such as the dashboard branch order and the valid filter values, are kept in the program code rather than in a file staff can edit. The tool runs only on Windows, and I was its only developer, so ongoing maintenance needs a handover.</w:t>
      </w:r>
    </w:p>
    <w:p>
      <w:pPr>
        <w:spacing w:before="0" w:after="120" w:line="360" w:lineRule="auto"/>
        <w:jc w:val="both"/>
      </w:pPr>
      <w:r>
        <w:rPr>
          <w:b w:val="1"/>
          <w:sz w:val="24"/>
          <w:szCs w:val="24"/>
        </w:rPr>
        <w:t xml:space="preserve">Recommendations. </w:t>
      </w:r>
      <w:r>
        <w:rPr>
          <w:sz w:val="24"/>
          <w:szCs w:val="24"/>
        </w:rPr>
        <w:t xml:space="preserve">Move the branch order and filter values into an editable configuration file, keep a folder of sample extracts to re-test the tool whenever the source format changes, and hand the source code and documentation over to a named person in the division.</w:t>
      </w:r>
    </w:p>
    <w:p>
      <w:pPr>
        <w:keepNext w:val="1"/>
        <w:spacing w:before="240" w:after="120" w:line="360" w:lineRule="auto"/>
        <w:jc w:val="left"/>
      </w:pPr>
      <w:r>
        <w:rPr>
          <w:b w:val="1"/>
          <w:sz w:val="24"/>
          <w:szCs w:val="24"/>
        </w:rPr>
        <w:t xml:space="preserve">4.2 Analysis and Interpretation Compared with Theory from Lectures</w:t>
      </w:r>
    </w:p>
    <w:p>
      <w:pPr>
        <w:spacing w:before="0" w:after="120" w:line="360" w:lineRule="auto"/>
        <w:jc w:val="both"/>
      </w:pPr>
      <w:r>
        <w:rPr>
          <w:b w:val="1"/>
          <w:sz w:val="24"/>
          <w:szCs w:val="24"/>
        </w:rPr>
        <w:t xml:space="preserve">Database design. </w:t>
      </w:r>
      <w:r>
        <w:rPr>
          <w:sz w:val="24"/>
          <w:szCs w:val="24"/>
        </w:rPr>
        <w:t xml:space="preserve">Lectures on relational databases teach normalisation, primary and foreign keys, and integrity constraints. Perangkat IT showed why these matter. The schema separates devices, employees, accounts, assignments, and status history into their own tables, linked by foreign keys. Check constraints and partial unique indexes guarantee that a device has at most one active assignment and one active status at any time. Because the database enforces these rules, they hold even if the application code has a bug. The status history table also puts the idea of an audit trail from database theory into practice.</w:t>
      </w:r>
    </w:p>
    <w:p>
      <w:pPr>
        <w:spacing w:before="0" w:after="120" w:line="360" w:lineRule="auto"/>
        <w:jc w:val="both"/>
      </w:pPr>
      <w:r>
        <w:rPr>
          <w:b w:val="1"/>
          <w:sz w:val="24"/>
          <w:szCs w:val="24"/>
        </w:rPr>
        <w:t xml:space="preserve">Software development life cycle. </w:t>
      </w:r>
      <w:r>
        <w:rPr>
          <w:sz w:val="24"/>
          <w:szCs w:val="24"/>
        </w:rPr>
        <w:t xml:space="preserve">The two projects followed two models taught in software engineering. Perangkat IT used a plan-driven, incremental approach: each phase had a design document, exit criteria, and a test gate, which suited a system holding sensitive data. The Excel tool followed a more agile approach, with small releases every few days shaped directly by user feedback, which suited requirements that were only discovered while using the tool. In practice, the right model depended on how well the requirements were known at the start.</w:t>
      </w:r>
    </w:p>
    <w:p>
      <w:pPr>
        <w:spacing w:before="0" w:after="120" w:line="360" w:lineRule="auto"/>
        <w:jc w:val="both"/>
      </w:pPr>
      <w:r>
        <w:rPr>
          <w:b w:val="1"/>
          <w:sz w:val="24"/>
          <w:szCs w:val="24"/>
        </w:rPr>
        <w:t xml:space="preserve">Software design. </w:t>
      </w:r>
      <w:r>
        <w:rPr>
          <w:sz w:val="24"/>
          <w:szCs w:val="24"/>
        </w:rPr>
        <w:t xml:space="preserve">Both systems apply separation of concerns. Perangkat IT uses a layered architecture (routes, controllers, services, repositories), and the Excel tool uses the Strategy pattern: each report is a strategy sharing one pipeline of reading, matching, summarising, and exporting. Adding a new report therefore meant adding one module instead of changing the whole program, which is exactly the benefit the design patterns lectures describe.</w:t>
      </w:r>
    </w:p>
    <w:p>
      <w:pPr>
        <w:spacing w:before="0" w:after="120" w:line="360" w:lineRule="auto"/>
        <w:jc w:val="both"/>
      </w:pPr>
      <w:r>
        <w:rPr>
          <w:b w:val="1"/>
          <w:sz w:val="24"/>
          <w:szCs w:val="24"/>
        </w:rPr>
        <w:t xml:space="preserve">Software testing. </w:t>
      </w:r>
      <w:r>
        <w:rPr>
          <w:sz w:val="24"/>
          <w:szCs w:val="24"/>
        </w:rPr>
        <w:t xml:space="preserve">Both projects follow the testing pyramid: many fast unit tests, fewer integration tests against a real database or real sample files, and a small number of end-to-end tests. Fixed bugs were covered by new regression tests so they could not quietly return. One practical lesson not covered in lectures was using reports made by hand as a test oracle: the automated output had to match the staff's own Excel result.</w:t>
      </w:r>
    </w:p>
    <w:p>
      <w:pPr>
        <w:spacing w:before="0" w:after="120" w:line="360" w:lineRule="auto"/>
        <w:jc w:val="both"/>
      </w:pPr>
      <w:r>
        <w:rPr>
          <w:b w:val="1"/>
          <w:sz w:val="24"/>
          <w:szCs w:val="24"/>
        </w:rPr>
        <w:t xml:space="preserve">Information security. </w:t>
      </w:r>
      <w:r>
        <w:rPr>
          <w:sz w:val="24"/>
          <w:szCs w:val="24"/>
        </w:rPr>
        <w:t xml:space="preserve">The work on Perangkat IT maps directly onto security principles from lectures: confidentiality (login required, data scoped to the user), least privilege (USER versus ADMIN roles), defence in depth (the interface hides actions and the server also refuses them), and availability (backups). Moving the login token into an httpOnly cookie addresses token theft through cross-site scripting, and filtering data inside the SQL query addresses broken access control, both of which appear in the OWASP Top 10.</w:t>
      </w:r>
    </w:p>
    <w:p>
      <w:pPr>
        <w:spacing w:before="0" w:after="120" w:line="360" w:lineRule="auto"/>
        <w:jc w:val="both"/>
      </w:pPr>
      <w:r>
        <w:rPr>
          <w:b w:val="1"/>
          <w:sz w:val="24"/>
          <w:szCs w:val="24"/>
        </w:rPr>
        <w:t xml:space="preserve">Human-computer interaction. </w:t>
      </w:r>
      <w:r>
        <w:rPr>
          <w:sz w:val="24"/>
          <w:szCs w:val="24"/>
        </w:rPr>
        <w:t xml:space="preserve">Usability heuristics such as "help users recognise, diagnose, and recover from errors", "visibility of system status", and "recognition rather than recall" shaped the later releases of the Excel tool. Error popups now say what happened and what to do next, every report states which filters were applied, and each filter box lists the values it accepts instead of expecting staff to remember them.</w:t>
      </w:r>
    </w:p>
    <w:p>
      <w:pPr>
        <w:spacing w:before="0" w:after="120" w:line="360" w:lineRule="auto"/>
        <w:jc w:val="both"/>
      </w:pPr>
      <w:r>
        <w:rPr>
          <w:b w:val="1"/>
          <w:sz w:val="24"/>
          <w:szCs w:val="24"/>
        </w:rPr>
        <w:t xml:space="preserve">Where practice differed from theory. </w:t>
      </w:r>
      <w:r>
        <w:rPr>
          <w:sz w:val="24"/>
          <w:szCs w:val="24"/>
        </w:rPr>
        <w:t xml:space="preserve">Coursework usually assumes clean data and stable requirements. In practice, column names differed between months, master files arrived in old .xls format, header rows sat in the middle of a sheet, and totals had to match the dashboard down to the rounding. Deployment also had real constraints: staff could not install Python, so the tool had to ship as a standalone program. Handling these cases took as much effort as the core logic.</w:t>
      </w:r>
    </w:p>
    <w:p>
      <w:pPr>
        <w:keepNext w:val="1"/>
        <w:spacing w:before="240" w:after="120" w:line="360" w:lineRule="auto"/>
        <w:jc w:val="left"/>
      </w:pPr>
      <w:r>
        <w:rPr>
          <w:b w:val="1"/>
          <w:sz w:val="24"/>
          <w:szCs w:val="24"/>
        </w:rPr>
        <w:t xml:space="preserve">4.3 Suggestions for Improvement</w:t>
      </w:r>
    </w:p>
    <w:p>
      <w:pPr>
        <w:spacing w:before="0" w:after="120" w:line="360" w:lineRule="auto"/>
        <w:jc w:val="both"/>
      </w:pPr>
      <w:r>
        <w:rPr>
          <w:sz w:val="24"/>
          <w:szCs w:val="24"/>
        </w:rPr>
        <w:t xml:space="preserve">For the IT division:</w:t>
      </w:r>
    </w:p>
    <w:p>
      <w:pPr>
        <w:numPr>
          <w:ilvl w:val="0"/>
          <w:numId w:val="2"/>
        </w:numPr>
        <w:spacing w:before="0" w:after="60" w:line="360" w:lineRule="auto"/>
        <w:jc w:val="both"/>
      </w:pPr>
      <w:r>
        <w:rPr>
          <w:sz w:val="24"/>
          <w:szCs w:val="24"/>
        </w:rPr>
        <w:t xml:space="preserve">Complete the production phase of Perangkat IT (HTTPS, scheduled off-machine backups, and a rehearsed restore) before rolling it out beyond the pilot group.</w:t>
      </w:r>
    </w:p>
    <w:p>
      <w:pPr>
        <w:numPr>
          <w:ilvl w:val="0"/>
          <w:numId w:val="2"/>
        </w:numPr>
        <w:spacing w:before="0" w:after="60" w:line="360" w:lineRule="auto"/>
        <w:jc w:val="both"/>
      </w:pPr>
      <w:r>
        <w:rPr>
          <w:sz w:val="24"/>
          <w:szCs w:val="24"/>
        </w:rPr>
        <w:t xml:space="preserve">Import existing device spreadsheets in bulk instead of typing records in by hand, and consider printed asset labels (for example QR codes) that open the device page directly.</w:t>
      </w:r>
    </w:p>
    <w:p>
      <w:pPr>
        <w:numPr>
          <w:ilvl w:val="0"/>
          <w:numId w:val="2"/>
        </w:numPr>
        <w:spacing w:before="0" w:after="60" w:line="360" w:lineRule="auto"/>
        <w:jc w:val="both"/>
      </w:pPr>
      <w:r>
        <w:rPr>
          <w:sz w:val="24"/>
          <w:szCs w:val="24"/>
        </w:rPr>
        <w:t xml:space="preserve">Connect logins to the company's employee directory or single sign-on so that accounts follow staff changes automatically.</w:t>
      </w:r>
    </w:p>
    <w:p>
      <w:pPr>
        <w:spacing w:before="0" w:after="120" w:line="360" w:lineRule="auto"/>
        <w:jc w:val="both"/>
      </w:pPr>
      <w:r>
        <w:rPr>
          <w:sz w:val="24"/>
          <w:szCs w:val="24"/>
        </w:rPr>
        <w:t xml:space="preserve">For the RTB division:</w:t>
      </w:r>
    </w:p>
    <w:p>
      <w:pPr>
        <w:numPr>
          <w:ilvl w:val="0"/>
          <w:numId w:val="2"/>
        </w:numPr>
        <w:spacing w:before="0" w:after="60" w:line="360" w:lineRule="auto"/>
        <w:jc w:val="both"/>
      </w:pPr>
      <w:r>
        <w:rPr>
          <w:sz w:val="24"/>
          <w:szCs w:val="24"/>
        </w:rPr>
        <w:t xml:space="preserve">Move settings that change over time (branch order, filter values) into a configuration file that staff can edit without a new release.</w:t>
      </w:r>
    </w:p>
    <w:p>
      <w:pPr>
        <w:numPr>
          <w:ilvl w:val="0"/>
          <w:numId w:val="2"/>
        </w:numPr>
        <w:spacing w:before="0" w:after="60" w:line="360" w:lineRule="auto"/>
        <w:jc w:val="both"/>
      </w:pPr>
      <w:r>
        <w:rPr>
          <w:sz w:val="24"/>
          <w:szCs w:val="24"/>
        </w:rPr>
        <w:t xml:space="preserve">Where possible, read the data directly from the source system so the manual download of extracts is no longer needed, and add a single action that produces all monthly reports in one run.</w:t>
      </w:r>
    </w:p>
    <w:p>
      <w:pPr>
        <w:numPr>
          <w:ilvl w:val="0"/>
          <w:numId w:val="2"/>
        </w:numPr>
        <w:spacing w:before="0" w:after="60" w:line="360" w:lineRule="auto"/>
        <w:jc w:val="both"/>
      </w:pPr>
      <w:r>
        <w:rPr>
          <w:sz w:val="24"/>
          <w:szCs w:val="24"/>
        </w:rPr>
        <w:t xml:space="preserve">Assign a maintainer and keep the sample extracts and automated tests with the tool, so future changes can be checked against known results.</w:t>
      </w:r>
    </w:p>
    <w:p>
      <w:pPr>
        <w:spacing w:before="0" w:after="120" w:line="360" w:lineRule="auto"/>
        <w:jc w:val="both"/>
      </w:pPr>
      <w:r>
        <w:rPr>
          <w:sz w:val="24"/>
          <w:szCs w:val="24"/>
        </w:rPr>
        <w:t xml:space="preserve">For both divisions, involving the end users early, with real sample data from the first week, would have surfaced most requirements sooner than discovering them release by release.</w:t>
      </w:r>
    </w:p>
    <w:p w:rsidR="00000000" w:rsidDel="00000000" w:rsidP="00000000" w:rsidRDefault="00000000" w:rsidRPr="00000000" w14:paraId="00000023">
      <w:pPr>
        <w:jc w:val="both"/>
        <w:rPr>
          <w:b w:val="1"/>
          <w:sz w:val="24"/>
          <w:szCs w:val="24"/>
        </w:rPr>
      </w:pPr>
      <w:r w:rsidDel="00000000" w:rsidR="00000000" w:rsidRPr="00000000">
        <w:rPr>
          <w:rtl w:val="0"/>
        </w:rPr>
      </w:r>
    </w:p>
    <w:p w:rsidR="00000000" w:rsidDel="00000000" w:rsidP="00000000" w:rsidRDefault="00000000" w:rsidRPr="00000000" w14:paraId="00000024">
      <w:pPr>
        <w:rPr>
          <w:b w:val="1"/>
          <w:sz w:val="28"/>
          <w:szCs w:val="28"/>
        </w:rPr>
      </w:pPr>
      <w:r w:rsidDel="00000000" w:rsidR="00000000" w:rsidRPr="00000000">
        <w:rPr>
          <w:b w:val="1"/>
          <w:sz w:val="28"/>
          <w:szCs w:val="28"/>
          <w:rtl w:val="0"/>
        </w:rPr>
        <w:t xml:space="preserve">Chapter 5. SOFTWARE PROJECTS FOR THE IT AND RTB DIVISIONS</w:t>
      </w:r>
    </w:p>
    <w:p>
      <w:pPr>
        <w:spacing w:before="0" w:after="120" w:line="360" w:lineRule="auto"/>
        <w:jc w:val="both"/>
      </w:pPr>
      <w:r>
        <w:rPr>
          <w:sz w:val="24"/>
          <w:szCs w:val="24"/>
        </w:rPr>
        <w:t xml:space="preserve">This chapter describes the two projects assigned by the company: the Perangkat IT asset management system for the IT division (Section 5.1) and the Tongkat Gaib Excel report automation tool for the RTB division (Section 5.2).</w:t>
      </w:r>
    </w:p>
    <w:p>
      <w:pPr>
        <w:keepNext w:val="1"/>
        <w:spacing w:before="240" w:after="120" w:line="360" w:lineRule="auto"/>
        <w:jc w:val="left"/>
      </w:pPr>
      <w:r>
        <w:rPr>
          <w:b w:val="1"/>
          <w:sz w:val="24"/>
          <w:szCs w:val="24"/>
        </w:rPr>
        <w:t xml:space="preserve">5.1 IT Division Project: Perangkat IT Asset Management System</w:t>
      </w:r>
    </w:p>
    <w:p>
      <w:pPr>
        <w:keepNext w:val="1"/>
        <w:spacing w:before="120" w:after="60" w:line="360" w:lineRule="auto"/>
        <w:jc w:val="left"/>
      </w:pPr>
      <w:r>
        <w:rPr>
          <w:b w:val="1"/>
          <w:i w:val="1"/>
          <w:sz w:val="24"/>
          <w:szCs w:val="24"/>
        </w:rPr>
        <w:t xml:space="preserve">5.1.1 Background and Problem</w:t>
      </w:r>
    </w:p>
    <w:p>
      <w:pPr>
        <w:spacing w:before="0" w:after="120" w:line="360" w:lineRule="auto"/>
        <w:jc w:val="both"/>
      </w:pPr>
      <w:r>
        <w:rPr>
          <w:sz w:val="24"/>
          <w:szCs w:val="24"/>
        </w:rPr>
        <w:t xml:space="preserve">The IT division needs an accurate record of every IT device, who is responsible for it, and its condition, both for daily support and for asset audits. The existing Perangkat IT application stored this information but had serious security gaps, no automated tests, no repeatable deployment, and no way to back up its data from the application. It also showed every employee the same data, whatever their role.</w:t>
      </w:r>
    </w:p>
    <w:p>
      <w:pPr>
        <w:keepNext w:val="1"/>
        <w:spacing w:before="120" w:after="60" w:line="360" w:lineRule="auto"/>
        <w:jc w:val="left"/>
      </w:pPr>
      <w:r>
        <w:rPr>
          <w:b w:val="1"/>
          <w:i w:val="1"/>
          <w:sz w:val="24"/>
          <w:szCs w:val="24"/>
        </w:rPr>
        <w:t xml:space="preserve">5.1.2 Objectives</w:t>
      </w:r>
    </w:p>
    <w:p>
      <w:pPr>
        <w:numPr>
          <w:ilvl w:val="0"/>
          <w:numId w:val="2"/>
        </w:numPr>
        <w:spacing w:before="0" w:after="60" w:line="360" w:lineRule="auto"/>
        <w:jc w:val="both"/>
      </w:pPr>
      <w:r>
        <w:rPr>
          <w:sz w:val="24"/>
          <w:szCs w:val="24"/>
        </w:rPr>
        <w:t xml:space="preserve">Close the security gaps without changing business rules or the database schema.</w:t>
      </w:r>
    </w:p>
    <w:p>
      <w:pPr>
        <w:numPr>
          <w:ilvl w:val="0"/>
          <w:numId w:val="2"/>
        </w:numPr>
        <w:spacing w:before="0" w:after="60" w:line="360" w:lineRule="auto"/>
        <w:jc w:val="both"/>
      </w:pPr>
      <w:r>
        <w:rPr>
          <w:sz w:val="24"/>
          <w:szCs w:val="24"/>
        </w:rPr>
        <w:t xml:space="preserve">Make the system testable, maintainable, and deployable with one command.</w:t>
      </w:r>
    </w:p>
    <w:p>
      <w:pPr>
        <w:numPr>
          <w:ilvl w:val="0"/>
          <w:numId w:val="2"/>
        </w:numPr>
        <w:spacing w:before="0" w:after="60" w:line="360" w:lineRule="auto"/>
        <w:jc w:val="both"/>
      </w:pPr>
      <w:r>
        <w:rPr>
          <w:sz w:val="24"/>
          <w:szCs w:val="24"/>
        </w:rPr>
        <w:t xml:space="preserve">Give administrators an in-app backup and restore feature (stakeholder request 1).</w:t>
      </w:r>
    </w:p>
    <w:p>
      <w:pPr>
        <w:numPr>
          <w:ilvl w:val="0"/>
          <w:numId w:val="2"/>
        </w:numPr>
        <w:spacing w:before="0" w:after="60" w:line="360" w:lineRule="auto"/>
        <w:jc w:val="both"/>
      </w:pPr>
      <w:r>
        <w:rPr>
          <w:sz w:val="24"/>
          <w:szCs w:val="24"/>
        </w:rPr>
        <w:t xml:space="preserve">Give ordinary employees a limited view of their own data through the same login page (stakeholder request 2).</w:t>
      </w:r>
    </w:p>
    <w:p>
      <w:pPr>
        <w:keepNext w:val="1"/>
        <w:spacing w:before="120" w:after="60" w:line="360" w:lineRule="auto"/>
        <w:jc w:val="left"/>
      </w:pPr>
      <w:r>
        <w:rPr>
          <w:b w:val="1"/>
          <w:i w:val="1"/>
          <w:sz w:val="24"/>
          <w:szCs w:val="24"/>
        </w:rPr>
        <w:t xml:space="preserve">5.1.3 System Architecture</w:t>
      </w:r>
    </w:p>
    <w:p>
      <w:pPr>
        <w:spacing w:before="0" w:after="120" w:line="360" w:lineRule="auto"/>
        <w:jc w:val="both"/>
      </w:pPr>
      <w:r>
        <w:rPr>
          <w:sz w:val="24"/>
          <w:szCs w:val="24"/>
        </w:rPr>
        <w:t xml:space="preserve">The system is a three-tier web application packaged with Docker Compose. A user's browser loads the React single-page application from an nginx web server, which also forwards every request under /api to the Express API server. The API reads and writes the PostgreSQL database and stores uploaded handover documents either on local disk or in S3-compatible storage. Logging in sets an httpOnly cookie holding a signed token (JWT). Every API route except login requires this cookie, and every data change also requires the ADMIN role.</w:t>
      </w:r>
    </w:p>
    <w:p>
      <w:pPr>
        <w:spacing w:before="0" w:after="120" w:line="360" w:lineRule="auto"/>
        <w:jc w:val="both"/>
      </w:pPr>
      <w:r>
        <w:rPr>
          <w:sz w:val="24"/>
          <w:szCs w:val="24"/>
        </w:rPr>
        <w:t xml:space="preserve">Inside the API, the code is organised in four layers: routes declare the endpoints and their access rules, controllers handle the HTTP request and response, services hold the business rules, and repositories contain the SQL queries. The API exposes 38 endpoints covering devices, employees, assignments, device status, BRIBOX asset categories, the dashboard, activity logs, backups, and authentication.</w:t>
      </w:r>
    </w:p>
    <w:p>
      <w:pPr>
        <w:keepNext w:val="1"/>
        <w:spacing w:before="120" w:after="60" w:line="360" w:lineRule="auto"/>
        <w:jc w:val="left"/>
      </w:pPr>
      <w:r>
        <w:rPr>
          <w:b w:val="1"/>
          <w:i w:val="1"/>
          <w:sz w:val="24"/>
          <w:szCs w:val="24"/>
        </w:rPr>
        <w:t xml:space="preserve">5.1.4 Database Design</w:t>
      </w:r>
    </w:p>
    <w:p>
      <w:pPr>
        <w:spacing w:before="0" w:after="120" w:line="360" w:lineRule="auto"/>
        <w:jc w:val="both"/>
      </w:pPr>
      <w:r>
        <w:rPr>
          <w:sz w:val="24"/>
          <w:szCs w:val="24"/>
        </w:rPr>
        <w:t xml:space="preserve">The PostgreSQL schema was kept as it was and placed under a migration tool so that future changes are versioned. Table 5.1 lists its tables.</w:t>
      </w:r>
    </w:p>
    <w:p>
      <w:pPr>
        <w:keepNext w:val="1"/>
        <w:spacing w:before="120" w:after="60" w:line="240" w:lineRule="auto"/>
        <w:jc w:val="center"/>
      </w:pPr>
      <w:r>
        <w:rPr>
          <w:b w:val="1"/>
          <w:sz w:val="20"/>
          <w:szCs w:val="20"/>
        </w:rPr>
        <w:t xml:space="preserve">Table 5.1 Perangkat IT database tables</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2200"/>
        <w:gridCol w:w="6826"/>
      </w:tblGrid>
      <w:tr>
        <w:trPr>
          <w:tblHeader w:val="1"/>
        </w:trPr>
        <w:tc>
          <w:tcPr>
            <w:tcW w:w="2200" w:type="dxa"/>
            <w:shd w:val="clear" w:color="auto" w:fill="D9D9D9"/>
            <w:vAlign w:val="top"/>
          </w:tcPr>
          <w:p>
            <w:pPr>
              <w:spacing w:before="0" w:after="0" w:line="240" w:lineRule="auto"/>
              <w:jc w:val="left"/>
            </w:pPr>
            <w:r>
              <w:rPr>
                <w:b w:val="1"/>
                <w:sz w:val="20"/>
                <w:szCs w:val="20"/>
              </w:rPr>
              <w:t xml:space="preserve">Table</w:t>
            </w:r>
          </w:p>
        </w:tc>
        <w:tc>
          <w:tcPr>
            <w:tcW w:w="6826" w:type="dxa"/>
            <w:shd w:val="clear" w:color="auto" w:fill="D9D9D9"/>
            <w:vAlign w:val="top"/>
          </w:tcPr>
          <w:p>
            <w:pPr>
              <w:spacing w:before="0" w:after="0" w:line="240" w:lineRule="auto"/>
              <w:jc w:val="left"/>
            </w:pPr>
            <w:r>
              <w:rPr>
                <w:b w:val="1"/>
                <w:sz w:val="20"/>
                <w:szCs w:val="20"/>
              </w:rPr>
              <w:t xml:space="preserve">Purpose</w:t>
            </w:r>
          </w:p>
        </w:tc>
      </w:tr>
      <w:tr>
        <w:tc>
          <w:tcPr>
            <w:tcW w:w="2200" w:type="dxa"/>
            <w:vAlign w:val="top"/>
          </w:tcPr>
          <w:p>
            <w:pPr>
              <w:spacing w:before="0" w:after="0" w:line="240" w:lineRule="auto"/>
              <w:jc w:val="left"/>
            </w:pPr>
            <w:r>
              <w:rPr>
                <w:sz w:val="20"/>
                <w:szCs w:val="20"/>
              </w:rPr>
              <w:t xml:space="preserve">karyawan</w:t>
            </w:r>
          </w:p>
        </w:tc>
        <w:tc>
          <w:tcPr>
            <w:tcW w:w="6826" w:type="dxa"/>
            <w:vAlign w:val="top"/>
          </w:tcPr>
          <w:p>
            <w:pPr>
              <w:spacing w:before="0" w:after="0" w:line="240" w:lineRule="auto"/>
              <w:jc w:val="left"/>
            </w:pPr>
            <w:r>
              <w:rPr>
                <w:sz w:val="20"/>
                <w:szCs w:val="20"/>
              </w:rPr>
              <w:t xml:space="preserve">Employees: name, employee number (NIP), division, position, contact details, active flag</w:t>
            </w:r>
          </w:p>
        </w:tc>
      </w:tr>
      <w:tr>
        <w:tc>
          <w:tcPr>
            <w:tcW w:w="2200" w:type="dxa"/>
            <w:vAlign w:val="top"/>
          </w:tcPr>
          <w:p>
            <w:pPr>
              <w:spacing w:before="0" w:after="0" w:line="240" w:lineRule="auto"/>
              <w:jc w:val="left"/>
            </w:pPr>
            <w:r>
              <w:rPr>
                <w:sz w:val="20"/>
                <w:szCs w:val="20"/>
              </w:rPr>
              <w:t xml:space="preserve">akun</w:t>
            </w:r>
          </w:p>
        </w:tc>
        <w:tc>
          <w:tcPr>
            <w:tcW w:w="6826" w:type="dxa"/>
            <w:vAlign w:val="top"/>
          </w:tcPr>
          <w:p>
            <w:pPr>
              <w:spacing w:before="0" w:after="0" w:line="240" w:lineRule="auto"/>
              <w:jc w:val="left"/>
            </w:pPr>
            <w:r>
              <w:rPr>
                <w:sz w:val="20"/>
                <w:szCs w:val="20"/>
              </w:rPr>
              <w:t xml:space="preserve">Login accounts linked to an employee, with a hashed password and a role (ADMIN or USER)</w:t>
            </w:r>
          </w:p>
        </w:tc>
      </w:tr>
      <w:tr>
        <w:tc>
          <w:tcPr>
            <w:tcW w:w="2200" w:type="dxa"/>
            <w:vAlign w:val="top"/>
          </w:tcPr>
          <w:p>
            <w:pPr>
              <w:spacing w:before="0" w:after="0" w:line="240" w:lineRule="auto"/>
              <w:jc w:val="left"/>
            </w:pPr>
            <w:r>
              <w:rPr>
                <w:sz w:val="20"/>
                <w:szCs w:val="20"/>
              </w:rPr>
              <w:t xml:space="preserve">mdeviceit</w:t>
            </w:r>
          </w:p>
        </w:tc>
        <w:tc>
          <w:tcPr>
            <w:tcW w:w="6826" w:type="dxa"/>
            <w:vAlign w:val="top"/>
          </w:tcPr>
          <w:p>
            <w:pPr>
              <w:spacing w:before="0" w:after="0" w:line="240" w:lineRule="auto"/>
              <w:jc w:val="left"/>
            </w:pPr>
            <w:r>
              <w:rPr>
                <w:sz w:val="20"/>
                <w:szCs w:val="20"/>
              </w:rPr>
              <w:t xml:space="preserve">Device master data: type (PC, Laptop, Printer), brand, model, serial number, asset number, specifications, acquisition date</w:t>
            </w:r>
          </w:p>
        </w:tc>
      </w:tr>
      <w:tr>
        <w:tc>
          <w:tcPr>
            <w:tcW w:w="2200" w:type="dxa"/>
            <w:vAlign w:val="top"/>
          </w:tcPr>
          <w:p>
            <w:pPr>
              <w:spacing w:before="0" w:after="0" w:line="240" w:lineRule="auto"/>
              <w:jc w:val="left"/>
            </w:pPr>
            <w:r>
              <w:rPr>
                <w:sz w:val="20"/>
                <w:szCs w:val="20"/>
              </w:rPr>
              <w:t xml:space="preserve">idbribox</w:t>
            </w:r>
          </w:p>
        </w:tc>
        <w:tc>
          <w:tcPr>
            <w:tcW w:w="6826" w:type="dxa"/>
            <w:vAlign w:val="top"/>
          </w:tcPr>
          <w:p>
            <w:pPr>
              <w:spacing w:before="0" w:after="0" w:line="240" w:lineRule="auto"/>
              <w:jc w:val="left"/>
            </w:pPr>
            <w:r>
              <w:rPr>
                <w:sz w:val="20"/>
                <w:szCs w:val="20"/>
              </w:rPr>
              <w:t xml:space="preserve">Asset category codes that each device belongs to</w:t>
            </w:r>
          </w:p>
        </w:tc>
      </w:tr>
      <w:tr>
        <w:tc>
          <w:tcPr>
            <w:tcW w:w="2200" w:type="dxa"/>
            <w:vAlign w:val="top"/>
          </w:tcPr>
          <w:p>
            <w:pPr>
              <w:spacing w:before="0" w:after="0" w:line="240" w:lineRule="auto"/>
              <w:jc w:val="left"/>
            </w:pPr>
            <w:r>
              <w:rPr>
                <w:sz w:val="20"/>
                <w:szCs w:val="20"/>
              </w:rPr>
              <w:t xml:space="preserve">penugasan_device</w:t>
            </w:r>
          </w:p>
        </w:tc>
        <w:tc>
          <w:tcPr>
            <w:tcW w:w="6826" w:type="dxa"/>
            <w:vAlign w:val="top"/>
          </w:tcPr>
          <w:p>
            <w:pPr>
              <w:spacing w:before="0" w:after="0" w:line="240" w:lineRule="auto"/>
              <w:jc w:val="left"/>
            </w:pPr>
            <w:r>
              <w:rPr>
                <w:sz w:val="20"/>
                <w:szCs w:val="20"/>
              </w:rPr>
              <w:t xml:space="preserve">Assignments of a device to an employee, with start and end dates, notes, and the handover document</w:t>
            </w:r>
          </w:p>
        </w:tc>
      </w:tr>
      <w:tr>
        <w:tc>
          <w:tcPr>
            <w:tcW w:w="2200" w:type="dxa"/>
            <w:vAlign w:val="top"/>
          </w:tcPr>
          <w:p>
            <w:pPr>
              <w:spacing w:before="0" w:after="0" w:line="240" w:lineRule="auto"/>
              <w:jc w:val="left"/>
            </w:pPr>
            <w:r>
              <w:rPr>
                <w:sz w:val="20"/>
                <w:szCs w:val="20"/>
              </w:rPr>
              <w:t xml:space="preserve">status_device</w:t>
            </w:r>
          </w:p>
        </w:tc>
        <w:tc>
          <w:tcPr>
            <w:tcW w:w="6826" w:type="dxa"/>
            <w:vAlign w:val="top"/>
          </w:tcPr>
          <w:p>
            <w:pPr>
              <w:spacing w:before="0" w:after="0" w:line="240" w:lineRule="auto"/>
              <w:jc w:val="left"/>
            </w:pPr>
            <w:r>
              <w:rPr>
                <w:sz w:val="20"/>
                <w:szCs w:val="20"/>
              </w:rPr>
              <w:t xml:space="preserve">Current and past status periods of a device (IN_USE, MAINTENANCE, AUCTION, STORAGE)</w:t>
            </w:r>
          </w:p>
        </w:tc>
      </w:tr>
      <w:tr>
        <w:tc>
          <w:tcPr>
            <w:tcW w:w="2200" w:type="dxa"/>
            <w:vAlign w:val="top"/>
          </w:tcPr>
          <w:p>
            <w:pPr>
              <w:spacing w:before="0" w:after="0" w:line="240" w:lineRule="auto"/>
              <w:jc w:val="left"/>
            </w:pPr>
            <w:r>
              <w:rPr>
                <w:sz w:val="20"/>
                <w:szCs w:val="20"/>
              </w:rPr>
              <w:t xml:space="preserve">storage_detail</w:t>
            </w:r>
          </w:p>
        </w:tc>
        <w:tc>
          <w:tcPr>
            <w:tcW w:w="6826" w:type="dxa"/>
            <w:vAlign w:val="top"/>
          </w:tcPr>
          <w:p>
            <w:pPr>
              <w:spacing w:before="0" w:after="0" w:line="240" w:lineRule="auto"/>
              <w:jc w:val="left"/>
            </w:pPr>
            <w:r>
              <w:rPr>
                <w:sz w:val="20"/>
                <w:szCs w:val="20"/>
              </w:rPr>
              <w:t xml:space="preserve">Storage location and condition, required whenever a device is in STORAGE</w:t>
            </w:r>
          </w:p>
        </w:tc>
      </w:tr>
      <w:tr>
        <w:tc>
          <w:tcPr>
            <w:tcW w:w="2200" w:type="dxa"/>
            <w:vAlign w:val="top"/>
          </w:tcPr>
          <w:p>
            <w:pPr>
              <w:spacing w:before="0" w:after="0" w:line="240" w:lineRule="auto"/>
              <w:jc w:val="left"/>
            </w:pPr>
            <w:r>
              <w:rPr>
                <w:sz w:val="20"/>
                <w:szCs w:val="20"/>
              </w:rPr>
              <w:t xml:space="preserve">riwayat_status</w:t>
            </w:r>
          </w:p>
        </w:tc>
        <w:tc>
          <w:tcPr>
            <w:tcW w:w="6826" w:type="dxa"/>
            <w:vAlign w:val="top"/>
          </w:tcPr>
          <w:p>
            <w:pPr>
              <w:spacing w:before="0" w:after="0" w:line="240" w:lineRule="auto"/>
              <w:jc w:val="left"/>
            </w:pPr>
            <w:r>
              <w:rPr>
                <w:sz w:val="20"/>
                <w:szCs w:val="20"/>
              </w:rPr>
              <w:t xml:space="preserve">Status change history: old and new status, who changed it, the reason, and a reference document</w:t>
            </w:r>
          </w:p>
        </w:tc>
      </w:tr>
      <w:tr>
        <w:tc>
          <w:tcPr>
            <w:tcW w:w="2200" w:type="dxa"/>
            <w:vAlign w:val="top"/>
          </w:tcPr>
          <w:p>
            <w:pPr>
              <w:spacing w:before="0" w:after="0" w:line="240" w:lineRule="auto"/>
              <w:jc w:val="left"/>
            </w:pPr>
            <w:r>
              <w:rPr>
                <w:sz w:val="20"/>
                <w:szCs w:val="20"/>
              </w:rPr>
              <w:t xml:space="preserve">log_aktivitas</w:t>
            </w:r>
          </w:p>
        </w:tc>
        <w:tc>
          <w:tcPr>
            <w:tcW w:w="6826" w:type="dxa"/>
            <w:vAlign w:val="top"/>
          </w:tcPr>
          <w:p>
            <w:pPr>
              <w:spacing w:before="0" w:after="0" w:line="240" w:lineRule="auto"/>
              <w:jc w:val="left"/>
            </w:pPr>
            <w:r>
              <w:rPr>
                <w:sz w:val="20"/>
                <w:szCs w:val="20"/>
              </w:rPr>
              <w:t xml:space="preserve">Audit log of every create, update, and delete action</w:t>
            </w:r>
          </w:p>
        </w:tc>
      </w:tr>
    </w:tbl>
    <w:p>
      <w:pPr>
        <w:spacing w:before="0" w:after="60" w:line="240" w:lineRule="auto"/>
        <w:jc w:val="both"/>
      </w:pPr>
    </w:p>
    <w:p>
      <w:pPr>
        <w:spacing w:before="0" w:after="120" w:line="360" w:lineRule="auto"/>
        <w:jc w:val="both"/>
      </w:pPr>
      <w:r>
        <w:rPr>
          <w:sz w:val="24"/>
          <w:szCs w:val="24"/>
        </w:rPr>
        <w:t xml:space="preserve">Partial unique indexes ensure that a device has only one open assignment and one current status at a time, and check constraints ensure that end dates never come before start dates and that storage details are present only when a device is in storage.</w:t>
      </w:r>
    </w:p>
    <w:p>
      <w:pPr>
        <w:keepNext w:val="1"/>
        <w:spacing w:before="120" w:after="60" w:line="360" w:lineRule="auto"/>
        <w:jc w:val="left"/>
      </w:pPr>
      <w:r>
        <w:rPr>
          <w:b w:val="1"/>
          <w:i w:val="1"/>
          <w:sz w:val="24"/>
          <w:szCs w:val="24"/>
        </w:rPr>
        <w:t xml:space="preserve">5.1.5 Role-Based Access Control</w:t>
      </w:r>
    </w:p>
    <w:p>
      <w:pPr>
        <w:spacing w:before="0" w:after="120" w:line="360" w:lineRule="auto"/>
        <w:jc w:val="both"/>
      </w:pPr>
      <w:r>
        <w:rPr>
          <w:sz w:val="24"/>
          <w:szCs w:val="24"/>
        </w:rPr>
        <w:t xml:space="preserve">For the second stakeholder request, both roles use the same login page and layout, but the API filters data by role inside the SQL query, and the sidebar shows only the pages a role may use. Table 5.2 shows the resulting permissions.</w:t>
      </w:r>
    </w:p>
    <w:p>
      <w:pPr>
        <w:keepNext w:val="1"/>
        <w:spacing w:before="120" w:after="60" w:line="240" w:lineRule="auto"/>
        <w:jc w:val="center"/>
      </w:pPr>
      <w:r>
        <w:rPr>
          <w:b w:val="1"/>
          <w:sz w:val="20"/>
          <w:szCs w:val="20"/>
        </w:rPr>
        <w:t xml:space="preserve">Table 5.2 Permission matrix</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4026"/>
        <w:gridCol w:w="2500"/>
        <w:gridCol w:w="2500"/>
      </w:tblGrid>
      <w:tr>
        <w:trPr>
          <w:tblHeader w:val="1"/>
        </w:trPr>
        <w:tc>
          <w:tcPr>
            <w:tcW w:w="4026" w:type="dxa"/>
            <w:shd w:val="clear" w:color="auto" w:fill="D9D9D9"/>
            <w:vAlign w:val="top"/>
          </w:tcPr>
          <w:p>
            <w:pPr>
              <w:spacing w:before="0" w:after="0" w:line="240" w:lineRule="auto"/>
              <w:jc w:val="left"/>
            </w:pPr>
            <w:r>
              <w:rPr>
                <w:b w:val="1"/>
                <w:sz w:val="20"/>
                <w:szCs w:val="20"/>
              </w:rPr>
              <w:t xml:space="preserve">Feature</w:t>
            </w:r>
          </w:p>
        </w:tc>
        <w:tc>
          <w:tcPr>
            <w:tcW w:w="2500" w:type="dxa"/>
            <w:shd w:val="clear" w:color="auto" w:fill="D9D9D9"/>
            <w:vAlign w:val="top"/>
          </w:tcPr>
          <w:p>
            <w:pPr>
              <w:spacing w:before="0" w:after="0" w:line="240" w:lineRule="auto"/>
              <w:jc w:val="left"/>
            </w:pPr>
            <w:r>
              <w:rPr>
                <w:b w:val="1"/>
                <w:sz w:val="20"/>
                <w:szCs w:val="20"/>
              </w:rPr>
              <w:t xml:space="preserve">ADMIN</w:t>
            </w:r>
          </w:p>
        </w:tc>
        <w:tc>
          <w:tcPr>
            <w:tcW w:w="2500" w:type="dxa"/>
            <w:shd w:val="clear" w:color="auto" w:fill="D9D9D9"/>
            <w:vAlign w:val="top"/>
          </w:tcPr>
          <w:p>
            <w:pPr>
              <w:spacing w:before="0" w:after="0" w:line="240" w:lineRule="auto"/>
              <w:jc w:val="left"/>
            </w:pPr>
            <w:r>
              <w:rPr>
                <w:b w:val="1"/>
                <w:sz w:val="20"/>
                <w:szCs w:val="20"/>
              </w:rPr>
              <w:t xml:space="preserve">USER</w:t>
            </w:r>
          </w:p>
        </w:tc>
      </w:tr>
      <w:tr>
        <w:tc>
          <w:tcPr>
            <w:tcW w:w="4026" w:type="dxa"/>
            <w:vAlign w:val="top"/>
          </w:tcPr>
          <w:p>
            <w:pPr>
              <w:spacing w:before="0" w:after="0" w:line="240" w:lineRule="auto"/>
              <w:jc w:val="left"/>
            </w:pPr>
            <w:r>
              <w:rPr>
                <w:sz w:val="20"/>
                <w:szCs w:val="20"/>
              </w:rPr>
              <w:t xml:space="preserve">View devices</w:t>
            </w:r>
          </w:p>
        </w:tc>
        <w:tc>
          <w:tcPr>
            <w:tcW w:w="2500" w:type="dxa"/>
            <w:vAlign w:val="top"/>
          </w:tcPr>
          <w:p>
            <w:pPr>
              <w:spacing w:before="0" w:after="0" w:line="240" w:lineRule="auto"/>
              <w:jc w:val="left"/>
            </w:pPr>
            <w:r>
              <w:rPr>
                <w:sz w:val="20"/>
                <w:szCs w:val="20"/>
              </w:rPr>
              <w:t xml:space="preserve">Yes</w:t>
            </w:r>
          </w:p>
        </w:tc>
        <w:tc>
          <w:tcPr>
            <w:tcW w:w="2500" w:type="dxa"/>
            <w:vAlign w:val="top"/>
          </w:tcPr>
          <w:p>
            <w:pPr>
              <w:spacing w:before="0" w:after="0" w:line="240" w:lineRule="auto"/>
              <w:jc w:val="left"/>
            </w:pPr>
            <w:r>
              <w:rPr>
                <w:sz w:val="20"/>
                <w:szCs w:val="20"/>
              </w:rPr>
              <w:t xml:space="preserve">Yes (read-only)</w:t>
            </w:r>
          </w:p>
        </w:tc>
      </w:tr>
      <w:tr>
        <w:tc>
          <w:tcPr>
            <w:tcW w:w="4026" w:type="dxa"/>
            <w:vAlign w:val="top"/>
          </w:tcPr>
          <w:p>
            <w:pPr>
              <w:spacing w:before="0" w:after="0" w:line="240" w:lineRule="auto"/>
              <w:jc w:val="left"/>
            </w:pPr>
            <w:r>
              <w:rPr>
                <w:sz w:val="20"/>
                <w:szCs w:val="20"/>
              </w:rPr>
              <w:t xml:space="preserve">Add, edit, or delete devices</w:t>
            </w:r>
          </w:p>
        </w:tc>
        <w:tc>
          <w:tcPr>
            <w:tcW w:w="2500" w:type="dxa"/>
            <w:vAlign w:val="top"/>
          </w:tcPr>
          <w:p>
            <w:pPr>
              <w:spacing w:before="0" w:after="0" w:line="240" w:lineRule="auto"/>
              <w:jc w:val="left"/>
            </w:pPr>
            <w:r>
              <w:rPr>
                <w:sz w:val="20"/>
                <w:szCs w:val="20"/>
              </w:rPr>
              <w:t xml:space="preserve">Yes</w:t>
            </w:r>
          </w:p>
        </w:tc>
        <w:tc>
          <w:tcPr>
            <w:tcW w:w="2500" w:type="dxa"/>
            <w:vAlign w:val="top"/>
          </w:tcPr>
          <w:p>
            <w:pPr>
              <w:spacing w:before="0" w:after="0" w:line="240" w:lineRule="auto"/>
              <w:jc w:val="left"/>
            </w:pPr>
            <w:r>
              <w:rPr>
                <w:sz w:val="20"/>
                <w:szCs w:val="20"/>
              </w:rPr>
              <w:t xml:space="preserve">No</w:t>
            </w:r>
          </w:p>
        </w:tc>
      </w:tr>
      <w:tr>
        <w:tc>
          <w:tcPr>
            <w:tcW w:w="4026" w:type="dxa"/>
            <w:vAlign w:val="top"/>
          </w:tcPr>
          <w:p>
            <w:pPr>
              <w:spacing w:before="0" w:after="0" w:line="240" w:lineRule="auto"/>
              <w:jc w:val="left"/>
            </w:pPr>
            <w:r>
              <w:rPr>
                <w:sz w:val="20"/>
                <w:szCs w:val="20"/>
              </w:rPr>
              <w:t xml:space="preserve">View employees</w:t>
            </w:r>
          </w:p>
        </w:tc>
        <w:tc>
          <w:tcPr>
            <w:tcW w:w="2500" w:type="dxa"/>
            <w:vAlign w:val="top"/>
          </w:tcPr>
          <w:p>
            <w:pPr>
              <w:spacing w:before="0" w:after="0" w:line="240" w:lineRule="auto"/>
              <w:jc w:val="left"/>
            </w:pPr>
            <w:r>
              <w:rPr>
                <w:sz w:val="20"/>
                <w:szCs w:val="20"/>
              </w:rPr>
              <w:t xml:space="preserve">All employees</w:t>
            </w:r>
          </w:p>
        </w:tc>
        <w:tc>
          <w:tcPr>
            <w:tcW w:w="2500" w:type="dxa"/>
            <w:vAlign w:val="top"/>
          </w:tcPr>
          <w:p>
            <w:pPr>
              <w:spacing w:before="0" w:after="0" w:line="240" w:lineRule="auto"/>
              <w:jc w:val="left"/>
            </w:pPr>
            <w:r>
              <w:rPr>
                <w:sz w:val="20"/>
                <w:szCs w:val="20"/>
              </w:rPr>
              <w:t xml:space="preserve">Own record only</w:t>
            </w:r>
          </w:p>
        </w:tc>
      </w:tr>
      <w:tr>
        <w:tc>
          <w:tcPr>
            <w:tcW w:w="4026" w:type="dxa"/>
            <w:vAlign w:val="top"/>
          </w:tcPr>
          <w:p>
            <w:pPr>
              <w:spacing w:before="0" w:after="0" w:line="240" w:lineRule="auto"/>
              <w:jc w:val="left"/>
            </w:pPr>
            <w:r>
              <w:rPr>
                <w:sz w:val="20"/>
                <w:szCs w:val="20"/>
              </w:rPr>
              <w:t xml:space="preserve">View assignments and documents</w:t>
            </w:r>
          </w:p>
        </w:tc>
        <w:tc>
          <w:tcPr>
            <w:tcW w:w="2500" w:type="dxa"/>
            <w:vAlign w:val="top"/>
          </w:tcPr>
          <w:p>
            <w:pPr>
              <w:spacing w:before="0" w:after="0" w:line="240" w:lineRule="auto"/>
              <w:jc w:val="left"/>
            </w:pPr>
            <w:r>
              <w:rPr>
                <w:sz w:val="20"/>
                <w:szCs w:val="20"/>
              </w:rPr>
              <w:t xml:space="preserve">All</w:t>
            </w:r>
          </w:p>
        </w:tc>
        <w:tc>
          <w:tcPr>
            <w:tcW w:w="2500" w:type="dxa"/>
            <w:vAlign w:val="top"/>
          </w:tcPr>
          <w:p>
            <w:pPr>
              <w:spacing w:before="0" w:after="0" w:line="240" w:lineRule="auto"/>
              <w:jc w:val="left"/>
            </w:pPr>
            <w:r>
              <w:rPr>
                <w:sz w:val="20"/>
                <w:szCs w:val="20"/>
              </w:rPr>
              <w:t xml:space="preserve">Own assignments only</w:t>
            </w:r>
          </w:p>
        </w:tc>
      </w:tr>
      <w:tr>
        <w:tc>
          <w:tcPr>
            <w:tcW w:w="4026" w:type="dxa"/>
            <w:vAlign w:val="top"/>
          </w:tcPr>
          <w:p>
            <w:pPr>
              <w:spacing w:before="0" w:after="0" w:line="240" w:lineRule="auto"/>
              <w:jc w:val="left"/>
            </w:pPr>
            <w:r>
              <w:rPr>
                <w:sz w:val="20"/>
                <w:szCs w:val="20"/>
              </w:rPr>
              <w:t xml:space="preserve">Dashboard</w:t>
            </w:r>
          </w:p>
        </w:tc>
        <w:tc>
          <w:tcPr>
            <w:tcW w:w="2500" w:type="dxa"/>
            <w:vAlign w:val="top"/>
          </w:tcPr>
          <w:p>
            <w:pPr>
              <w:spacing w:before="0" w:after="0" w:line="240" w:lineRule="auto"/>
              <w:jc w:val="left"/>
            </w:pPr>
            <w:r>
              <w:rPr>
                <w:sz w:val="20"/>
                <w:szCs w:val="20"/>
              </w:rPr>
              <w:t xml:space="preserve">Organisation-wide summary</w:t>
            </w:r>
          </w:p>
        </w:tc>
        <w:tc>
          <w:tcPr>
            <w:tcW w:w="2500" w:type="dxa"/>
            <w:vAlign w:val="top"/>
          </w:tcPr>
          <w:p>
            <w:pPr>
              <w:spacing w:before="0" w:after="0" w:line="240" w:lineRule="auto"/>
              <w:jc w:val="left"/>
            </w:pPr>
            <w:r>
              <w:rPr>
                <w:sz w:val="20"/>
                <w:szCs w:val="20"/>
              </w:rPr>
              <w:t xml:space="preserve">Own active devices</w:t>
            </w:r>
          </w:p>
        </w:tc>
      </w:tr>
      <w:tr>
        <w:tc>
          <w:tcPr>
            <w:tcW w:w="4026" w:type="dxa"/>
            <w:vAlign w:val="top"/>
          </w:tcPr>
          <w:p>
            <w:pPr>
              <w:spacing w:before="0" w:after="0" w:line="240" w:lineRule="auto"/>
              <w:jc w:val="left"/>
            </w:pPr>
            <w:r>
              <w:rPr>
                <w:sz w:val="20"/>
                <w:szCs w:val="20"/>
              </w:rPr>
              <w:t xml:space="preserve">Activity logs</w:t>
            </w:r>
          </w:p>
        </w:tc>
        <w:tc>
          <w:tcPr>
            <w:tcW w:w="2500" w:type="dxa"/>
            <w:vAlign w:val="top"/>
          </w:tcPr>
          <w:p>
            <w:pPr>
              <w:spacing w:before="0" w:after="0" w:line="240" w:lineRule="auto"/>
              <w:jc w:val="left"/>
            </w:pPr>
            <w:r>
              <w:rPr>
                <w:sz w:val="20"/>
                <w:szCs w:val="20"/>
              </w:rPr>
              <w:t xml:space="preserve">Yes</w:t>
            </w:r>
          </w:p>
        </w:tc>
        <w:tc>
          <w:tcPr>
            <w:tcW w:w="2500" w:type="dxa"/>
            <w:vAlign w:val="top"/>
          </w:tcPr>
          <w:p>
            <w:pPr>
              <w:spacing w:before="0" w:after="0" w:line="240" w:lineRule="auto"/>
              <w:jc w:val="left"/>
            </w:pPr>
            <w:r>
              <w:rPr>
                <w:sz w:val="20"/>
                <w:szCs w:val="20"/>
              </w:rPr>
              <w:t xml:space="preserve">No</w:t>
            </w:r>
          </w:p>
        </w:tc>
      </w:tr>
      <w:tr>
        <w:tc>
          <w:tcPr>
            <w:tcW w:w="4026" w:type="dxa"/>
            <w:vAlign w:val="top"/>
          </w:tcPr>
          <w:p>
            <w:pPr>
              <w:spacing w:before="0" w:after="0" w:line="240" w:lineRule="auto"/>
              <w:jc w:val="left"/>
            </w:pPr>
            <w:r>
              <w:rPr>
                <w:sz w:val="20"/>
                <w:szCs w:val="20"/>
              </w:rPr>
              <w:t xml:space="preserve">Backup and restore</w:t>
            </w:r>
          </w:p>
        </w:tc>
        <w:tc>
          <w:tcPr>
            <w:tcW w:w="2500" w:type="dxa"/>
            <w:vAlign w:val="top"/>
          </w:tcPr>
          <w:p>
            <w:pPr>
              <w:spacing w:before="0" w:after="0" w:line="240" w:lineRule="auto"/>
              <w:jc w:val="left"/>
            </w:pPr>
            <w:r>
              <w:rPr>
                <w:sz w:val="20"/>
                <w:szCs w:val="20"/>
              </w:rPr>
              <w:t xml:space="preserve">Yes</w:t>
            </w:r>
          </w:p>
        </w:tc>
        <w:tc>
          <w:tcPr>
            <w:tcW w:w="2500" w:type="dxa"/>
            <w:vAlign w:val="top"/>
          </w:tcPr>
          <w:p>
            <w:pPr>
              <w:spacing w:before="0" w:after="0" w:line="240" w:lineRule="auto"/>
              <w:jc w:val="left"/>
            </w:pPr>
            <w:r>
              <w:rPr>
                <w:sz w:val="20"/>
                <w:szCs w:val="20"/>
              </w:rPr>
              <w:t xml:space="preserve">No</w:t>
            </w:r>
          </w:p>
        </w:tc>
      </w:tr>
      <w:tr>
        <w:tc>
          <w:tcPr>
            <w:tcW w:w="4026" w:type="dxa"/>
            <w:vAlign w:val="top"/>
          </w:tcPr>
          <w:p>
            <w:pPr>
              <w:spacing w:before="0" w:after="0" w:line="240" w:lineRule="auto"/>
              <w:jc w:val="left"/>
            </w:pPr>
            <w:r>
              <w:rPr>
                <w:sz w:val="20"/>
                <w:szCs w:val="20"/>
              </w:rPr>
              <w:t xml:space="preserve">Change own password</w:t>
            </w:r>
          </w:p>
        </w:tc>
        <w:tc>
          <w:tcPr>
            <w:tcW w:w="2500" w:type="dxa"/>
            <w:vAlign w:val="top"/>
          </w:tcPr>
          <w:p>
            <w:pPr>
              <w:spacing w:before="0" w:after="0" w:line="240" w:lineRule="auto"/>
              <w:jc w:val="left"/>
            </w:pPr>
            <w:r>
              <w:rPr>
                <w:sz w:val="20"/>
                <w:szCs w:val="20"/>
              </w:rPr>
              <w:t xml:space="preserve">Yes</w:t>
            </w:r>
          </w:p>
        </w:tc>
        <w:tc>
          <w:tcPr>
            <w:tcW w:w="2500" w:type="dxa"/>
            <w:vAlign w:val="top"/>
          </w:tcPr>
          <w:p>
            <w:pPr>
              <w:spacing w:before="0" w:after="0" w:line="240" w:lineRule="auto"/>
              <w:jc w:val="left"/>
            </w:pPr>
            <w:r>
              <w:rPr>
                <w:sz w:val="20"/>
                <w:szCs w:val="20"/>
              </w:rPr>
              <w:t xml:space="preserve">Yes</w:t>
            </w:r>
          </w:p>
        </w:tc>
      </w:tr>
    </w:tbl>
    <w:p>
      <w:pPr>
        <w:spacing w:before="0" w:after="60" w:line="240" w:lineRule="auto"/>
        <w:jc w:val="both"/>
      </w:pPr>
    </w:p>
    <w:p>
      <w:pPr>
        <w:keepNext w:val="1"/>
        <w:spacing w:before="120" w:after="60" w:line="360" w:lineRule="auto"/>
        <w:jc w:val="left"/>
      </w:pPr>
      <w:r>
        <w:rPr>
          <w:b w:val="1"/>
          <w:i w:val="1"/>
          <w:sz w:val="24"/>
          <w:szCs w:val="24"/>
        </w:rPr>
        <w:t xml:space="preserve">5.1.6 In-App Backup Feature</w:t>
      </w:r>
    </w:p>
    <w:p>
      <w:pPr>
        <w:spacing w:before="0" w:after="120" w:line="360" w:lineRule="auto"/>
        <w:jc w:val="both"/>
      </w:pPr>
      <w:r>
        <w:rPr>
          <w:sz w:val="24"/>
          <w:szCs w:val="24"/>
        </w:rPr>
        <w:t xml:space="preserve">For the first stakeholder request, administrators can start a database backup from the Backups page. The server runs the backup as a background job, and the page follows its progress, then lists completed backups for download or deletion. Restoring a backup requires an explicit confirmation step, because it replaces the current data. Server-side backup scripts remain available for scheduled backups.</w:t>
      </w:r>
    </w:p>
    <w:p>
      <w:pPr>
        <w:keepNext w:val="1"/>
        <w:spacing w:before="120" w:after="60" w:line="360" w:lineRule="auto"/>
        <w:jc w:val="left"/>
      </w:pPr>
      <w:r>
        <w:rPr>
          <w:b w:val="1"/>
          <w:i w:val="1"/>
          <w:sz w:val="24"/>
          <w:szCs w:val="24"/>
        </w:rPr>
        <w:t xml:space="preserve">5.1.7 Testing and Deployment</w:t>
      </w:r>
    </w:p>
    <w:p>
      <w:pPr>
        <w:keepNext w:val="1"/>
        <w:spacing w:before="120" w:after="60" w:line="240" w:lineRule="auto"/>
        <w:jc w:val="center"/>
      </w:pPr>
      <w:r>
        <w:rPr>
          <w:b w:val="1"/>
          <w:sz w:val="20"/>
          <w:szCs w:val="20"/>
        </w:rPr>
        <w:t xml:space="preserve">Table 5.3 Perangkat IT quality checks</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2600"/>
        <w:gridCol w:w="2200"/>
        <w:gridCol w:w="4226"/>
      </w:tblGrid>
      <w:tr>
        <w:trPr>
          <w:tblHeader w:val="1"/>
        </w:trPr>
        <w:tc>
          <w:tcPr>
            <w:tcW w:w="2600" w:type="dxa"/>
            <w:shd w:val="clear" w:color="auto" w:fill="D9D9D9"/>
            <w:vAlign w:val="top"/>
          </w:tcPr>
          <w:p>
            <w:pPr>
              <w:spacing w:before="0" w:after="0" w:line="240" w:lineRule="auto"/>
              <w:jc w:val="left"/>
            </w:pPr>
            <w:r>
              <w:rPr>
                <w:b w:val="1"/>
                <w:sz w:val="20"/>
                <w:szCs w:val="20"/>
              </w:rPr>
              <w:t xml:space="preserve">Check</w:t>
            </w:r>
          </w:p>
        </w:tc>
        <w:tc>
          <w:tcPr>
            <w:tcW w:w="2200" w:type="dxa"/>
            <w:shd w:val="clear" w:color="auto" w:fill="D9D9D9"/>
            <w:vAlign w:val="top"/>
          </w:tcPr>
          <w:p>
            <w:pPr>
              <w:spacing w:before="0" w:after="0" w:line="240" w:lineRule="auto"/>
              <w:jc w:val="left"/>
            </w:pPr>
            <w:r>
              <w:rPr>
                <w:b w:val="1"/>
                <w:sz w:val="20"/>
                <w:szCs w:val="20"/>
              </w:rPr>
              <w:t xml:space="preserve">Tool</w:t>
            </w:r>
          </w:p>
        </w:tc>
        <w:tc>
          <w:tcPr>
            <w:tcW w:w="4226" w:type="dxa"/>
            <w:shd w:val="clear" w:color="auto" w:fill="D9D9D9"/>
            <w:vAlign w:val="top"/>
          </w:tcPr>
          <w:p>
            <w:pPr>
              <w:spacing w:before="0" w:after="0" w:line="240" w:lineRule="auto"/>
              <w:jc w:val="left"/>
            </w:pPr>
            <w:r>
              <w:rPr>
                <w:b w:val="1"/>
                <w:sz w:val="20"/>
                <w:szCs w:val="20"/>
              </w:rPr>
              <w:t xml:space="preserve">Scope</w:t>
            </w:r>
          </w:p>
        </w:tc>
      </w:tr>
      <w:tr>
        <w:tc>
          <w:tcPr>
            <w:tcW w:w="2600" w:type="dxa"/>
            <w:vAlign w:val="top"/>
          </w:tcPr>
          <w:p>
            <w:pPr>
              <w:spacing w:before="0" w:after="0" w:line="240" w:lineRule="auto"/>
              <w:jc w:val="left"/>
            </w:pPr>
            <w:r>
              <w:rPr>
                <w:sz w:val="20"/>
                <w:szCs w:val="20"/>
              </w:rPr>
              <w:t xml:space="preserve">Backend unit and integration tests</w:t>
            </w:r>
          </w:p>
        </w:tc>
        <w:tc>
          <w:tcPr>
            <w:tcW w:w="2200" w:type="dxa"/>
            <w:vAlign w:val="top"/>
          </w:tcPr>
          <w:p>
            <w:pPr>
              <w:spacing w:before="0" w:after="0" w:line="240" w:lineRule="auto"/>
              <w:jc w:val="left"/>
            </w:pPr>
            <w:r>
              <w:rPr>
                <w:sz w:val="20"/>
                <w:szCs w:val="20"/>
              </w:rPr>
              <w:t xml:space="preserve">Vitest, Supertest</w:t>
            </w:r>
          </w:p>
        </w:tc>
        <w:tc>
          <w:tcPr>
            <w:tcW w:w="4226" w:type="dxa"/>
            <w:vAlign w:val="top"/>
          </w:tcPr>
          <w:p>
            <w:pPr>
              <w:spacing w:before="0" w:after="0" w:line="240" w:lineRule="auto"/>
              <w:jc w:val="left"/>
            </w:pPr>
            <w:r>
              <w:rPr>
                <w:sz w:val="20"/>
                <w:szCs w:val="20"/>
              </w:rPr>
              <w:t xml:space="preserve">126 test cases in 29 files, run against a real PostgreSQL test database</w:t>
            </w:r>
          </w:p>
        </w:tc>
      </w:tr>
      <w:tr>
        <w:tc>
          <w:tcPr>
            <w:tcW w:w="2600" w:type="dxa"/>
            <w:vAlign w:val="top"/>
          </w:tcPr>
          <w:p>
            <w:pPr>
              <w:spacing w:before="0" w:after="0" w:line="240" w:lineRule="auto"/>
              <w:jc w:val="left"/>
            </w:pPr>
            <w:r>
              <w:rPr>
                <w:sz w:val="20"/>
                <w:szCs w:val="20"/>
              </w:rPr>
              <w:t xml:space="preserve">Frontend unit tests</w:t>
            </w:r>
          </w:p>
        </w:tc>
        <w:tc>
          <w:tcPr>
            <w:tcW w:w="2200" w:type="dxa"/>
            <w:vAlign w:val="top"/>
          </w:tcPr>
          <w:p>
            <w:pPr>
              <w:spacing w:before="0" w:after="0" w:line="240" w:lineRule="auto"/>
              <w:jc w:val="left"/>
            </w:pPr>
            <w:r>
              <w:rPr>
                <w:sz w:val="20"/>
                <w:szCs w:val="20"/>
              </w:rPr>
              <w:t xml:space="preserve">Vitest, React Testing Library</w:t>
            </w:r>
          </w:p>
        </w:tc>
        <w:tc>
          <w:tcPr>
            <w:tcW w:w="4226" w:type="dxa"/>
            <w:vAlign w:val="top"/>
          </w:tcPr>
          <w:p>
            <w:pPr>
              <w:spacing w:before="0" w:after="0" w:line="240" w:lineRule="auto"/>
              <w:jc w:val="left"/>
            </w:pPr>
            <w:r>
              <w:rPr>
                <w:sz w:val="20"/>
                <w:szCs w:val="20"/>
              </w:rPr>
              <w:t xml:space="preserve">55 test cases in 22 files covering pages, forms, hooks, and the login context</w:t>
            </w:r>
          </w:p>
        </w:tc>
      </w:tr>
      <w:tr>
        <w:tc>
          <w:tcPr>
            <w:tcW w:w="2600" w:type="dxa"/>
            <w:vAlign w:val="top"/>
          </w:tcPr>
          <w:p>
            <w:pPr>
              <w:spacing w:before="0" w:after="0" w:line="240" w:lineRule="auto"/>
              <w:jc w:val="left"/>
            </w:pPr>
            <w:r>
              <w:rPr>
                <w:sz w:val="20"/>
                <w:szCs w:val="20"/>
              </w:rPr>
              <w:t xml:space="preserve">End-to-end smoke test</w:t>
            </w:r>
          </w:p>
        </w:tc>
        <w:tc>
          <w:tcPr>
            <w:tcW w:w="2200" w:type="dxa"/>
            <w:vAlign w:val="top"/>
          </w:tcPr>
          <w:p>
            <w:pPr>
              <w:spacing w:before="0" w:after="0" w:line="240" w:lineRule="auto"/>
              <w:jc w:val="left"/>
            </w:pPr>
            <w:r>
              <w:rPr>
                <w:sz w:val="20"/>
                <w:szCs w:val="20"/>
              </w:rPr>
              <w:t xml:space="preserve">Playwright</w:t>
            </w:r>
          </w:p>
        </w:tc>
        <w:tc>
          <w:tcPr>
            <w:tcW w:w="4226" w:type="dxa"/>
            <w:vAlign w:val="top"/>
          </w:tcPr>
          <w:p>
            <w:pPr>
              <w:spacing w:before="0" w:after="0" w:line="240" w:lineRule="auto"/>
              <w:jc w:val="left"/>
            </w:pPr>
            <w:r>
              <w:rPr>
                <w:sz w:val="20"/>
                <w:szCs w:val="20"/>
              </w:rPr>
              <w:t xml:space="preserve">Log in, open the dashboard and device list, log out in a real browser</w:t>
            </w:r>
          </w:p>
        </w:tc>
      </w:tr>
      <w:tr>
        <w:tc>
          <w:tcPr>
            <w:tcW w:w="2600" w:type="dxa"/>
            <w:vAlign w:val="top"/>
          </w:tcPr>
          <w:p>
            <w:pPr>
              <w:spacing w:before="0" w:after="0" w:line="240" w:lineRule="auto"/>
              <w:jc w:val="left"/>
            </w:pPr>
            <w:r>
              <w:rPr>
                <w:sz w:val="20"/>
                <w:szCs w:val="20"/>
              </w:rPr>
              <w:t xml:space="preserve">Continuous integration</w:t>
            </w:r>
          </w:p>
        </w:tc>
        <w:tc>
          <w:tcPr>
            <w:tcW w:w="2200" w:type="dxa"/>
            <w:vAlign w:val="top"/>
          </w:tcPr>
          <w:p>
            <w:pPr>
              <w:spacing w:before="0" w:after="0" w:line="240" w:lineRule="auto"/>
              <w:jc w:val="left"/>
            </w:pPr>
            <w:r>
              <w:rPr>
                <w:sz w:val="20"/>
                <w:szCs w:val="20"/>
              </w:rPr>
              <w:t xml:space="preserve">GitHub Actions</w:t>
            </w:r>
          </w:p>
        </w:tc>
        <w:tc>
          <w:tcPr>
            <w:tcW w:w="4226" w:type="dxa"/>
            <w:vAlign w:val="top"/>
          </w:tcPr>
          <w:p>
            <w:pPr>
              <w:spacing w:before="0" w:after="0" w:line="240" w:lineRule="auto"/>
              <w:jc w:val="left"/>
            </w:pPr>
            <w:r>
              <w:rPr>
                <w:sz w:val="20"/>
                <w:szCs w:val="20"/>
              </w:rPr>
              <w:t xml:space="preserve">Runs both test suites, the frontend build, dependency audits, and the Docker image build on every push</w:t>
            </w:r>
          </w:p>
        </w:tc>
      </w:tr>
    </w:tbl>
    <w:p>
      <w:pPr>
        <w:spacing w:before="0" w:after="60" w:line="240" w:lineRule="auto"/>
        <w:jc w:val="both"/>
      </w:pPr>
    </w:p>
    <w:p>
      <w:pPr>
        <w:spacing w:before="0" w:after="120" w:line="360" w:lineRule="auto"/>
        <w:jc w:val="both"/>
      </w:pPr>
      <w:r>
        <w:rPr>
          <w:sz w:val="24"/>
          <w:szCs w:val="24"/>
        </w:rPr>
        <w:t xml:space="preserve">The whole system starts with a single Docker Compose command. A deployment runbook and a go-live checklist, in English and Indonesian, document the steps for installation, demo accounts, backups, and the later move to public HTTPS hosting.</w:t>
      </w:r>
    </w:p>
    <w:p>
      <w:pPr>
        <w:keepNext w:val="1"/>
        <w:spacing w:before="120" w:after="60" w:line="360" w:lineRule="auto"/>
        <w:jc w:val="left"/>
      </w:pPr>
      <w:r>
        <w:rPr>
          <w:b w:val="1"/>
          <w:i w:val="1"/>
          <w:sz w:val="24"/>
          <w:szCs w:val="24"/>
        </w:rPr>
        <w:t xml:space="preserve">5.1.8 Results</w:t>
      </w:r>
    </w:p>
    <w:p>
      <w:pPr>
        <w:spacing w:before="0" w:after="120" w:line="360" w:lineRule="auto"/>
        <w:jc w:val="both"/>
      </w:pPr>
      <w:r>
        <w:rPr>
          <w:sz w:val="24"/>
          <w:szCs w:val="24"/>
        </w:rPr>
        <w:t xml:space="preserve">All planned phases up to the internal pilot, both stakeholder requests, and the frontend test suite were completed. The system now requires a login for all data, limits each role to what it should see, keeps a full history of device status and changes, can back up its own data, and is checked automatically on every change. Public HTTPS hosting remains the next step for the division.</w:t>
      </w:r>
    </w:p>
    <w:p>
      <w:pPr>
        <w:keepNext w:val="1"/>
        <w:spacing w:before="240" w:after="120" w:line="360" w:lineRule="auto"/>
        <w:jc w:val="left"/>
      </w:pPr>
      <w:r>
        <w:rPr>
          <w:b w:val="1"/>
          <w:sz w:val="24"/>
          <w:szCs w:val="24"/>
        </w:rPr>
        <w:t xml:space="preserve">5.2 RTB Division Project: Tongkat Gaib Excel Report Automation Tool</w:t>
      </w:r>
    </w:p>
    <w:p>
      <w:pPr>
        <w:keepNext w:val="1"/>
        <w:spacing w:before="120" w:after="60" w:line="360" w:lineRule="auto"/>
        <w:jc w:val="left"/>
      </w:pPr>
      <w:r>
        <w:rPr>
          <w:b w:val="1"/>
          <w:i w:val="1"/>
          <w:sz w:val="24"/>
          <w:szCs w:val="24"/>
        </w:rPr>
        <w:t xml:space="preserve">5.2.1 Background and Problem</w:t>
      </w:r>
    </w:p>
    <w:p>
      <w:pPr>
        <w:spacing w:before="0" w:after="120" w:line="360" w:lineRule="auto"/>
        <w:jc w:val="both"/>
      </w:pPr>
      <w:r>
        <w:rPr>
          <w:sz w:val="24"/>
          <w:szCs w:val="24"/>
        </w:rPr>
        <w:t xml:space="preserve">The RTB division prepares recurring reports on transaction volumes, fee-based income, active users, product counts, and giro balances for each branch, and places them on its dashboard. Each report was produced manually in Excel from a raw system extract, as described in Section 3.2.1. The manual steps took time with large files, needed the operator to remember each report's filter rules, and left room for errors that were hard to spot.</w:t>
      </w:r>
    </w:p>
    <w:p>
      <w:pPr>
        <w:keepNext w:val="1"/>
        <w:spacing w:before="120" w:after="60" w:line="360" w:lineRule="auto"/>
        <w:jc w:val="left"/>
      </w:pPr>
      <w:r>
        <w:rPr>
          <w:b w:val="1"/>
          <w:i w:val="1"/>
          <w:sz w:val="24"/>
          <w:szCs w:val="24"/>
        </w:rPr>
        <w:t xml:space="preserve">5.2.2 Objectives</w:t>
      </w:r>
    </w:p>
    <w:p>
      <w:pPr>
        <w:numPr>
          <w:ilvl w:val="0"/>
          <w:numId w:val="2"/>
        </w:numPr>
        <w:spacing w:before="0" w:after="60" w:line="360" w:lineRule="auto"/>
        <w:jc w:val="both"/>
      </w:pPr>
      <w:r>
        <w:rPr>
          <w:sz w:val="24"/>
          <w:szCs w:val="24"/>
        </w:rPr>
        <w:t xml:space="preserve">Reproduce each manual report exactly, including filters, grouping, and number format.</w:t>
      </w:r>
    </w:p>
    <w:p>
      <w:pPr>
        <w:numPr>
          <w:ilvl w:val="0"/>
          <w:numId w:val="2"/>
        </w:numPr>
        <w:spacing w:before="0" w:after="60" w:line="360" w:lineRule="auto"/>
        <w:jc w:val="both"/>
      </w:pPr>
      <w:r>
        <w:rPr>
          <w:sz w:val="24"/>
          <w:szCs w:val="24"/>
        </w:rPr>
        <w:t xml:space="preserve">Reduce each report to selecting the input files and clicking Run.</w:t>
      </w:r>
    </w:p>
    <w:p>
      <w:pPr>
        <w:numPr>
          <w:ilvl w:val="0"/>
          <w:numId w:val="2"/>
        </w:numPr>
        <w:spacing w:before="0" w:after="60" w:line="360" w:lineRule="auto"/>
        <w:jc w:val="both"/>
      </w:pPr>
      <w:r>
        <w:rPr>
          <w:sz w:val="24"/>
          <w:szCs w:val="24"/>
        </w:rPr>
        <w:t xml:space="preserve">Never modify the input files, and never write a half-finished output.</w:t>
      </w:r>
    </w:p>
    <w:p>
      <w:pPr>
        <w:numPr>
          <w:ilvl w:val="0"/>
          <w:numId w:val="2"/>
        </w:numPr>
        <w:spacing w:before="0" w:after="60" w:line="360" w:lineRule="auto"/>
        <w:jc w:val="both"/>
      </w:pPr>
      <w:r>
        <w:rPr>
          <w:sz w:val="24"/>
          <w:szCs w:val="24"/>
        </w:rPr>
        <w:t xml:space="preserve">Run on a standard office PC without Python, Excel add-ins, or an internet connection.</w:t>
      </w:r>
    </w:p>
    <w:p>
      <w:pPr>
        <w:keepNext w:val="1"/>
        <w:spacing w:before="120" w:after="60" w:line="360" w:lineRule="auto"/>
        <w:jc w:val="left"/>
      </w:pPr>
      <w:r>
        <w:rPr>
          <w:b w:val="1"/>
          <w:i w:val="1"/>
          <w:sz w:val="24"/>
          <w:szCs w:val="24"/>
        </w:rPr>
        <w:t xml:space="preserve">5.2.3 Mapping the Manual Process to the Program</w:t>
      </w:r>
    </w:p>
    <w:p>
      <w:pPr>
        <w:spacing w:before="0" w:after="120" w:line="360" w:lineRule="auto"/>
        <w:jc w:val="both"/>
      </w:pPr>
      <w:r>
        <w:rPr>
          <w:sz w:val="24"/>
          <w:szCs w:val="24"/>
        </w:rPr>
        <w:t xml:space="preserve">Each manual Excel step was replaced by one module of the program, as shown in Table 5.4.</w:t>
      </w:r>
    </w:p>
    <w:p>
      <w:pPr>
        <w:keepNext w:val="1"/>
        <w:spacing w:before="120" w:after="60" w:line="240" w:lineRule="auto"/>
        <w:jc w:val="center"/>
      </w:pPr>
      <w:r>
        <w:rPr>
          <w:b w:val="1"/>
          <w:sz w:val="20"/>
          <w:szCs w:val="20"/>
        </w:rPr>
        <w:t xml:space="preserve">Table 5.4 Manual Excel steps and their automated equivalents</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2700"/>
        <w:gridCol w:w="4626"/>
        <w:gridCol w:w="1700"/>
      </w:tblGrid>
      <w:tr>
        <w:trPr>
          <w:tblHeader w:val="1"/>
        </w:trPr>
        <w:tc>
          <w:tcPr>
            <w:tcW w:w="2700" w:type="dxa"/>
            <w:shd w:val="clear" w:color="auto" w:fill="D9D9D9"/>
            <w:vAlign w:val="top"/>
          </w:tcPr>
          <w:p>
            <w:pPr>
              <w:spacing w:before="0" w:after="0" w:line="240" w:lineRule="auto"/>
              <w:jc w:val="left"/>
            </w:pPr>
            <w:r>
              <w:rPr>
                <w:b w:val="1"/>
                <w:sz w:val="20"/>
                <w:szCs w:val="20"/>
              </w:rPr>
              <w:t xml:space="preserve">Manual Excel step</w:t>
            </w:r>
          </w:p>
        </w:tc>
        <w:tc>
          <w:tcPr>
            <w:tcW w:w="4626" w:type="dxa"/>
            <w:shd w:val="clear" w:color="auto" w:fill="D9D9D9"/>
            <w:vAlign w:val="top"/>
          </w:tcPr>
          <w:p>
            <w:pPr>
              <w:spacing w:before="0" w:after="0" w:line="240" w:lineRule="auto"/>
              <w:jc w:val="left"/>
            </w:pPr>
            <w:r>
              <w:rPr>
                <w:b w:val="1"/>
                <w:sz w:val="20"/>
                <w:szCs w:val="20"/>
              </w:rPr>
              <w:t xml:space="preserve">Automated equivalent</w:t>
            </w:r>
          </w:p>
        </w:tc>
        <w:tc>
          <w:tcPr>
            <w:tcW w:w="1700" w:type="dxa"/>
            <w:shd w:val="clear" w:color="auto" w:fill="D9D9D9"/>
            <w:vAlign w:val="top"/>
          </w:tcPr>
          <w:p>
            <w:pPr>
              <w:spacing w:before="0" w:after="0" w:line="240" w:lineRule="auto"/>
              <w:jc w:val="left"/>
            </w:pPr>
            <w:r>
              <w:rPr>
                <w:b w:val="1"/>
                <w:sz w:val="20"/>
                <w:szCs w:val="20"/>
              </w:rPr>
              <w:t xml:space="preserve">Module</w:t>
            </w:r>
          </w:p>
        </w:tc>
      </w:tr>
      <w:tr>
        <w:tc>
          <w:tcPr>
            <w:tcW w:w="2700" w:type="dxa"/>
            <w:vAlign w:val="top"/>
          </w:tcPr>
          <w:p>
            <w:pPr>
              <w:spacing w:before="0" w:after="0" w:line="240" w:lineRule="auto"/>
              <w:jc w:val="left"/>
            </w:pPr>
            <w:r>
              <w:rPr>
                <w:sz w:val="20"/>
                <w:szCs w:val="20"/>
              </w:rPr>
              <w:t xml:space="preserve">Text to Columns with the | delimiter</w:t>
            </w:r>
          </w:p>
        </w:tc>
        <w:tc>
          <w:tcPr>
            <w:tcW w:w="4626" w:type="dxa"/>
            <w:vAlign w:val="top"/>
          </w:tcPr>
          <w:p>
            <w:pPr>
              <w:spacing w:before="0" w:after="0" w:line="240" w:lineRule="auto"/>
              <w:jc w:val="left"/>
            </w:pPr>
            <w:r>
              <w:rPr>
                <w:sz w:val="20"/>
                <w:szCs w:val="20"/>
              </w:rPr>
              <w:t xml:space="preserve">Read the pipe-delimited extract, handling encodings, extra spaces, and malformed rows</w:t>
            </w:r>
          </w:p>
        </w:tc>
        <w:tc>
          <w:tcPr>
            <w:tcW w:w="1700" w:type="dxa"/>
            <w:vAlign w:val="top"/>
          </w:tcPr>
          <w:p>
            <w:pPr>
              <w:spacing w:before="0" w:after="0" w:line="240" w:lineRule="auto"/>
              <w:jc w:val="left"/>
            </w:pPr>
            <w:r>
              <w:rPr>
                <w:sz w:val="20"/>
                <w:szCs w:val="20"/>
              </w:rPr>
              <w:t xml:space="preserve">ingestion.py</w:t>
            </w:r>
          </w:p>
        </w:tc>
      </w:tr>
      <w:tr>
        <w:tc>
          <w:tcPr>
            <w:tcW w:w="2700" w:type="dxa"/>
            <w:vAlign w:val="top"/>
          </w:tcPr>
          <w:p>
            <w:pPr>
              <w:spacing w:before="0" w:after="0" w:line="240" w:lineRule="auto"/>
              <w:jc w:val="left"/>
            </w:pPr>
            <w:r>
              <w:rPr>
                <w:sz w:val="20"/>
                <w:szCs w:val="20"/>
              </w:rPr>
              <w:t xml:space="preserve">VLOOKUP against the mapping workbook</w:t>
            </w:r>
          </w:p>
        </w:tc>
        <w:tc>
          <w:tcPr>
            <w:tcW w:w="4626" w:type="dxa"/>
            <w:vAlign w:val="top"/>
          </w:tcPr>
          <w:p>
            <w:pPr>
              <w:spacing w:before="0" w:after="0" w:line="240" w:lineRule="auto"/>
              <w:jc w:val="left"/>
            </w:pPr>
            <w:r>
              <w:rPr>
                <w:sz w:val="20"/>
                <w:szCs w:val="20"/>
              </w:rPr>
              <w:t xml:space="preserve">Join each unit code to its main branch code and name; unmatched codes are grouped as UNMAPPED and reported</w:t>
            </w:r>
          </w:p>
        </w:tc>
        <w:tc>
          <w:tcPr>
            <w:tcW w:w="1700" w:type="dxa"/>
            <w:vAlign w:val="top"/>
          </w:tcPr>
          <w:p>
            <w:pPr>
              <w:spacing w:before="0" w:after="0" w:line="240" w:lineRule="auto"/>
              <w:jc w:val="left"/>
            </w:pPr>
            <w:r>
              <w:rPr>
                <w:sz w:val="20"/>
                <w:szCs w:val="20"/>
              </w:rPr>
              <w:t xml:space="preserve">enrichment.py</w:t>
            </w:r>
          </w:p>
        </w:tc>
      </w:tr>
      <w:tr>
        <w:tc>
          <w:tcPr>
            <w:tcW w:w="2700" w:type="dxa"/>
            <w:vAlign w:val="top"/>
          </w:tcPr>
          <w:p>
            <w:pPr>
              <w:spacing w:before="0" w:after="0" w:line="240" w:lineRule="auto"/>
              <w:jc w:val="left"/>
            </w:pPr>
            <w:r>
              <w:rPr>
                <w:sz w:val="20"/>
                <w:szCs w:val="20"/>
              </w:rPr>
              <w:t xml:space="preserve">PivotTable with the SEGMEN filter</w:t>
            </w:r>
          </w:p>
        </w:tc>
        <w:tc>
          <w:tcPr>
            <w:tcW w:w="4626" w:type="dxa"/>
            <w:vAlign w:val="top"/>
          </w:tcPr>
          <w:p>
            <w:pPr>
              <w:spacing w:before="0" w:after="0" w:line="240" w:lineRule="auto"/>
              <w:jc w:val="left"/>
            </w:pPr>
            <w:r>
              <w:rPr>
                <w:sz w:val="20"/>
                <w:szCs w:val="20"/>
              </w:rPr>
              <w:t xml:space="preserve">Group and sum or count per branch, with include and exclude filters</w:t>
            </w:r>
          </w:p>
        </w:tc>
        <w:tc>
          <w:tcPr>
            <w:tcW w:w="1700" w:type="dxa"/>
            <w:vAlign w:val="top"/>
          </w:tcPr>
          <w:p>
            <w:pPr>
              <w:spacing w:before="0" w:after="0" w:line="240" w:lineRule="auto"/>
              <w:jc w:val="left"/>
            </w:pPr>
            <w:r>
              <w:rPr>
                <w:sz w:val="20"/>
                <w:szCs w:val="20"/>
              </w:rPr>
              <w:t xml:space="preserve">aggregation.py</w:t>
            </w:r>
          </w:p>
        </w:tc>
      </w:tr>
      <w:tr>
        <w:tc>
          <w:tcPr>
            <w:tcW w:w="2700" w:type="dxa"/>
            <w:vAlign w:val="top"/>
          </w:tcPr>
          <w:p>
            <w:pPr>
              <w:spacing w:before="0" w:after="0" w:line="240" w:lineRule="auto"/>
              <w:jc w:val="left"/>
            </w:pPr>
            <w:r>
              <w:rPr>
                <w:sz w:val="20"/>
                <w:szCs w:val="20"/>
              </w:rPr>
              <w:t xml:space="preserve">Tabular layout, no subtotals, Number format</w:t>
            </w:r>
          </w:p>
        </w:tc>
        <w:tc>
          <w:tcPr>
            <w:tcW w:w="4626" w:type="dxa"/>
            <w:vAlign w:val="top"/>
          </w:tcPr>
          <w:p>
            <w:pPr>
              <w:spacing w:before="0" w:after="0" w:line="240" w:lineRule="auto"/>
              <w:jc w:val="left"/>
            </w:pPr>
            <w:r>
              <w:rPr>
                <w:sz w:val="20"/>
                <w:szCs w:val="20"/>
              </w:rPr>
              <w:t xml:space="preserve">Styled Excel output with a Grand Total and plain whole-number format</w:t>
            </w:r>
          </w:p>
        </w:tc>
        <w:tc>
          <w:tcPr>
            <w:tcW w:w="1700" w:type="dxa"/>
            <w:vAlign w:val="top"/>
          </w:tcPr>
          <w:p>
            <w:pPr>
              <w:spacing w:before="0" w:after="0" w:line="240" w:lineRule="auto"/>
              <w:jc w:val="left"/>
            </w:pPr>
            <w:r>
              <w:rPr>
                <w:sz w:val="20"/>
                <w:szCs w:val="20"/>
              </w:rPr>
              <w:t xml:space="preserve">exporter.py</w:t>
            </w:r>
          </w:p>
        </w:tc>
      </w:tr>
      <w:tr>
        <w:tc>
          <w:tcPr>
            <w:tcW w:w="2700" w:type="dxa"/>
            <w:vAlign w:val="top"/>
          </w:tcPr>
          <w:p>
            <w:pPr>
              <w:spacing w:before="0" w:after="0" w:line="240" w:lineRule="auto"/>
              <w:jc w:val="left"/>
            </w:pPr>
            <w:r>
              <w:rPr>
                <w:sz w:val="20"/>
                <w:szCs w:val="20"/>
              </w:rPr>
              <w:t xml:space="preserve">Ctrl+F lookup of each giro account</w:t>
            </w:r>
          </w:p>
        </w:tc>
        <w:tc>
          <w:tcPr>
            <w:tcW w:w="4626" w:type="dxa"/>
            <w:vAlign w:val="top"/>
          </w:tcPr>
          <w:p>
            <w:pPr>
              <w:spacing w:before="0" w:after="0" w:line="240" w:lineRule="auto"/>
              <w:jc w:val="left"/>
            </w:pPr>
            <w:r>
              <w:rPr>
                <w:sz w:val="20"/>
                <w:szCs w:val="20"/>
              </w:rPr>
              <w:t xml:space="preserve">Write each account's balance into the giro master's SALDO UPDATE column</w:t>
            </w:r>
          </w:p>
        </w:tc>
        <w:tc>
          <w:tcPr>
            <w:tcW w:w="1700" w:type="dxa"/>
            <w:vAlign w:val="top"/>
          </w:tcPr>
          <w:p>
            <w:pPr>
              <w:spacing w:before="0" w:after="0" w:line="240" w:lineRule="auto"/>
              <w:jc w:val="left"/>
            </w:pPr>
            <w:r>
              <w:rPr>
                <w:sz w:val="20"/>
                <w:szCs w:val="20"/>
              </w:rPr>
              <w:t xml:space="preserve">report_giro.py</w:t>
            </w:r>
          </w:p>
        </w:tc>
      </w:tr>
    </w:tbl>
    <w:p>
      <w:pPr>
        <w:spacing w:before="0" w:after="60" w:line="240" w:lineRule="auto"/>
        <w:jc w:val="both"/>
      </w:pPr>
    </w:p>
    <w:p>
      <w:pPr>
        <w:keepNext w:val="1"/>
        <w:spacing w:before="120" w:after="60" w:line="360" w:lineRule="auto"/>
        <w:jc w:val="left"/>
      </w:pPr>
      <w:r>
        <w:rPr>
          <w:b w:val="1"/>
          <w:i w:val="1"/>
          <w:sz w:val="24"/>
          <w:szCs w:val="24"/>
        </w:rPr>
        <w:t xml:space="preserve">5.2.4 Program Design</w:t>
      </w:r>
    </w:p>
    <w:p>
      <w:pPr>
        <w:spacing w:before="0" w:after="120" w:line="360" w:lineRule="auto"/>
        <w:jc w:val="both"/>
      </w:pPr>
      <w:r>
        <w:rPr>
          <w:sz w:val="24"/>
          <w:szCs w:val="24"/>
        </w:rPr>
        <w:t xml:space="preserve">Every report is implemented as a strategy that shares one pipeline: read the extract, optionally match it against reference data, summarise it, and export it. An orchestrator runs the selected strategy, catches failures, and records timing. The list of reports is declared in one place, so the desktop window's drop-down menu, the command-line help, and the documentation always show the same reports in the same order, following the operator's daily sequence.</w:t>
      </w:r>
    </w:p>
    <w:p>
      <w:pPr>
        <w:spacing w:before="0" w:after="120" w:line="360" w:lineRule="auto"/>
        <w:jc w:val="both"/>
      </w:pPr>
      <w:r>
        <w:rPr>
          <w:sz w:val="24"/>
          <w:szCs w:val="24"/>
        </w:rPr>
        <w:t xml:space="preserve">Operators use a desktop window: choose a report, pick the input files, adjust the filters if needed, choose where to save, and click Run Pipeline. Buttons and filter boxes that do not apply to the chosen report are greyed out. The same pipeline can also be run from the command line.</w:t>
      </w:r>
    </w:p>
    <w:p>
      <w:pPr>
        <w:keepNext w:val="1"/>
        <w:spacing w:before="120" w:after="60" w:line="360" w:lineRule="auto"/>
        <w:jc w:val="left"/>
      </w:pPr>
      <w:r>
        <w:rPr>
          <w:b w:val="1"/>
          <w:i w:val="1"/>
          <w:sz w:val="24"/>
          <w:szCs w:val="24"/>
        </w:rPr>
        <w:t xml:space="preserve">5.2.5 Reports Supported</w:t>
      </w:r>
    </w:p>
    <w:p>
      <w:pPr>
        <w:keepNext w:val="1"/>
        <w:spacing w:before="120" w:after="60" w:line="240" w:lineRule="auto"/>
        <w:jc w:val="center"/>
      </w:pPr>
      <w:r>
        <w:rPr>
          <w:b w:val="1"/>
          <w:sz w:val="20"/>
          <w:szCs w:val="20"/>
        </w:rPr>
        <w:t xml:space="preserve">Table 5.5 Reports produced by Tongkat Gaib Excel</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700"/>
        <w:gridCol w:w="3200"/>
        <w:gridCol w:w="5126"/>
      </w:tblGrid>
      <w:tr>
        <w:trPr>
          <w:tblHeader w:val="1"/>
        </w:trPr>
        <w:tc>
          <w:tcPr>
            <w:tcW w:w="700" w:type="dxa"/>
            <w:shd w:val="clear" w:color="auto" w:fill="D9D9D9"/>
            <w:vAlign w:val="top"/>
          </w:tcPr>
          <w:p>
            <w:pPr>
              <w:spacing w:before="0" w:after="0" w:line="240" w:lineRule="auto"/>
              <w:jc w:val="left"/>
            </w:pPr>
            <w:r>
              <w:rPr>
                <w:b w:val="1"/>
                <w:sz w:val="20"/>
                <w:szCs w:val="20"/>
              </w:rPr>
              <w:t xml:space="preserve">No.</w:t>
            </w:r>
          </w:p>
        </w:tc>
        <w:tc>
          <w:tcPr>
            <w:tcW w:w="3200" w:type="dxa"/>
            <w:shd w:val="clear" w:color="auto" w:fill="D9D9D9"/>
            <w:vAlign w:val="top"/>
          </w:tcPr>
          <w:p>
            <w:pPr>
              <w:spacing w:before="0" w:after="0" w:line="240" w:lineRule="auto"/>
              <w:jc w:val="left"/>
            </w:pPr>
            <w:r>
              <w:rPr>
                <w:b w:val="1"/>
                <w:sz w:val="20"/>
                <w:szCs w:val="20"/>
              </w:rPr>
              <w:t xml:space="preserve">Report</w:t>
            </w:r>
          </w:p>
        </w:tc>
        <w:tc>
          <w:tcPr>
            <w:tcW w:w="5126" w:type="dxa"/>
            <w:shd w:val="clear" w:color="auto" w:fill="D9D9D9"/>
            <w:vAlign w:val="top"/>
          </w:tcPr>
          <w:p>
            <w:pPr>
              <w:spacing w:before="0" w:after="0" w:line="240" w:lineRule="auto"/>
              <w:jc w:val="left"/>
            </w:pPr>
            <w:r>
              <w:rPr>
                <w:b w:val="1"/>
                <w:sz w:val="20"/>
                <w:szCs w:val="20"/>
              </w:rPr>
              <w:t xml:space="preserve">Output</w:t>
            </w:r>
          </w:p>
        </w:tc>
      </w:tr>
      <w:tr>
        <w:tc>
          <w:tcPr>
            <w:tcW w:w="700" w:type="dxa"/>
            <w:vAlign w:val="top"/>
          </w:tcPr>
          <w:p>
            <w:pPr>
              <w:spacing w:before="0" w:after="0" w:line="240" w:lineRule="auto"/>
              <w:jc w:val="left"/>
            </w:pPr>
            <w:r>
              <w:rPr>
                <w:sz w:val="20"/>
                <w:szCs w:val="20"/>
              </w:rPr>
              <w:t xml:space="preserve">1</w:t>
            </w:r>
          </w:p>
        </w:tc>
        <w:tc>
          <w:tcPr>
            <w:tcW w:w="3200" w:type="dxa"/>
            <w:vAlign w:val="top"/>
          </w:tcPr>
          <w:p>
            <w:pPr>
              <w:spacing w:before="0" w:after="0" w:line="240" w:lineRule="auto"/>
              <w:jc w:val="left"/>
            </w:pPr>
            <w:r>
              <w:rPr>
                <w:sz w:val="20"/>
                <w:szCs w:val="20"/>
              </w:rPr>
              <w:t xml:space="preserve">Report Summary Akumulasi</w:t>
            </w:r>
          </w:p>
        </w:tc>
        <w:tc>
          <w:tcPr>
            <w:tcW w:w="5126" w:type="dxa"/>
            <w:vAlign w:val="top"/>
          </w:tcPr>
          <w:p>
            <w:pPr>
              <w:spacing w:before="0" w:after="0" w:line="240" w:lineRule="auto"/>
              <w:jc w:val="left"/>
            </w:pPr>
            <w:r>
              <w:rPr>
                <w:sz w:val="20"/>
                <w:szCs w:val="20"/>
              </w:rPr>
              <w:t xml:space="preserve">Sum of FBI and Sum of volume in IDR per branch</w:t>
            </w:r>
          </w:p>
        </w:tc>
      </w:tr>
      <w:tr>
        <w:tc>
          <w:tcPr>
            <w:tcW w:w="700" w:type="dxa"/>
            <w:vAlign w:val="top"/>
          </w:tcPr>
          <w:p>
            <w:pPr>
              <w:spacing w:before="0" w:after="0" w:line="240" w:lineRule="auto"/>
              <w:jc w:val="left"/>
            </w:pPr>
            <w:r>
              <w:rPr>
                <w:sz w:val="20"/>
                <w:szCs w:val="20"/>
              </w:rPr>
              <w:t xml:space="preserve">2</w:t>
            </w:r>
          </w:p>
        </w:tc>
        <w:tc>
          <w:tcPr>
            <w:tcW w:w="3200" w:type="dxa"/>
            <w:vAlign w:val="top"/>
          </w:tcPr>
          <w:p>
            <w:pPr>
              <w:spacing w:before="0" w:after="0" w:line="240" w:lineRule="auto"/>
              <w:jc w:val="left"/>
            </w:pPr>
            <w:r>
              <w:rPr>
                <w:sz w:val="20"/>
                <w:szCs w:val="20"/>
              </w:rPr>
              <w:t xml:space="preserve">Time Series Active User Qlola</w:t>
            </w:r>
          </w:p>
        </w:tc>
        <w:tc>
          <w:tcPr>
            <w:tcW w:w="5126" w:type="dxa"/>
            <w:vAlign w:val="top"/>
          </w:tcPr>
          <w:p>
            <w:pPr>
              <w:spacing w:before="0" w:after="0" w:line="240" w:lineRule="auto"/>
              <w:jc w:val="left"/>
            </w:pPr>
            <w:r>
              <w:rPr>
                <w:sz w:val="20"/>
                <w:szCs w:val="20"/>
              </w:rPr>
              <w:t xml:space="preserve">Count of active users (frequency of 5 or more) per branch, excluding the CMS source</w:t>
            </w:r>
          </w:p>
        </w:tc>
      </w:tr>
      <w:tr>
        <w:tc>
          <w:tcPr>
            <w:tcW w:w="700" w:type="dxa"/>
            <w:vAlign w:val="top"/>
          </w:tcPr>
          <w:p>
            <w:pPr>
              <w:spacing w:before="0" w:after="0" w:line="240" w:lineRule="auto"/>
              <w:jc w:val="left"/>
            </w:pPr>
            <w:r>
              <w:rPr>
                <w:sz w:val="20"/>
                <w:szCs w:val="20"/>
              </w:rPr>
              <w:t xml:space="preserve">3</w:t>
            </w:r>
          </w:p>
        </w:tc>
        <w:tc>
          <w:tcPr>
            <w:tcW w:w="3200" w:type="dxa"/>
            <w:vAlign w:val="top"/>
          </w:tcPr>
          <w:p>
            <w:pPr>
              <w:spacing w:before="0" w:after="0" w:line="240" w:lineRule="auto"/>
              <w:jc w:val="left"/>
            </w:pPr>
            <w:r>
              <w:rPr>
                <w:sz w:val="20"/>
                <w:szCs w:val="20"/>
              </w:rPr>
              <w:t xml:space="preserve">Report Data Statis</w:t>
            </w:r>
          </w:p>
        </w:tc>
        <w:tc>
          <w:tcPr>
            <w:tcW w:w="5126" w:type="dxa"/>
            <w:vAlign w:val="top"/>
          </w:tcPr>
          <w:p>
            <w:pPr>
              <w:spacing w:before="0" w:after="0" w:line="240" w:lineRule="auto"/>
              <w:jc w:val="left"/>
            </w:pPr>
            <w:r>
              <w:rPr>
                <w:sz w:val="20"/>
                <w:szCs w:val="20"/>
              </w:rPr>
              <w:t xml:space="preserve">Count of products per branch for KANWIL MALANG, excluding KORPORASI</w:t>
            </w:r>
          </w:p>
        </w:tc>
      </w:tr>
      <w:tr>
        <w:tc>
          <w:tcPr>
            <w:tcW w:w="700" w:type="dxa"/>
            <w:vAlign w:val="top"/>
          </w:tcPr>
          <w:p>
            <w:pPr>
              <w:spacing w:before="0" w:after="0" w:line="240" w:lineRule="auto"/>
              <w:jc w:val="left"/>
            </w:pPr>
            <w:r>
              <w:rPr>
                <w:sz w:val="20"/>
                <w:szCs w:val="20"/>
              </w:rPr>
              <w:t xml:space="preserve">4</w:t>
            </w:r>
          </w:p>
        </w:tc>
        <w:tc>
          <w:tcPr>
            <w:tcW w:w="3200" w:type="dxa"/>
            <w:vAlign w:val="top"/>
          </w:tcPr>
          <w:p>
            <w:pPr>
              <w:spacing w:before="0" w:after="0" w:line="240" w:lineRule="auto"/>
              <w:jc w:val="left"/>
            </w:pPr>
            <w:r>
              <w:rPr>
                <w:sz w:val="20"/>
                <w:szCs w:val="20"/>
              </w:rPr>
              <w:t xml:space="preserve">Rincian Vol TF</w:t>
            </w:r>
          </w:p>
        </w:tc>
        <w:tc>
          <w:tcPr>
            <w:tcW w:w="5126" w:type="dxa"/>
            <w:vAlign w:val="top"/>
          </w:tcPr>
          <w:p>
            <w:pPr>
              <w:spacing w:before="0" w:after="0" w:line="240" w:lineRule="auto"/>
              <w:jc w:val="left"/>
            </w:pPr>
            <w:r>
              <w:rPr>
                <w:sz w:val="20"/>
                <w:szCs w:val="20"/>
              </w:rPr>
              <w:t xml:space="preserve">Sum of amount in IDR per branch, excluding Wholesale</w:t>
            </w:r>
          </w:p>
        </w:tc>
      </w:tr>
      <w:tr>
        <w:tc>
          <w:tcPr>
            <w:tcW w:w="700" w:type="dxa"/>
            <w:vAlign w:val="top"/>
          </w:tcPr>
          <w:p>
            <w:pPr>
              <w:spacing w:before="0" w:after="0" w:line="240" w:lineRule="auto"/>
              <w:jc w:val="left"/>
            </w:pPr>
            <w:r>
              <w:rPr>
                <w:sz w:val="20"/>
                <w:szCs w:val="20"/>
              </w:rPr>
              <w:t xml:space="preserve">5</w:t>
            </w:r>
          </w:p>
        </w:tc>
        <w:tc>
          <w:tcPr>
            <w:tcW w:w="3200" w:type="dxa"/>
            <w:vAlign w:val="top"/>
          </w:tcPr>
          <w:p>
            <w:pPr>
              <w:spacing w:before="0" w:after="0" w:line="240" w:lineRule="auto"/>
              <w:jc w:val="left"/>
            </w:pPr>
            <w:r>
              <w:rPr>
                <w:sz w:val="20"/>
                <w:szCs w:val="20"/>
              </w:rPr>
              <w:t xml:space="preserve">Rincian Portal BG</w:t>
            </w:r>
          </w:p>
        </w:tc>
        <w:tc>
          <w:tcPr>
            <w:tcW w:w="5126" w:type="dxa"/>
            <w:vAlign w:val="top"/>
          </w:tcPr>
          <w:p>
            <w:pPr>
              <w:spacing w:before="0" w:after="0" w:line="240" w:lineRule="auto"/>
              <w:jc w:val="left"/>
            </w:pPr>
            <w:r>
              <w:rPr>
                <w:sz w:val="20"/>
                <w:szCs w:val="20"/>
              </w:rPr>
              <w:t xml:space="preserve">Sum of amount in IDR per branch</w:t>
            </w:r>
          </w:p>
        </w:tc>
      </w:tr>
      <w:tr>
        <w:tc>
          <w:tcPr>
            <w:tcW w:w="700" w:type="dxa"/>
            <w:vAlign w:val="top"/>
          </w:tcPr>
          <w:p>
            <w:pPr>
              <w:spacing w:before="0" w:after="0" w:line="240" w:lineRule="auto"/>
              <w:jc w:val="left"/>
            </w:pPr>
            <w:r>
              <w:rPr>
                <w:sz w:val="20"/>
                <w:szCs w:val="20"/>
              </w:rPr>
              <w:t xml:space="preserve">6</w:t>
            </w:r>
          </w:p>
        </w:tc>
        <w:tc>
          <w:tcPr>
            <w:tcW w:w="3200" w:type="dxa"/>
            <w:vAlign w:val="top"/>
          </w:tcPr>
          <w:p>
            <w:pPr>
              <w:spacing w:before="0" w:after="0" w:line="240" w:lineRule="auto"/>
              <w:jc w:val="left"/>
            </w:pPr>
            <w:r>
              <w:rPr>
                <w:sz w:val="20"/>
                <w:szCs w:val="20"/>
              </w:rPr>
              <w:t xml:space="preserve">Report Vol Briva</w:t>
            </w:r>
          </w:p>
        </w:tc>
        <w:tc>
          <w:tcPr>
            <w:tcW w:w="5126" w:type="dxa"/>
            <w:vAlign w:val="top"/>
          </w:tcPr>
          <w:p>
            <w:pPr>
              <w:spacing w:before="0" w:after="0" w:line="240" w:lineRule="auto"/>
              <w:jc w:val="left"/>
            </w:pPr>
            <w:r>
              <w:rPr>
                <w:sz w:val="20"/>
                <w:szCs w:val="20"/>
              </w:rPr>
              <w:t xml:space="preserve">Sum of NONWHOLESALE BRIVA volume in IDR per branch</w:t>
            </w:r>
          </w:p>
        </w:tc>
      </w:tr>
      <w:tr>
        <w:tc>
          <w:tcPr>
            <w:tcW w:w="700" w:type="dxa"/>
            <w:vAlign w:val="top"/>
          </w:tcPr>
          <w:p>
            <w:pPr>
              <w:spacing w:before="0" w:after="0" w:line="240" w:lineRule="auto"/>
              <w:jc w:val="left"/>
            </w:pPr>
            <w:r>
              <w:rPr>
                <w:sz w:val="20"/>
                <w:szCs w:val="20"/>
              </w:rPr>
              <w:t xml:space="preserve">7</w:t>
            </w:r>
          </w:p>
        </w:tc>
        <w:tc>
          <w:tcPr>
            <w:tcW w:w="3200" w:type="dxa"/>
            <w:vAlign w:val="top"/>
          </w:tcPr>
          <w:p>
            <w:pPr>
              <w:spacing w:before="0" w:after="0" w:line="240" w:lineRule="auto"/>
              <w:jc w:val="left"/>
            </w:pPr>
            <w:r>
              <w:rPr>
                <w:sz w:val="20"/>
                <w:szCs w:val="20"/>
              </w:rPr>
              <w:t xml:space="preserve">Report Giro</w:t>
            </w:r>
          </w:p>
        </w:tc>
        <w:tc>
          <w:tcPr>
            <w:tcW w:w="5126" w:type="dxa"/>
            <w:vAlign w:val="top"/>
          </w:tcPr>
          <w:p>
            <w:pPr>
              <w:spacing w:before="0" w:after="0" w:line="240" w:lineRule="auto"/>
              <w:jc w:val="left"/>
            </w:pPr>
            <w:r>
              <w:rPr>
                <w:sz w:val="20"/>
                <w:szCs w:val="20"/>
              </w:rPr>
              <w:t xml:space="preserve">Updated copy of the giro master list with each account's monthly balance</w:t>
            </w:r>
          </w:p>
        </w:tc>
      </w:tr>
    </w:tbl>
    <w:p>
      <w:pPr>
        <w:spacing w:before="0" w:after="60" w:line="240" w:lineRule="auto"/>
        <w:jc w:val="both"/>
      </w:pPr>
    </w:p>
    <w:p>
      <w:pPr>
        <w:spacing w:before="0" w:after="120" w:line="360" w:lineRule="auto"/>
        <w:jc w:val="both"/>
      </w:pPr>
      <w:r>
        <w:rPr>
          <w:sz w:val="24"/>
          <w:szCs w:val="24"/>
        </w:rPr>
        <w:t xml:space="preserve">Every report except Report Giro produces a workbook with a summary sheet (in dashboard branch order, with a Grand Total and a line stating the filters applied) and a detail sheet holding the row-level data. Report Giro edits a copy of the master cell by cell, so other sheets, styling, and formulas are kept. It never touches the historical SALDO column, skips deposit (Deposito) rows, and leaves accounts that are missing from the monthly file blank.</w:t>
      </w:r>
    </w:p>
    <w:p>
      <w:pPr>
        <w:keepNext w:val="1"/>
        <w:spacing w:before="120" w:after="60" w:line="360" w:lineRule="auto"/>
        <w:jc w:val="left"/>
      </w:pPr>
      <w:r>
        <w:rPr>
          <w:b w:val="1"/>
          <w:i w:val="1"/>
          <w:sz w:val="24"/>
          <w:szCs w:val="24"/>
        </w:rPr>
        <w:t xml:space="preserve">5.2.6 Filters and Safeguards</w:t>
      </w:r>
    </w:p>
    <w:p>
      <w:pPr>
        <w:spacing w:before="0" w:after="120" w:line="360" w:lineRule="auto"/>
        <w:jc w:val="both"/>
      </w:pPr>
      <w:r>
        <w:rPr>
          <w:sz w:val="24"/>
          <w:szCs w:val="24"/>
        </w:rPr>
        <w:t xml:space="preserve">Each report has a default filter rule that matches the manual process (for example, excluding KORPORASI or keeping only NONWHOLESALE). Operators can override it for a single run by typing values into or choosing values for the SEGMENT, SOURCE, and KW boxes. An empty box always means the report's usual rule, and each box shows the values it accepts. If a required column is missing, the input file does not match the chosen report, or the output file is still open in Excel, the program stops and explains what happened and what to do, instead of guessing.</w:t>
      </w:r>
    </w:p>
    <w:p>
      <w:pPr>
        <w:keepNext w:val="1"/>
        <w:spacing w:before="120" w:after="60" w:line="360" w:lineRule="auto"/>
        <w:jc w:val="left"/>
      </w:pPr>
      <w:r>
        <w:rPr>
          <w:b w:val="1"/>
          <w:i w:val="1"/>
          <w:sz w:val="24"/>
          <w:szCs w:val="24"/>
        </w:rPr>
        <w:t xml:space="preserve">5.2.7 Testing and Distribution</w:t>
      </w:r>
    </w:p>
    <w:p>
      <w:pPr>
        <w:spacing w:before="0" w:after="120" w:line="360" w:lineRule="auto"/>
        <w:jc w:val="both"/>
      </w:pPr>
      <w:r>
        <w:rPr>
          <w:sz w:val="24"/>
          <w:szCs w:val="24"/>
        </w:rPr>
        <w:t xml:space="preserve">The program has 279 automated tests (pytest) covering file reading, reference matching, filtering, grouping, Excel export, every report, and full end-to-end runs. Some tests compare the output against reports RTB staff had made by hand, using real sample extracts. The program is distributed as a single Windows executable built with PyInstaller, together with an operator guide (START HERE) and a system requirements sheet. It runs on Windows 10 or 11 (64-bit) with 4 GB of RAM, and needs no Python, Excel add-in, or network connection.</w:t>
      </w:r>
    </w:p>
    <w:p>
      <w:pPr>
        <w:keepNext w:val="1"/>
        <w:spacing w:before="120" w:after="60" w:line="360" w:lineRule="auto"/>
        <w:jc w:val="left"/>
      </w:pPr>
      <w:r>
        <w:rPr>
          <w:b w:val="1"/>
          <w:i w:val="1"/>
          <w:sz w:val="24"/>
          <w:szCs w:val="24"/>
        </w:rPr>
        <w:t xml:space="preserve">5.2.8 Results</w:t>
      </w:r>
    </w:p>
    <w:p>
      <w:pPr>
        <w:spacing w:before="0" w:after="120" w:line="360" w:lineRule="auto"/>
        <w:jc w:val="both"/>
      </w:pPr>
      <w:r>
        <w:rPr>
          <w:sz w:val="24"/>
          <w:szCs w:val="24"/>
        </w:rPr>
        <w:t xml:space="preserve">All seven recurring RTB reports can now be produced from the original extracts in a single run each, with results that match the manual method and come out ready to paste into the dashboard. The manual account-by-account giro balance lookup has been replaced by an automatic update that never modifies the original master file.</w:t>
      </w:r>
    </w:p>
    <w:p>
      <w:pPr>
        <w:spacing w:before="0" w:after="160" w:line="259" w:lineRule="auto"/>
        <w:jc w:val="both"/>
      </w:pPr>
      <w:r>
        <w:rPr>
          <w:sz w:val="24"/>
          <w:szCs w:val="24"/>
        </w:rPr>
        <w:t xml:space="preserve"/>
      </w:r>
    </w:p>
    <w:p w:rsidR="00000000" w:rsidDel="00000000" w:rsidP="00000000" w:rsidRDefault="00000000" w:rsidRPr="00000000" w14:paraId="00000026">
      <w:pPr>
        <w:rPr>
          <w:sz w:val="24"/>
          <w:szCs w:val="24"/>
        </w:rPr>
      </w:pPr>
      <w:r w:rsidDel="00000000" w:rsidR="00000000" w:rsidRPr="00000000">
        <w:rPr>
          <w:b w:val="1"/>
          <w:sz w:val="28"/>
          <w:szCs w:val="28"/>
          <w:rtl w:val="0"/>
        </w:rPr>
        <w:t xml:space="preserve">Chapter 6.  CONCLUSION(S)</w:t>
      </w:r>
      <w:r w:rsidDel="00000000" w:rsidR="00000000" w:rsidRPr="00000000">
        <w:rPr>
          <w:rtl w:val="0"/>
        </w:rPr>
      </w:r>
    </w:p>
    <w:sectPr>
      <w:type w:val="nextPage"/>
      <w:pgSz w:h="16838" w:w="11906" w:orient="portrait"/>
      <w:pgMar w:bottom="1440" w:top="1440" w:left="1440" w:right="144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rFonts w:ascii="Calibri" w:cs="Calibri" w:eastAsia="Calibri" w:hAnsi="Calibri"/>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multiLevelType w:val="singleLevel"/>
    <w:lvl w:ilvl="0">
      <w:start w:val="1"/>
      <w:numFmt w:val="bullet"/>
      <w:lvlText w:val="•"/>
      <w:lvlJc w:val="left"/>
      <w:pPr>
        <w:ind w:left="720" w:hanging="360"/>
      </w:pPr>
      <w:rPr>
        <w:rFonts w:ascii="Calibri" w:hAnsi="Calibri" w:cs="Calibri"/>
      </w:rPr>
    </w:lvl>
  </w:abstractNum>
  <w:abstractNum w:abstractNumId="3">
    <w:multiLevelType w:val="singleLevel"/>
    <w:lvl w:ilvl="0">
      <w:start w:val="1"/>
      <w:numFmt w:val="bullet"/>
      <w:lvlText w:val="•"/>
      <w:lvlJc w:val="left"/>
      <w:pPr>
        <w:ind w:left="720" w:hanging="360"/>
      </w:pPr>
      <w:rPr>
        <w:rFonts w:ascii="Calibri" w:hAnsi="Calibri" w:cs="Calibri"/>
      </w:rPr>
    </w:lvl>
  </w:abstractNum>
  <w:abstractNum w:abstractNumId="4">
    <w:multiLevelType w:val="singleLevel"/>
    <w:lvl w:ilvl="0">
      <w:start w:val="1"/>
      <w:numFmt w:val="bullet"/>
      <w:lvlText w:val="•"/>
      <w:lvlJc w:val="left"/>
      <w:pPr>
        <w:ind w:left="720" w:hanging="360"/>
      </w:pPr>
      <w:rPr>
        <w:rFonts w:ascii="Calibri" w:hAnsi="Calibri" w:cs="Calibri"/>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ID"/>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N64hqwxDpO9s3FPHNJtJhLHKhdQ==">CgMxLjAyCGguZ2pkZ3hzOAByITF4NjVtamlSQjlzc0xDZVVOcmpDS29IT2VKVUJJZ2hCMA==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