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4"/>
          <w:szCs w:val="44"/>
        </w:rPr>
      </w:pPr>
      <w:r w:rsidDel="00000000" w:rsidR="00000000" w:rsidRPr="00000000">
        <w:rPr>
          <w:b w:val="1"/>
          <w:sz w:val="44"/>
          <w:szCs w:val="44"/>
          <w:rtl w:val="0"/>
        </w:rPr>
        <w:t xml:space="preserve">Internship Report</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rtl w:val="0"/>
        </w:rPr>
      </w:r>
    </w:p>
    <w:p w:rsidR="00000000" w:rsidDel="00000000" w:rsidP="00000000" w:rsidRDefault="00000000" w:rsidRPr="00000000" w14:paraId="00000005">
      <w:pPr>
        <w:jc w:val="center"/>
        <w:rPr>
          <w:b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581025</wp:posOffset>
            </wp:positionH>
            <wp:positionV relativeFrom="paragraph">
              <wp:posOffset>38100</wp:posOffset>
            </wp:positionV>
            <wp:extent cx="4486275" cy="17907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2197" r="-1318" t="0"/>
                    <a:stretch>
                      <a:fillRect/>
                    </a:stretch>
                  </pic:blipFill>
                  <pic:spPr>
                    <a:xfrm>
                      <a:off x="0" y="0"/>
                      <a:ext cx="4486275" cy="1790700"/>
                    </a:xfrm>
                    <a:prstGeom prst="rect"/>
                    <a:ln/>
                  </pic:spPr>
                </pic:pic>
              </a:graphicData>
            </a:graphic>
          </wp:anchor>
        </w:drawing>
      </w:r>
    </w:p>
    <w:p w:rsidR="00000000" w:rsidDel="00000000" w:rsidP="00000000" w:rsidRDefault="00000000" w:rsidRPr="00000000" w14:paraId="00000006">
      <w:pPr>
        <w:jc w:val="center"/>
        <w:rPr>
          <w:b w:val="1"/>
          <w:sz w:val="28"/>
          <w:szCs w:val="28"/>
        </w:rPr>
      </w:pPr>
      <w:r w:rsidDel="00000000" w:rsidR="00000000" w:rsidRPr="00000000">
        <w:rPr>
          <w:rtl w:val="0"/>
        </w:rPr>
      </w:r>
    </w:p>
    <w:p w:rsidR="00000000" w:rsidDel="00000000" w:rsidP="00000000" w:rsidRDefault="00000000" w:rsidRPr="00000000" w14:paraId="00000007">
      <w:pPr>
        <w:jc w:val="center"/>
        <w:rPr>
          <w:b w:val="1"/>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[Name]</w:t>
      </w:r>
    </w:p>
    <w:p w:rsidR="00000000" w:rsidDel="00000000" w:rsidP="00000000" w:rsidRDefault="00000000" w:rsidRPr="00000000" w14:paraId="0000000E">
      <w:pPr>
        <w:jc w:val="center"/>
        <w:rPr>
          <w:b w:val="1"/>
          <w:sz w:val="28"/>
          <w:szCs w:val="28"/>
        </w:rPr>
      </w:pPr>
      <w:r w:rsidDel="00000000" w:rsidR="00000000" w:rsidRPr="00000000">
        <w:rPr>
          <w:b w:val="1"/>
          <w:sz w:val="28"/>
          <w:szCs w:val="28"/>
          <w:rtl w:val="0"/>
        </w:rPr>
        <w:t xml:space="preserve">[Student ID]</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b w:val="1"/>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b w:val="1"/>
          <w:sz w:val="28"/>
          <w:szCs w:val="28"/>
          <w:rtl w:val="0"/>
        </w:rPr>
        <w:t xml:space="preserve">[Study Program]</w:t>
      </w:r>
    </w:p>
    <w:p w:rsidR="00000000" w:rsidDel="00000000" w:rsidP="00000000" w:rsidRDefault="00000000" w:rsidRPr="00000000" w14:paraId="00000012">
      <w:pPr>
        <w:jc w:val="center"/>
        <w:rPr>
          <w:b w:val="1"/>
          <w:sz w:val="28"/>
          <w:szCs w:val="28"/>
        </w:rPr>
      </w:pPr>
      <w:r w:rsidDel="00000000" w:rsidR="00000000" w:rsidRPr="00000000">
        <w:rPr>
          <w:b w:val="1"/>
          <w:sz w:val="28"/>
          <w:szCs w:val="28"/>
          <w:rtl w:val="0"/>
        </w:rPr>
        <w:t xml:space="preserve">Faculty of Engineering and Technology</w:t>
      </w:r>
    </w:p>
    <w:p w:rsidR="00000000" w:rsidDel="00000000" w:rsidP="00000000" w:rsidRDefault="00000000" w:rsidRPr="00000000" w14:paraId="00000013">
      <w:pPr>
        <w:jc w:val="center"/>
        <w:rPr>
          <w:b w:val="1"/>
          <w:sz w:val="28"/>
          <w:szCs w:val="28"/>
        </w:rPr>
      </w:pPr>
      <w:r w:rsidDel="00000000" w:rsidR="00000000" w:rsidRPr="00000000">
        <w:rPr>
          <w:b w:val="1"/>
          <w:sz w:val="28"/>
          <w:szCs w:val="28"/>
          <w:rtl w:val="0"/>
        </w:rPr>
        <w:t xml:space="preserve">Sampoerna University</w:t>
      </w:r>
    </w:p>
    <w:p w:rsidR="00000000" w:rsidDel="00000000" w:rsidP="00000000" w:rsidRDefault="00000000" w:rsidRPr="00000000" w14:paraId="00000014">
      <w:pPr>
        <w:jc w:val="center"/>
        <w:rPr>
          <w:b w:val="1"/>
          <w:sz w:val="28"/>
          <w:szCs w:val="28"/>
        </w:rPr>
        <w:sectPr>
          <w:pgSz w:h="16838" w:w="11906" w:orient="portrait"/>
          <w:pgMar w:bottom="1440" w:top="1440" w:left="1440" w:right="1440" w:header="720" w:footer="720"/>
          <w:pgNumType w:start="1"/>
        </w:sectPr>
      </w:pPr>
      <w:r w:rsidDel="00000000" w:rsidR="00000000" w:rsidRPr="00000000">
        <w:rPr>
          <w:b w:val="1"/>
          <w:sz w:val="28"/>
          <w:szCs w:val="28"/>
          <w:rtl w:val="0"/>
        </w:rPr>
        <w:t xml:space="preserve">[Year]</w:t>
      </w:r>
    </w:p>
    <w:p w:rsidR="00000000" w:rsidDel="00000000" w:rsidP="00000000" w:rsidRDefault="00000000" w:rsidRPr="00000000" w14:paraId="00000015">
      <w:pPr>
        <w:spacing w:line="360" w:lineRule="auto"/>
        <w:rPr>
          <w:b w:val="1"/>
          <w:sz w:val="28"/>
          <w:szCs w:val="28"/>
        </w:rPr>
      </w:pPr>
      <w:r w:rsidDel="00000000" w:rsidR="00000000" w:rsidRPr="00000000">
        <w:rPr>
          <w:b w:val="1"/>
          <w:sz w:val="28"/>
          <w:szCs w:val="28"/>
          <w:rtl w:val="0"/>
        </w:rPr>
        <w:t xml:space="preserve">Chapter 1. INTRODUCTION</w:t>
      </w:r>
    </w:p>
    <w:p w:rsidR="00000000" w:rsidDel="00000000" w:rsidP="00000000" w:rsidRDefault="00000000" w:rsidRPr="00000000" w14:paraId="00000016">
      <w:pPr>
        <w:spacing w:line="360" w:lineRule="auto"/>
        <w:rPr>
          <w:b w:val="1"/>
          <w:sz w:val="24"/>
          <w:szCs w:val="24"/>
        </w:rPr>
      </w:pPr>
      <w:r w:rsidDel="00000000" w:rsidR="00000000" w:rsidRPr="00000000">
        <w:rPr>
          <w:b w:val="1"/>
          <w:sz w:val="24"/>
          <w:szCs w:val="24"/>
          <w:rtl w:val="0"/>
        </w:rPr>
        <w:t xml:space="preserve">[Background, Objectives, Benefits, Scope of work]</w:t>
      </w:r>
    </w:p>
    <w:p w:rsidR="00000000" w:rsidDel="00000000" w:rsidP="00000000" w:rsidRDefault="00000000" w:rsidRPr="00000000" w14:paraId="00000017">
      <w:pPr>
        <w:spacing w:line="360" w:lineRule="auto"/>
        <w:rPr>
          <w:b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18">
      <w:pPr>
        <w:spacing w:line="360" w:lineRule="auto"/>
        <w:rPr>
          <w:b w:val="1"/>
          <w:sz w:val="28"/>
          <w:szCs w:val="28"/>
        </w:rPr>
      </w:pPr>
      <w:r w:rsidDel="00000000" w:rsidR="00000000" w:rsidRPr="00000000">
        <w:rPr>
          <w:b w:val="1"/>
          <w:sz w:val="28"/>
          <w:szCs w:val="28"/>
          <w:rtl w:val="0"/>
        </w:rPr>
        <w:t xml:space="preserve">Chapter 2. COMPANY PROFILE</w:t>
      </w:r>
    </w:p>
    <w:p>
      <w:pPr>
        <w:spacing w:before="0" w:after="120" w:line="360" w:lineRule="auto"/>
        <w:jc w:val="both"/>
      </w:pPr>
      <w:r>
        <w:rPr>
          <w:sz w:val="24"/>
          <w:szCs w:val="24"/>
        </w:rPr>
        <w:t xml:space="preserve">This chapter describes PT Bank Rakyat Indonesia (Persero) Tbk (BRI), the company where the internship took place. It covers the company's business, vision and values, history, organizational structure, and the regional office where the internship was carried out. The information is taken from BRI's official website (bri.co.id) and from the BRI 2025 Sustainability Report published there.</w:t>
      </w:r>
    </w:p>
    <w:p>
      <w:pPr>
        <w:keepNext w:val="1"/>
        <w:spacing w:before="240" w:after="120" w:line="360" w:lineRule="auto"/>
        <w:jc w:val="left"/>
      </w:pPr>
      <w:r>
        <w:rPr>
          <w:b w:val="1"/>
          <w:sz w:val="24"/>
          <w:szCs w:val="24"/>
        </w:rPr>
        <w:t xml:space="preserve">2.1 Company Overview</w:t>
      </w:r>
    </w:p>
    <w:p>
      <w:pPr>
        <w:spacing w:before="0" w:after="120" w:line="360" w:lineRule="auto"/>
        <w:jc w:val="both"/>
      </w:pPr>
      <w:r>
        <w:rPr>
          <w:sz w:val="24"/>
          <w:szCs w:val="24"/>
        </w:rPr>
        <w:t xml:space="preserve">Bank Rakyat Indonesia (BRI) is a state-owned bank and one of the largest banks in Indonesia. It was established on 16 December 1895 in Purwokerto, Central Java, by Raden Bei Aria Wirjaatmadja, and has served customers for more than 130 years. BRI is registered with and supervised by the Financial Services Authority (Otoritas Jasa Keuangan, OJK) and is a participant in the Indonesia Deposit Insurance Corporation (Lembaga Penjamin Simpanan, LPS) guarantee scheme. Its corporate tagline is "Melayani Dengan Setulus Hati" (serving with sincerity). Table 2.1 summarises the company's general information.</w:t>
      </w:r>
    </w:p>
    <w:p>
      <w:pPr>
        <w:keepNext w:val="1"/>
        <w:spacing w:before="120" w:after="60" w:line="240" w:lineRule="auto"/>
        <w:jc w:val="center"/>
      </w:pPr>
      <w:r>
        <w:rPr>
          <w:b w:val="1"/>
          <w:sz w:val="20"/>
          <w:szCs w:val="20"/>
        </w:rPr>
        <w:t xml:space="preserve">Table 2.1 General information of BRI</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400"/>
        <w:gridCol w:w="6626"/>
      </w:tblGrid>
      <w:tr>
        <w:trPr>
          <w:tblHeader w:val="1"/>
        </w:trPr>
        <w:tc>
          <w:tcPr>
            <w:tcW w:w="2400" w:type="dxa"/>
            <w:shd w:val="clear" w:color="auto" w:fill="D9D9D9"/>
            <w:vAlign w:val="top"/>
          </w:tcPr>
          <w:p>
            <w:pPr>
              <w:spacing w:before="0" w:after="0" w:line="240" w:lineRule="auto"/>
              <w:jc w:val="left"/>
            </w:pPr>
            <w:r>
              <w:rPr>
                <w:b w:val="1"/>
                <w:sz w:val="20"/>
                <w:szCs w:val="20"/>
              </w:rPr>
              <w:t xml:space="preserve">Item</w:t>
            </w:r>
          </w:p>
        </w:tc>
        <w:tc>
          <w:tcPr>
            <w:tcW w:w="6626" w:type="dxa"/>
            <w:shd w:val="clear" w:color="auto" w:fill="D9D9D9"/>
            <w:vAlign w:val="top"/>
          </w:tcPr>
          <w:p>
            <w:pPr>
              <w:spacing w:before="0" w:after="0" w:line="240" w:lineRule="auto"/>
              <w:jc w:val="left"/>
            </w:pPr>
            <w:r>
              <w:rPr>
                <w:b w:val="1"/>
                <w:sz w:val="20"/>
                <w:szCs w:val="20"/>
              </w:rPr>
              <w:t xml:space="preserve">Description</w:t>
            </w:r>
          </w:p>
        </w:tc>
      </w:tr>
      <w:tr>
        <w:tc>
          <w:tcPr>
            <w:tcW w:w="2400" w:type="dxa"/>
            <w:vAlign w:val="top"/>
          </w:tcPr>
          <w:p>
            <w:pPr>
              <w:spacing w:before="0" w:after="0" w:line="240" w:lineRule="auto"/>
              <w:jc w:val="left"/>
            </w:pPr>
            <w:r>
              <w:rPr>
                <w:sz w:val="20"/>
                <w:szCs w:val="20"/>
              </w:rPr>
              <w:t xml:space="preserve">Company name</w:t>
            </w:r>
          </w:p>
        </w:tc>
        <w:tc>
          <w:tcPr>
            <w:tcW w:w="6626" w:type="dxa"/>
            <w:vAlign w:val="top"/>
          </w:tcPr>
          <w:p>
            <w:pPr>
              <w:spacing w:before="0" w:after="0" w:line="240" w:lineRule="auto"/>
              <w:jc w:val="left"/>
            </w:pPr>
            <w:r>
              <w:rPr>
                <w:sz w:val="20"/>
                <w:szCs w:val="20"/>
              </w:rPr>
              <w:t xml:space="preserve">PT Bank Rakyat Indonesia (Persero) Tbk</w:t>
            </w:r>
          </w:p>
        </w:tc>
      </w:tr>
      <w:tr>
        <w:tc>
          <w:tcPr>
            <w:tcW w:w="2400" w:type="dxa"/>
            <w:vAlign w:val="top"/>
          </w:tcPr>
          <w:p>
            <w:pPr>
              <w:spacing w:before="0" w:after="0" w:line="240" w:lineRule="auto"/>
              <w:jc w:val="left"/>
            </w:pPr>
            <w:r>
              <w:rPr>
                <w:sz w:val="20"/>
                <w:szCs w:val="20"/>
              </w:rPr>
              <w:t xml:space="preserve">Legal entity</w:t>
            </w:r>
          </w:p>
        </w:tc>
        <w:tc>
          <w:tcPr>
            <w:tcW w:w="6626" w:type="dxa"/>
            <w:vAlign w:val="top"/>
          </w:tcPr>
          <w:p>
            <w:pPr>
              <w:spacing w:before="0" w:after="0" w:line="240" w:lineRule="auto"/>
              <w:jc w:val="left"/>
            </w:pPr>
            <w:r>
              <w:rPr>
                <w:sz w:val="20"/>
                <w:szCs w:val="20"/>
              </w:rPr>
              <w:t xml:space="preserve">Limited liability company, publicly listed</w:t>
            </w:r>
          </w:p>
        </w:tc>
      </w:tr>
      <w:tr>
        <w:tc>
          <w:tcPr>
            <w:tcW w:w="2400" w:type="dxa"/>
            <w:vAlign w:val="top"/>
          </w:tcPr>
          <w:p>
            <w:pPr>
              <w:spacing w:before="0" w:after="0" w:line="240" w:lineRule="auto"/>
              <w:jc w:val="left"/>
            </w:pPr>
            <w:r>
              <w:rPr>
                <w:sz w:val="20"/>
                <w:szCs w:val="20"/>
              </w:rPr>
              <w:t xml:space="preserve">Founded</w:t>
            </w:r>
          </w:p>
        </w:tc>
        <w:tc>
          <w:tcPr>
            <w:tcW w:w="6626" w:type="dxa"/>
            <w:vAlign w:val="top"/>
          </w:tcPr>
          <w:p>
            <w:pPr>
              <w:spacing w:before="0" w:after="0" w:line="240" w:lineRule="auto"/>
              <w:jc w:val="left"/>
            </w:pPr>
            <w:r>
              <w:rPr>
                <w:sz w:val="20"/>
                <w:szCs w:val="20"/>
              </w:rPr>
              <w:t xml:space="preserve">16 December 1895, Purwokerto, Central Java</w:t>
            </w:r>
          </w:p>
        </w:tc>
      </w:tr>
      <w:tr>
        <w:tc>
          <w:tcPr>
            <w:tcW w:w="2400" w:type="dxa"/>
            <w:vAlign w:val="top"/>
          </w:tcPr>
          <w:p>
            <w:pPr>
              <w:spacing w:before="0" w:after="0" w:line="240" w:lineRule="auto"/>
              <w:jc w:val="left"/>
            </w:pPr>
            <w:r>
              <w:rPr>
                <w:sz w:val="20"/>
                <w:szCs w:val="20"/>
              </w:rPr>
              <w:t xml:space="preserve">Head office</w:t>
            </w:r>
          </w:p>
        </w:tc>
        <w:tc>
          <w:tcPr>
            <w:tcW w:w="6626" w:type="dxa"/>
            <w:vAlign w:val="top"/>
          </w:tcPr>
          <w:p>
            <w:pPr>
              <w:spacing w:before="0" w:after="0" w:line="240" w:lineRule="auto"/>
              <w:jc w:val="left"/>
            </w:pPr>
            <w:r>
              <w:rPr>
                <w:sz w:val="20"/>
                <w:szCs w:val="20"/>
              </w:rPr>
              <w:t xml:space="preserve">BRI Building I, Jl. Jenderal Sudirman Kav. 44-46, Jakarta 10210</w:t>
            </w:r>
          </w:p>
        </w:tc>
      </w:tr>
      <w:tr>
        <w:tc>
          <w:tcPr>
            <w:tcW w:w="2400" w:type="dxa"/>
            <w:vAlign w:val="top"/>
          </w:tcPr>
          <w:p>
            <w:pPr>
              <w:spacing w:before="0" w:after="0" w:line="240" w:lineRule="auto"/>
              <w:jc w:val="left"/>
            </w:pPr>
            <w:r>
              <w:rPr>
                <w:sz w:val="20"/>
                <w:szCs w:val="20"/>
              </w:rPr>
              <w:t xml:space="preserve">Employees</w:t>
            </w:r>
          </w:p>
        </w:tc>
        <w:tc>
          <w:tcPr>
            <w:tcW w:w="6626" w:type="dxa"/>
            <w:vAlign w:val="top"/>
          </w:tcPr>
          <w:p>
            <w:pPr>
              <w:spacing w:before="0" w:after="0" w:line="240" w:lineRule="auto"/>
              <w:jc w:val="left"/>
            </w:pPr>
            <w:r>
              <w:rPr>
                <w:sz w:val="20"/>
                <w:szCs w:val="20"/>
              </w:rPr>
              <w:t xml:space="preserve">84,949 (end of 2025)</w:t>
            </w:r>
          </w:p>
        </w:tc>
      </w:tr>
      <w:tr>
        <w:tc>
          <w:tcPr>
            <w:tcW w:w="2400" w:type="dxa"/>
            <w:vAlign w:val="top"/>
          </w:tcPr>
          <w:p>
            <w:pPr>
              <w:spacing w:before="0" w:after="0" w:line="240" w:lineRule="auto"/>
              <w:jc w:val="left"/>
            </w:pPr>
            <w:r>
              <w:rPr>
                <w:sz w:val="20"/>
                <w:szCs w:val="20"/>
              </w:rPr>
              <w:t xml:space="preserve">Total assets</w:t>
            </w:r>
          </w:p>
        </w:tc>
        <w:tc>
          <w:tcPr>
            <w:tcW w:w="6626" w:type="dxa"/>
            <w:vAlign w:val="top"/>
          </w:tcPr>
          <w:p>
            <w:pPr>
              <w:spacing w:before="0" w:after="0" w:line="240" w:lineRule="auto"/>
              <w:jc w:val="left"/>
            </w:pPr>
            <w:r>
              <w:rPr>
                <w:sz w:val="20"/>
                <w:szCs w:val="20"/>
              </w:rPr>
              <w:t xml:space="preserve">IDR 1,931.54 trillion (bank only, 31 December 2025)</w:t>
            </w:r>
          </w:p>
        </w:tc>
      </w:tr>
      <w:tr>
        <w:tc>
          <w:tcPr>
            <w:tcW w:w="2400" w:type="dxa"/>
            <w:vAlign w:val="top"/>
          </w:tcPr>
          <w:p>
            <w:pPr>
              <w:spacing w:before="0" w:after="0" w:line="240" w:lineRule="auto"/>
              <w:jc w:val="left"/>
            </w:pPr>
            <w:r>
              <w:rPr>
                <w:sz w:val="20"/>
                <w:szCs w:val="20"/>
              </w:rPr>
              <w:t xml:space="preserve">Shareholders</w:t>
            </w:r>
          </w:p>
        </w:tc>
        <w:tc>
          <w:tcPr>
            <w:tcW w:w="6626" w:type="dxa"/>
            <w:vAlign w:val="top"/>
          </w:tcPr>
          <w:p>
            <w:pPr>
              <w:spacing w:before="0" w:after="0" w:line="240" w:lineRule="auto"/>
              <w:jc w:val="left"/>
            </w:pPr>
            <w:r>
              <w:rPr>
                <w:sz w:val="20"/>
                <w:szCs w:val="20"/>
              </w:rPr>
              <w:t xml:space="preserve">PT Danantara Asset Management (Persero) 53.19%; public 46.81%; the Government of Indonesia holds one Series A Dwiwarna share</w:t>
            </w:r>
          </w:p>
        </w:tc>
      </w:tr>
      <w:tr>
        <w:tc>
          <w:tcPr>
            <w:tcW w:w="2400" w:type="dxa"/>
            <w:vAlign w:val="top"/>
          </w:tcPr>
          <w:p>
            <w:pPr>
              <w:spacing w:before="0" w:after="0" w:line="240" w:lineRule="auto"/>
              <w:jc w:val="left"/>
            </w:pPr>
            <w:r>
              <w:rPr>
                <w:sz w:val="20"/>
                <w:szCs w:val="20"/>
              </w:rPr>
              <w:t xml:space="preserve">Website</w:t>
            </w:r>
          </w:p>
        </w:tc>
        <w:tc>
          <w:tcPr>
            <w:tcW w:w="6626" w:type="dxa"/>
            <w:vAlign w:val="top"/>
          </w:tcPr>
          <w:p>
            <w:pPr>
              <w:spacing w:before="0" w:after="0" w:line="240" w:lineRule="auto"/>
              <w:jc w:val="left"/>
            </w:pPr>
            <w:r>
              <w:rPr>
                <w:sz w:val="20"/>
                <w:szCs w:val="20"/>
              </w:rPr>
              <w:t xml:space="preserve">https://bri.co.id</w:t>
            </w:r>
          </w:p>
        </w:tc>
      </w:tr>
    </w:tbl>
    <w:p>
      <w:pPr>
        <w:spacing w:before="0" w:after="60" w:line="240" w:lineRule="auto"/>
        <w:jc w:val="both"/>
      </w:pPr>
    </w:p>
    <w:p>
      <w:pPr>
        <w:keepNext w:val="1"/>
        <w:spacing w:before="240" w:after="120" w:line="360" w:lineRule="auto"/>
        <w:jc w:val="left"/>
      </w:pPr>
      <w:r>
        <w:rPr>
          <w:b w:val="1"/>
          <w:sz w:val="24"/>
          <w:szCs w:val="24"/>
        </w:rPr>
        <w:t xml:space="preserve">2.2 Type of Business</w:t>
      </w:r>
    </w:p>
    <w:p>
      <w:pPr>
        <w:spacing w:before="0" w:after="120" w:line="360" w:lineRule="auto"/>
        <w:jc w:val="both"/>
      </w:pPr>
      <w:r>
        <w:rPr>
          <w:sz w:val="24"/>
          <w:szCs w:val="24"/>
        </w:rPr>
        <w:t xml:space="preserve">BRI is a commercial bank. It provides deposit-taking, lending, and other financial services to individuals, corporations, and micro, small, and medium enterprises (MSMEs), with a strategic focus on the MSME segment. Alongside its financial services, BRI runs training and advisory programmes that help MSMEs grow. Its main business areas are:</w:t>
      </w:r>
    </w:p>
    <w:p>
      <w:pPr>
        <w:numPr>
          <w:ilvl w:val="0"/>
          <w:numId w:val="3"/>
        </w:numPr>
        <w:spacing w:before="0" w:after="60" w:line="360" w:lineRule="auto"/>
        <w:jc w:val="both"/>
      </w:pPr>
      <w:r>
        <w:rPr>
          <w:sz w:val="24"/>
          <w:szCs w:val="24"/>
        </w:rPr>
        <w:t xml:space="preserve">Individual banking: savings, time deposits, giro (current) accounts, home loans (KPR), vehicle loans (KKB), salary-based loans (BRIguna), credit cards, and the BRIZZI electronic money card.</w:t>
      </w:r>
    </w:p>
    <w:p>
      <w:pPr>
        <w:numPr>
          <w:ilvl w:val="0"/>
          <w:numId w:val="3"/>
        </w:numPr>
        <w:spacing w:before="0" w:after="60" w:line="360" w:lineRule="auto"/>
        <w:jc w:val="both"/>
      </w:pPr>
      <w:r>
        <w:rPr>
          <w:sz w:val="24"/>
          <w:szCs w:val="24"/>
        </w:rPr>
        <w:t xml:space="preserve">MSME banking: micro and small business loans such as KUPEDES, supported by the micro-segment ecosystem the bank shares with its subsidiaries Pegadaian and PNM under the Ultra Micro (UMi) Holding.</w:t>
      </w:r>
    </w:p>
    <w:p>
      <w:pPr>
        <w:numPr>
          <w:ilvl w:val="0"/>
          <w:numId w:val="3"/>
        </w:numPr>
        <w:spacing w:before="0" w:after="60" w:line="360" w:lineRule="auto"/>
        <w:jc w:val="both"/>
      </w:pPr>
      <w:r>
        <w:rPr>
          <w:sz w:val="24"/>
          <w:szCs w:val="24"/>
        </w:rPr>
        <w:t xml:space="preserve">Corporate and commercial banking: financing, cash management, and transaction services for businesses, including the QLola corporate banking platform.</w:t>
      </w:r>
    </w:p>
    <w:p>
      <w:pPr>
        <w:numPr>
          <w:ilvl w:val="0"/>
          <w:numId w:val="3"/>
        </w:numPr>
        <w:spacing w:before="0" w:after="60" w:line="360" w:lineRule="auto"/>
        <w:jc w:val="both"/>
      </w:pPr>
      <w:r>
        <w:rPr>
          <w:sz w:val="24"/>
          <w:szCs w:val="24"/>
        </w:rPr>
        <w:t xml:space="preserve">Wealth management, treasury, and international banking services.</w:t>
      </w:r>
    </w:p>
    <w:p>
      <w:pPr>
        <w:numPr>
          <w:ilvl w:val="0"/>
          <w:numId w:val="3"/>
        </w:numPr>
        <w:spacing w:before="0" w:after="60" w:line="360" w:lineRule="auto"/>
        <w:jc w:val="both"/>
      </w:pPr>
      <w:r>
        <w:rPr>
          <w:sz w:val="24"/>
          <w:szCs w:val="24"/>
        </w:rPr>
        <w:t xml:space="preserve">Digital banking: the BRImo mobile banking application and internet banking.</w:t>
      </w:r>
    </w:p>
    <w:p>
      <w:pPr>
        <w:spacing w:before="0" w:after="120" w:line="360" w:lineRule="auto"/>
        <w:jc w:val="both"/>
      </w:pPr>
      <w:r>
        <w:rPr>
          <w:sz w:val="24"/>
          <w:szCs w:val="24"/>
        </w:rPr>
        <w:t xml:space="preserve">BRI has one of the widest service networks in Indonesia: 7,377 operational work units, 627,679 e-channels, and 1,193,835 BRILink agents (individual agents who provide basic banking services in their communities). It also operates six overseas networks, in the Cayman Islands, New York, Hong Kong, Taiwan, Singapore, and Timor Leste. Table 2.2 shows the domestic office network by region.</w:t>
      </w:r>
    </w:p>
    <w:p>
      <w:pPr>
        <w:keepNext w:val="1"/>
        <w:spacing w:before="120" w:after="60" w:line="240" w:lineRule="auto"/>
        <w:jc w:val="center"/>
      </w:pPr>
      <w:r>
        <w:rPr>
          <w:b w:val="1"/>
          <w:sz w:val="20"/>
          <w:szCs w:val="20"/>
        </w:rPr>
        <w:t xml:space="preserve">Table 2.2 BRI domestic office network by region (2025)</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026"/>
        <w:gridCol w:w="1400"/>
        <w:gridCol w:w="1400"/>
        <w:gridCol w:w="1400"/>
        <w:gridCol w:w="1400"/>
        <w:gridCol w:w="1400"/>
      </w:tblGrid>
      <w:tr>
        <w:trPr>
          <w:tblHeader w:val="1"/>
        </w:trPr>
        <w:tc>
          <w:tcPr>
            <w:tcW w:w="2026" w:type="dxa"/>
            <w:shd w:val="clear" w:color="auto" w:fill="D9D9D9"/>
            <w:vAlign w:val="top"/>
          </w:tcPr>
          <w:p>
            <w:pPr>
              <w:spacing w:before="0" w:after="0" w:line="240" w:lineRule="auto"/>
              <w:jc w:val="left"/>
            </w:pPr>
            <w:r>
              <w:rPr>
                <w:b w:val="1"/>
                <w:sz w:val="20"/>
                <w:szCs w:val="20"/>
              </w:rPr>
              <w:t xml:space="preserve">Region</w:t>
            </w:r>
          </w:p>
        </w:tc>
        <w:tc>
          <w:tcPr>
            <w:tcW w:w="1400" w:type="dxa"/>
            <w:shd w:val="clear" w:color="auto" w:fill="D9D9D9"/>
            <w:vAlign w:val="top"/>
          </w:tcPr>
          <w:p>
            <w:pPr>
              <w:spacing w:before="0" w:after="0" w:line="240" w:lineRule="auto"/>
              <w:jc w:val="left"/>
            </w:pPr>
            <w:r>
              <w:rPr>
                <w:b w:val="1"/>
                <w:sz w:val="20"/>
                <w:szCs w:val="20"/>
              </w:rPr>
              <w:t xml:space="preserve">Regional Offices</w:t>
            </w:r>
          </w:p>
        </w:tc>
        <w:tc>
          <w:tcPr>
            <w:tcW w:w="1400" w:type="dxa"/>
            <w:shd w:val="clear" w:color="auto" w:fill="D9D9D9"/>
            <w:vAlign w:val="top"/>
          </w:tcPr>
          <w:p>
            <w:pPr>
              <w:spacing w:before="0" w:after="0" w:line="240" w:lineRule="auto"/>
              <w:jc w:val="left"/>
            </w:pPr>
            <w:r>
              <w:rPr>
                <w:b w:val="1"/>
                <w:sz w:val="20"/>
                <w:szCs w:val="20"/>
              </w:rPr>
              <w:t xml:space="preserve">Branch Offices</w:t>
            </w:r>
          </w:p>
        </w:tc>
        <w:tc>
          <w:tcPr>
            <w:tcW w:w="1400" w:type="dxa"/>
            <w:shd w:val="clear" w:color="auto" w:fill="D9D9D9"/>
            <w:vAlign w:val="top"/>
          </w:tcPr>
          <w:p>
            <w:pPr>
              <w:spacing w:before="0" w:after="0" w:line="240" w:lineRule="auto"/>
              <w:jc w:val="left"/>
            </w:pPr>
            <w:r>
              <w:rPr>
                <w:b w:val="1"/>
                <w:sz w:val="20"/>
                <w:szCs w:val="20"/>
              </w:rPr>
              <w:t xml:space="preserve">Sub-Branch Offices</w:t>
            </w:r>
          </w:p>
        </w:tc>
        <w:tc>
          <w:tcPr>
            <w:tcW w:w="1400" w:type="dxa"/>
            <w:shd w:val="clear" w:color="auto" w:fill="D9D9D9"/>
            <w:vAlign w:val="top"/>
          </w:tcPr>
          <w:p>
            <w:pPr>
              <w:spacing w:before="0" w:after="0" w:line="240" w:lineRule="auto"/>
              <w:jc w:val="left"/>
            </w:pPr>
            <w:r>
              <w:rPr>
                <w:b w:val="1"/>
                <w:sz w:val="20"/>
                <w:szCs w:val="20"/>
              </w:rPr>
              <w:t xml:space="preserve">BRI Units</w:t>
            </w:r>
          </w:p>
        </w:tc>
        <w:tc>
          <w:tcPr>
            <w:tcW w:w="1400" w:type="dxa"/>
            <w:shd w:val="clear" w:color="auto" w:fill="D9D9D9"/>
            <w:vAlign w:val="top"/>
          </w:tcPr>
          <w:p>
            <w:pPr>
              <w:spacing w:before="0" w:after="0" w:line="240" w:lineRule="auto"/>
              <w:jc w:val="left"/>
            </w:pPr>
            <w:r>
              <w:rPr>
                <w:b w:val="1"/>
                <w:sz w:val="20"/>
                <w:szCs w:val="20"/>
              </w:rPr>
              <w:t xml:space="preserve">BRILink Agents</w:t>
            </w:r>
          </w:p>
        </w:tc>
      </w:tr>
      <w:tr>
        <w:tc>
          <w:tcPr>
            <w:tcW w:w="2026" w:type="dxa"/>
            <w:vAlign w:val="top"/>
          </w:tcPr>
          <w:p>
            <w:pPr>
              <w:spacing w:before="0" w:after="0" w:line="240" w:lineRule="auto"/>
              <w:jc w:val="left"/>
            </w:pPr>
            <w:r>
              <w:rPr>
                <w:sz w:val="20"/>
                <w:szCs w:val="20"/>
              </w:rPr>
              <w:t xml:space="preserve">Sumatera</w:t>
            </w:r>
          </w:p>
        </w:tc>
        <w:tc>
          <w:tcPr>
            <w:tcW w:w="1400" w:type="dxa"/>
            <w:vAlign w:val="top"/>
          </w:tcPr>
          <w:p>
            <w:pPr>
              <w:spacing w:before="0" w:after="0" w:line="240" w:lineRule="auto"/>
              <w:jc w:val="left"/>
            </w:pPr>
            <w:r>
              <w:rPr>
                <w:sz w:val="20"/>
                <w:szCs w:val="20"/>
              </w:rPr>
              <w:t xml:space="preserve">5</w:t>
            </w:r>
          </w:p>
        </w:tc>
        <w:tc>
          <w:tcPr>
            <w:tcW w:w="1400" w:type="dxa"/>
            <w:vAlign w:val="top"/>
          </w:tcPr>
          <w:p>
            <w:pPr>
              <w:spacing w:before="0" w:after="0" w:line="240" w:lineRule="auto"/>
              <w:jc w:val="left"/>
            </w:pPr>
            <w:r>
              <w:rPr>
                <w:sz w:val="20"/>
                <w:szCs w:val="20"/>
              </w:rPr>
              <w:t xml:space="preserve">95</w:t>
            </w:r>
          </w:p>
        </w:tc>
        <w:tc>
          <w:tcPr>
            <w:tcW w:w="1400" w:type="dxa"/>
            <w:vAlign w:val="top"/>
          </w:tcPr>
          <w:p>
            <w:pPr>
              <w:spacing w:before="0" w:after="0" w:line="240" w:lineRule="auto"/>
              <w:jc w:val="left"/>
            </w:pPr>
            <w:r>
              <w:rPr>
                <w:sz w:val="20"/>
                <w:szCs w:val="20"/>
              </w:rPr>
              <w:t xml:space="preserve">105</w:t>
            </w:r>
          </w:p>
        </w:tc>
        <w:tc>
          <w:tcPr>
            <w:tcW w:w="1400" w:type="dxa"/>
            <w:vAlign w:val="top"/>
          </w:tcPr>
          <w:p>
            <w:pPr>
              <w:spacing w:before="0" w:after="0" w:line="240" w:lineRule="auto"/>
              <w:jc w:val="left"/>
            </w:pPr>
            <w:r>
              <w:rPr>
                <w:sz w:val="20"/>
                <w:szCs w:val="20"/>
              </w:rPr>
              <w:t xml:space="preserve">990</w:t>
            </w:r>
          </w:p>
        </w:tc>
        <w:tc>
          <w:tcPr>
            <w:tcW w:w="1400" w:type="dxa"/>
            <w:vAlign w:val="top"/>
          </w:tcPr>
          <w:p>
            <w:pPr>
              <w:spacing w:before="0" w:after="0" w:line="240" w:lineRule="auto"/>
              <w:jc w:val="left"/>
            </w:pPr>
            <w:r>
              <w:rPr>
                <w:sz w:val="20"/>
                <w:szCs w:val="20"/>
              </w:rPr>
              <w:t xml:space="preserve">273,100</w:t>
            </w:r>
          </w:p>
        </w:tc>
      </w:tr>
      <w:tr>
        <w:tc>
          <w:tcPr>
            <w:tcW w:w="2026" w:type="dxa"/>
            <w:vAlign w:val="top"/>
          </w:tcPr>
          <w:p>
            <w:pPr>
              <w:spacing w:before="0" w:after="0" w:line="240" w:lineRule="auto"/>
              <w:jc w:val="left"/>
            </w:pPr>
            <w:r>
              <w:rPr>
                <w:sz w:val="20"/>
                <w:szCs w:val="20"/>
              </w:rPr>
              <w:t xml:space="preserve">Java</w:t>
            </w:r>
          </w:p>
        </w:tc>
        <w:tc>
          <w:tcPr>
            <w:tcW w:w="1400" w:type="dxa"/>
            <w:vAlign w:val="top"/>
          </w:tcPr>
          <w:p>
            <w:pPr>
              <w:spacing w:before="0" w:after="0" w:line="240" w:lineRule="auto"/>
              <w:jc w:val="left"/>
            </w:pPr>
            <w:r>
              <w:rPr>
                <w:sz w:val="20"/>
                <w:szCs w:val="20"/>
              </w:rPr>
              <w:t xml:space="preserve">8</w:t>
            </w:r>
          </w:p>
        </w:tc>
        <w:tc>
          <w:tcPr>
            <w:tcW w:w="1400" w:type="dxa"/>
            <w:vAlign w:val="top"/>
          </w:tcPr>
          <w:p>
            <w:pPr>
              <w:spacing w:before="0" w:after="0" w:line="240" w:lineRule="auto"/>
              <w:jc w:val="left"/>
            </w:pPr>
            <w:r>
              <w:rPr>
                <w:sz w:val="20"/>
                <w:szCs w:val="20"/>
              </w:rPr>
              <w:t xml:space="preserve">271</w:t>
            </w:r>
          </w:p>
        </w:tc>
        <w:tc>
          <w:tcPr>
            <w:tcW w:w="1400" w:type="dxa"/>
            <w:vAlign w:val="top"/>
          </w:tcPr>
          <w:p>
            <w:pPr>
              <w:spacing w:before="0" w:after="0" w:line="240" w:lineRule="auto"/>
              <w:jc w:val="left"/>
            </w:pPr>
            <w:r>
              <w:rPr>
                <w:sz w:val="20"/>
                <w:szCs w:val="20"/>
              </w:rPr>
              <w:t xml:space="preserve">326</w:t>
            </w:r>
          </w:p>
        </w:tc>
        <w:tc>
          <w:tcPr>
            <w:tcW w:w="1400" w:type="dxa"/>
            <w:vAlign w:val="top"/>
          </w:tcPr>
          <w:p>
            <w:pPr>
              <w:spacing w:before="0" w:after="0" w:line="240" w:lineRule="auto"/>
              <w:jc w:val="left"/>
            </w:pPr>
            <w:r>
              <w:rPr>
                <w:sz w:val="20"/>
                <w:szCs w:val="20"/>
              </w:rPr>
              <w:t xml:space="preserve">2,786</w:t>
            </w:r>
          </w:p>
        </w:tc>
        <w:tc>
          <w:tcPr>
            <w:tcW w:w="1400" w:type="dxa"/>
            <w:vAlign w:val="top"/>
          </w:tcPr>
          <w:p>
            <w:pPr>
              <w:spacing w:before="0" w:after="0" w:line="240" w:lineRule="auto"/>
              <w:jc w:val="left"/>
            </w:pPr>
            <w:r>
              <w:rPr>
                <w:sz w:val="20"/>
                <w:szCs w:val="20"/>
              </w:rPr>
              <w:t xml:space="preserve">653,256</w:t>
            </w:r>
          </w:p>
        </w:tc>
      </w:tr>
      <w:tr>
        <w:tc>
          <w:tcPr>
            <w:tcW w:w="2026" w:type="dxa"/>
            <w:vAlign w:val="top"/>
          </w:tcPr>
          <w:p>
            <w:pPr>
              <w:spacing w:before="0" w:after="0" w:line="240" w:lineRule="auto"/>
              <w:jc w:val="left"/>
            </w:pPr>
            <w:r>
              <w:rPr>
                <w:sz w:val="20"/>
                <w:szCs w:val="20"/>
              </w:rPr>
              <w:t xml:space="preserve">Kalimantan</w:t>
            </w:r>
          </w:p>
        </w:tc>
        <w:tc>
          <w:tcPr>
            <w:tcW w:w="1400" w:type="dxa"/>
            <w:vAlign w:val="top"/>
          </w:tcPr>
          <w:p>
            <w:pPr>
              <w:spacing w:before="0" w:after="0" w:line="240" w:lineRule="auto"/>
              <w:jc w:val="left"/>
            </w:pPr>
            <w:r>
              <w:rPr>
                <w:sz w:val="20"/>
                <w:szCs w:val="20"/>
              </w:rPr>
              <w:t xml:space="preserve">1</w:t>
            </w:r>
          </w:p>
        </w:tc>
        <w:tc>
          <w:tcPr>
            <w:tcW w:w="1400" w:type="dxa"/>
            <w:vAlign w:val="top"/>
          </w:tcPr>
          <w:p>
            <w:pPr>
              <w:spacing w:before="0" w:after="0" w:line="240" w:lineRule="auto"/>
              <w:jc w:val="left"/>
            </w:pPr>
            <w:r>
              <w:rPr>
                <w:sz w:val="20"/>
                <w:szCs w:val="20"/>
              </w:rPr>
              <w:t xml:space="preserve">40</w:t>
            </w:r>
          </w:p>
        </w:tc>
        <w:tc>
          <w:tcPr>
            <w:tcW w:w="1400" w:type="dxa"/>
            <w:vAlign w:val="top"/>
          </w:tcPr>
          <w:p>
            <w:pPr>
              <w:spacing w:before="0" w:after="0" w:line="240" w:lineRule="auto"/>
              <w:jc w:val="left"/>
            </w:pPr>
            <w:r>
              <w:rPr>
                <w:sz w:val="20"/>
                <w:szCs w:val="20"/>
              </w:rPr>
              <w:t xml:space="preserve">42</w:t>
            </w:r>
          </w:p>
        </w:tc>
        <w:tc>
          <w:tcPr>
            <w:tcW w:w="1400" w:type="dxa"/>
            <w:vAlign w:val="top"/>
          </w:tcPr>
          <w:p>
            <w:pPr>
              <w:spacing w:before="0" w:after="0" w:line="240" w:lineRule="auto"/>
              <w:jc w:val="left"/>
            </w:pPr>
            <w:r>
              <w:rPr>
                <w:sz w:val="20"/>
                <w:szCs w:val="20"/>
              </w:rPr>
              <w:t xml:space="preserve">372</w:t>
            </w:r>
          </w:p>
        </w:tc>
        <w:tc>
          <w:tcPr>
            <w:tcW w:w="1400" w:type="dxa"/>
            <w:vAlign w:val="top"/>
          </w:tcPr>
          <w:p>
            <w:pPr>
              <w:spacing w:before="0" w:after="0" w:line="240" w:lineRule="auto"/>
              <w:jc w:val="left"/>
            </w:pPr>
            <w:r>
              <w:rPr>
                <w:sz w:val="20"/>
                <w:szCs w:val="20"/>
              </w:rPr>
              <w:t xml:space="preserve">75,220</w:t>
            </w:r>
          </w:p>
        </w:tc>
      </w:tr>
      <w:tr>
        <w:tc>
          <w:tcPr>
            <w:tcW w:w="2026" w:type="dxa"/>
            <w:vAlign w:val="top"/>
          </w:tcPr>
          <w:p>
            <w:pPr>
              <w:spacing w:before="0" w:after="0" w:line="240" w:lineRule="auto"/>
              <w:jc w:val="left"/>
            </w:pPr>
            <w:r>
              <w:rPr>
                <w:sz w:val="20"/>
                <w:szCs w:val="20"/>
              </w:rPr>
              <w:t xml:space="preserve">Sulawesi &amp; Maluku</w:t>
            </w:r>
          </w:p>
        </w:tc>
        <w:tc>
          <w:tcPr>
            <w:tcW w:w="1400" w:type="dxa"/>
            <w:vAlign w:val="top"/>
          </w:tcPr>
          <w:p>
            <w:pPr>
              <w:spacing w:before="0" w:after="0" w:line="240" w:lineRule="auto"/>
              <w:jc w:val="left"/>
            </w:pPr>
            <w:r>
              <w:rPr>
                <w:sz w:val="20"/>
                <w:szCs w:val="20"/>
              </w:rPr>
              <w:t xml:space="preserve">2</w:t>
            </w:r>
          </w:p>
        </w:tc>
        <w:tc>
          <w:tcPr>
            <w:tcW w:w="1400" w:type="dxa"/>
            <w:vAlign w:val="top"/>
          </w:tcPr>
          <w:p>
            <w:pPr>
              <w:spacing w:before="0" w:after="0" w:line="240" w:lineRule="auto"/>
              <w:jc w:val="left"/>
            </w:pPr>
            <w:r>
              <w:rPr>
                <w:sz w:val="20"/>
                <w:szCs w:val="20"/>
              </w:rPr>
              <w:t xml:space="preserve">57</w:t>
            </w:r>
          </w:p>
        </w:tc>
        <w:tc>
          <w:tcPr>
            <w:tcW w:w="1400" w:type="dxa"/>
            <w:vAlign w:val="top"/>
          </w:tcPr>
          <w:p>
            <w:pPr>
              <w:spacing w:before="0" w:after="0" w:line="240" w:lineRule="auto"/>
              <w:jc w:val="left"/>
            </w:pPr>
            <w:r>
              <w:rPr>
                <w:sz w:val="20"/>
                <w:szCs w:val="20"/>
              </w:rPr>
              <w:t xml:space="preserve">43</w:t>
            </w:r>
          </w:p>
        </w:tc>
        <w:tc>
          <w:tcPr>
            <w:tcW w:w="1400" w:type="dxa"/>
            <w:vAlign w:val="top"/>
          </w:tcPr>
          <w:p>
            <w:pPr>
              <w:spacing w:before="0" w:after="0" w:line="240" w:lineRule="auto"/>
              <w:jc w:val="left"/>
            </w:pPr>
            <w:r>
              <w:rPr>
                <w:sz w:val="20"/>
                <w:szCs w:val="20"/>
              </w:rPr>
              <w:t xml:space="preserve">551</w:t>
            </w:r>
          </w:p>
        </w:tc>
        <w:tc>
          <w:tcPr>
            <w:tcW w:w="1400" w:type="dxa"/>
            <w:vAlign w:val="top"/>
          </w:tcPr>
          <w:p>
            <w:pPr>
              <w:spacing w:before="0" w:after="0" w:line="240" w:lineRule="auto"/>
              <w:jc w:val="left"/>
            </w:pPr>
            <w:r>
              <w:rPr>
                <w:sz w:val="20"/>
                <w:szCs w:val="20"/>
              </w:rPr>
              <w:t xml:space="preserve">113,622</w:t>
            </w:r>
          </w:p>
        </w:tc>
      </w:tr>
      <w:tr>
        <w:tc>
          <w:tcPr>
            <w:tcW w:w="2026" w:type="dxa"/>
            <w:vAlign w:val="top"/>
          </w:tcPr>
          <w:p>
            <w:pPr>
              <w:spacing w:before="0" w:after="0" w:line="240" w:lineRule="auto"/>
              <w:jc w:val="left"/>
            </w:pPr>
            <w:r>
              <w:rPr>
                <w:sz w:val="20"/>
                <w:szCs w:val="20"/>
              </w:rPr>
              <w:t xml:space="preserve">Bali &amp; Nusa Tenggara</w:t>
            </w:r>
          </w:p>
        </w:tc>
        <w:tc>
          <w:tcPr>
            <w:tcW w:w="1400" w:type="dxa"/>
            <w:vAlign w:val="top"/>
          </w:tcPr>
          <w:p>
            <w:pPr>
              <w:spacing w:before="0" w:after="0" w:line="240" w:lineRule="auto"/>
              <w:jc w:val="left"/>
            </w:pPr>
            <w:r>
              <w:rPr>
                <w:sz w:val="20"/>
                <w:szCs w:val="20"/>
              </w:rPr>
              <w:t xml:space="preserve">1</w:t>
            </w:r>
          </w:p>
        </w:tc>
        <w:tc>
          <w:tcPr>
            <w:tcW w:w="1400" w:type="dxa"/>
            <w:vAlign w:val="top"/>
          </w:tcPr>
          <w:p>
            <w:pPr>
              <w:spacing w:before="0" w:after="0" w:line="240" w:lineRule="auto"/>
              <w:jc w:val="left"/>
            </w:pPr>
            <w:r>
              <w:rPr>
                <w:sz w:val="20"/>
                <w:szCs w:val="20"/>
              </w:rPr>
              <w:t xml:space="preserve">32</w:t>
            </w:r>
          </w:p>
        </w:tc>
        <w:tc>
          <w:tcPr>
            <w:tcW w:w="1400" w:type="dxa"/>
            <w:vAlign w:val="top"/>
          </w:tcPr>
          <w:p>
            <w:pPr>
              <w:spacing w:before="0" w:after="0" w:line="240" w:lineRule="auto"/>
              <w:jc w:val="left"/>
            </w:pPr>
            <w:r>
              <w:rPr>
                <w:sz w:val="20"/>
                <w:szCs w:val="20"/>
              </w:rPr>
              <w:t xml:space="preserve">26</w:t>
            </w:r>
          </w:p>
        </w:tc>
        <w:tc>
          <w:tcPr>
            <w:tcW w:w="1400" w:type="dxa"/>
            <w:vAlign w:val="top"/>
          </w:tcPr>
          <w:p>
            <w:pPr>
              <w:spacing w:before="0" w:after="0" w:line="240" w:lineRule="auto"/>
              <w:jc w:val="left"/>
            </w:pPr>
            <w:r>
              <w:rPr>
                <w:sz w:val="20"/>
                <w:szCs w:val="20"/>
              </w:rPr>
              <w:t xml:space="preserve">295</w:t>
            </w:r>
          </w:p>
        </w:tc>
        <w:tc>
          <w:tcPr>
            <w:tcW w:w="1400" w:type="dxa"/>
            <w:vAlign w:val="top"/>
          </w:tcPr>
          <w:p>
            <w:pPr>
              <w:spacing w:before="0" w:after="0" w:line="240" w:lineRule="auto"/>
              <w:jc w:val="left"/>
            </w:pPr>
            <w:r>
              <w:rPr>
                <w:sz w:val="20"/>
                <w:szCs w:val="20"/>
              </w:rPr>
              <w:t xml:space="preserve">65,007</w:t>
            </w:r>
          </w:p>
        </w:tc>
      </w:tr>
      <w:tr>
        <w:tc>
          <w:tcPr>
            <w:tcW w:w="2026" w:type="dxa"/>
            <w:vAlign w:val="top"/>
          </w:tcPr>
          <w:p>
            <w:pPr>
              <w:spacing w:before="0" w:after="0" w:line="240" w:lineRule="auto"/>
              <w:jc w:val="left"/>
            </w:pPr>
            <w:r>
              <w:rPr>
                <w:sz w:val="20"/>
                <w:szCs w:val="20"/>
              </w:rPr>
              <w:t xml:space="preserve">Papua</w:t>
            </w:r>
          </w:p>
        </w:tc>
        <w:tc>
          <w:tcPr>
            <w:tcW w:w="1400" w:type="dxa"/>
            <w:vAlign w:val="top"/>
          </w:tcPr>
          <w:p>
            <w:pPr>
              <w:spacing w:before="0" w:after="0" w:line="240" w:lineRule="auto"/>
              <w:jc w:val="left"/>
            </w:pPr>
            <w:r>
              <w:rPr>
                <w:sz w:val="20"/>
                <w:szCs w:val="20"/>
              </w:rPr>
              <w:t xml:space="preserve">1</w:t>
            </w:r>
          </w:p>
        </w:tc>
        <w:tc>
          <w:tcPr>
            <w:tcW w:w="1400" w:type="dxa"/>
            <w:vAlign w:val="top"/>
          </w:tcPr>
          <w:p>
            <w:pPr>
              <w:spacing w:before="0" w:after="0" w:line="240" w:lineRule="auto"/>
              <w:jc w:val="left"/>
            </w:pPr>
            <w:r>
              <w:rPr>
                <w:sz w:val="20"/>
                <w:szCs w:val="20"/>
              </w:rPr>
              <w:t xml:space="preserve">13</w:t>
            </w:r>
          </w:p>
        </w:tc>
        <w:tc>
          <w:tcPr>
            <w:tcW w:w="1400" w:type="dxa"/>
            <w:vAlign w:val="top"/>
          </w:tcPr>
          <w:p>
            <w:pPr>
              <w:spacing w:before="0" w:after="0" w:line="240" w:lineRule="auto"/>
              <w:jc w:val="left"/>
            </w:pPr>
            <w:r>
              <w:rPr>
                <w:sz w:val="20"/>
                <w:szCs w:val="20"/>
              </w:rPr>
              <w:t xml:space="preserve">13</w:t>
            </w:r>
          </w:p>
        </w:tc>
        <w:tc>
          <w:tcPr>
            <w:tcW w:w="1400" w:type="dxa"/>
            <w:vAlign w:val="top"/>
          </w:tcPr>
          <w:p>
            <w:pPr>
              <w:spacing w:before="0" w:after="0" w:line="240" w:lineRule="auto"/>
              <w:jc w:val="left"/>
            </w:pPr>
            <w:r>
              <w:rPr>
                <w:sz w:val="20"/>
                <w:szCs w:val="20"/>
              </w:rPr>
              <w:t xml:space="preserve">88</w:t>
            </w:r>
          </w:p>
        </w:tc>
        <w:tc>
          <w:tcPr>
            <w:tcW w:w="1400" w:type="dxa"/>
            <w:vAlign w:val="top"/>
          </w:tcPr>
          <w:p>
            <w:pPr>
              <w:spacing w:before="0" w:after="0" w:line="240" w:lineRule="auto"/>
              <w:jc w:val="left"/>
            </w:pPr>
            <w:r>
              <w:rPr>
                <w:sz w:val="20"/>
                <w:szCs w:val="20"/>
              </w:rPr>
              <w:t xml:space="preserve">13,630</w:t>
            </w:r>
          </w:p>
        </w:tc>
      </w:tr>
      <w:tr>
        <w:tc>
          <w:tcPr>
            <w:tcW w:w="2026" w:type="dxa"/>
            <w:vAlign w:val="top"/>
          </w:tcPr>
          <w:p>
            <w:pPr>
              <w:spacing w:before="0" w:after="0" w:line="240" w:lineRule="auto"/>
              <w:jc w:val="left"/>
            </w:pPr>
            <w:r>
              <w:rPr>
                <w:sz w:val="20"/>
                <w:szCs w:val="20"/>
              </w:rPr>
              <w:t xml:space="preserve">Total</w:t>
            </w:r>
          </w:p>
        </w:tc>
        <w:tc>
          <w:tcPr>
            <w:tcW w:w="1400" w:type="dxa"/>
            <w:vAlign w:val="top"/>
          </w:tcPr>
          <w:p>
            <w:pPr>
              <w:spacing w:before="0" w:after="0" w:line="240" w:lineRule="auto"/>
              <w:jc w:val="left"/>
            </w:pPr>
            <w:r>
              <w:rPr>
                <w:sz w:val="20"/>
                <w:szCs w:val="20"/>
              </w:rPr>
              <w:t xml:space="preserve">18</w:t>
            </w:r>
          </w:p>
        </w:tc>
        <w:tc>
          <w:tcPr>
            <w:tcW w:w="1400" w:type="dxa"/>
            <w:vAlign w:val="top"/>
          </w:tcPr>
          <w:p>
            <w:pPr>
              <w:spacing w:before="0" w:after="0" w:line="240" w:lineRule="auto"/>
              <w:jc w:val="left"/>
            </w:pPr>
            <w:r>
              <w:rPr>
                <w:sz w:val="20"/>
                <w:szCs w:val="20"/>
              </w:rPr>
              <w:t xml:space="preserve">508</w:t>
            </w:r>
          </w:p>
        </w:tc>
        <w:tc>
          <w:tcPr>
            <w:tcW w:w="1400" w:type="dxa"/>
            <w:vAlign w:val="top"/>
          </w:tcPr>
          <w:p>
            <w:pPr>
              <w:spacing w:before="0" w:after="0" w:line="240" w:lineRule="auto"/>
              <w:jc w:val="left"/>
            </w:pPr>
            <w:r>
              <w:rPr>
                <w:sz w:val="20"/>
                <w:szCs w:val="20"/>
              </w:rPr>
              <w:t xml:space="preserve">555</w:t>
            </w:r>
          </w:p>
        </w:tc>
        <w:tc>
          <w:tcPr>
            <w:tcW w:w="1400" w:type="dxa"/>
            <w:vAlign w:val="top"/>
          </w:tcPr>
          <w:p>
            <w:pPr>
              <w:spacing w:before="0" w:after="0" w:line="240" w:lineRule="auto"/>
              <w:jc w:val="left"/>
            </w:pPr>
            <w:r>
              <w:rPr>
                <w:sz w:val="20"/>
                <w:szCs w:val="20"/>
              </w:rPr>
              <w:t xml:space="preserve">5,082</w:t>
            </w:r>
          </w:p>
        </w:tc>
        <w:tc>
          <w:tcPr>
            <w:tcW w:w="1400" w:type="dxa"/>
            <w:vAlign w:val="top"/>
          </w:tcPr>
          <w:p>
            <w:pPr>
              <w:spacing w:before="0" w:after="0" w:line="240" w:lineRule="auto"/>
              <w:jc w:val="left"/>
            </w:pPr>
            <w:r>
              <w:rPr>
                <w:sz w:val="20"/>
                <w:szCs w:val="20"/>
              </w:rPr>
              <w:t xml:space="preserve">1,193,835</w:t>
            </w:r>
          </w:p>
        </w:tc>
      </w:tr>
    </w:tbl>
    <w:p>
      <w:pPr>
        <w:spacing w:before="0" w:after="60" w:line="240" w:lineRule="auto"/>
        <w:jc w:val="both"/>
      </w:pPr>
    </w:p>
    <w:p>
      <w:pPr>
        <w:spacing w:before="0" w:after="120" w:line="360" w:lineRule="auto"/>
        <w:jc w:val="both"/>
      </w:pPr>
      <w:r>
        <w:rPr>
          <w:sz w:val="24"/>
          <w:szCs w:val="24"/>
        </w:rPr>
        <w:t xml:space="preserve">Through ten main subsidiaries, the BRI Group also provides services beyond banking, as listed in Table 2.3.</w:t>
      </w:r>
    </w:p>
    <w:p>
      <w:pPr>
        <w:keepNext w:val="1"/>
        <w:spacing w:before="120" w:after="60" w:line="240" w:lineRule="auto"/>
        <w:jc w:val="center"/>
      </w:pPr>
      <w:r>
        <w:rPr>
          <w:b w:val="1"/>
          <w:sz w:val="20"/>
          <w:szCs w:val="20"/>
        </w:rPr>
        <w:t xml:space="preserve">Table 2.3 BRI subsidiaries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4513"/>
        <w:gridCol w:w="4513"/>
      </w:tblGrid>
      <w:tr>
        <w:trPr>
          <w:tblHeader w:val="1"/>
        </w:trPr>
        <w:tc>
          <w:tcPr>
            <w:tcW w:w="4513" w:type="dxa"/>
            <w:shd w:val="clear" w:color="auto" w:fill="D9D9D9"/>
            <w:vAlign w:val="top"/>
          </w:tcPr>
          <w:p>
            <w:pPr>
              <w:spacing w:before="0" w:after="0" w:line="240" w:lineRule="auto"/>
              <w:jc w:val="left"/>
            </w:pPr>
            <w:r>
              <w:rPr>
                <w:b w:val="1"/>
                <w:sz w:val="20"/>
                <w:szCs w:val="20"/>
              </w:rPr>
              <w:t xml:space="preserve">Subsidiary</w:t>
            </w:r>
          </w:p>
        </w:tc>
        <w:tc>
          <w:tcPr>
            <w:tcW w:w="4513" w:type="dxa"/>
            <w:shd w:val="clear" w:color="auto" w:fill="D9D9D9"/>
            <w:vAlign w:val="top"/>
          </w:tcPr>
          <w:p>
            <w:pPr>
              <w:spacing w:before="0" w:after="0" w:line="240" w:lineRule="auto"/>
              <w:jc w:val="left"/>
            </w:pPr>
            <w:r>
              <w:rPr>
                <w:b w:val="1"/>
                <w:sz w:val="20"/>
                <w:szCs w:val="20"/>
              </w:rPr>
              <w:t xml:space="preserve">Business</w:t>
            </w:r>
          </w:p>
        </w:tc>
      </w:tr>
      <w:tr>
        <w:tc>
          <w:tcPr>
            <w:tcW w:w="4513" w:type="dxa"/>
            <w:vAlign w:val="top"/>
          </w:tcPr>
          <w:p>
            <w:pPr>
              <w:spacing w:before="0" w:after="0" w:line="240" w:lineRule="auto"/>
              <w:jc w:val="left"/>
            </w:pPr>
            <w:r>
              <w:rPr>
                <w:sz w:val="20"/>
                <w:szCs w:val="20"/>
              </w:rPr>
              <w:t xml:space="preserve">PT Bank Raya Indonesia Tbk</w:t>
            </w:r>
          </w:p>
        </w:tc>
        <w:tc>
          <w:tcPr>
            <w:tcW w:w="4513" w:type="dxa"/>
            <w:vAlign w:val="top"/>
          </w:tcPr>
          <w:p>
            <w:pPr>
              <w:spacing w:before="0" w:after="0" w:line="240" w:lineRule="auto"/>
              <w:jc w:val="left"/>
            </w:pPr>
            <w:r>
              <w:rPr>
                <w:sz w:val="20"/>
                <w:szCs w:val="20"/>
              </w:rPr>
              <w:t xml:space="preserve">Digital banking</w:t>
            </w:r>
          </w:p>
        </w:tc>
      </w:tr>
      <w:tr>
        <w:tc>
          <w:tcPr>
            <w:tcW w:w="4513" w:type="dxa"/>
            <w:vAlign w:val="top"/>
          </w:tcPr>
          <w:p>
            <w:pPr>
              <w:spacing w:before="0" w:after="0" w:line="240" w:lineRule="auto"/>
              <w:jc w:val="left"/>
            </w:pPr>
            <w:r>
              <w:rPr>
                <w:sz w:val="20"/>
                <w:szCs w:val="20"/>
              </w:rPr>
              <w:t xml:space="preserve">BRI Global Financial Services Ltd</w:t>
            </w:r>
          </w:p>
        </w:tc>
        <w:tc>
          <w:tcPr>
            <w:tcW w:w="4513" w:type="dxa"/>
            <w:vAlign w:val="top"/>
          </w:tcPr>
          <w:p>
            <w:pPr>
              <w:spacing w:before="0" w:after="0" w:line="240" w:lineRule="auto"/>
              <w:jc w:val="left"/>
            </w:pPr>
            <w:r>
              <w:rPr>
                <w:sz w:val="20"/>
                <w:szCs w:val="20"/>
              </w:rPr>
              <w:t xml:space="preserve">Remittance and financing</w:t>
            </w:r>
          </w:p>
        </w:tc>
      </w:tr>
      <w:tr>
        <w:tc>
          <w:tcPr>
            <w:tcW w:w="4513" w:type="dxa"/>
            <w:vAlign w:val="top"/>
          </w:tcPr>
          <w:p>
            <w:pPr>
              <w:spacing w:before="0" w:after="0" w:line="240" w:lineRule="auto"/>
              <w:jc w:val="left"/>
            </w:pPr>
            <w:r>
              <w:rPr>
                <w:sz w:val="20"/>
                <w:szCs w:val="20"/>
              </w:rPr>
              <w:t xml:space="preserve">PT Asuransi BRI Life</w:t>
            </w:r>
          </w:p>
        </w:tc>
        <w:tc>
          <w:tcPr>
            <w:tcW w:w="4513" w:type="dxa"/>
            <w:vAlign w:val="top"/>
          </w:tcPr>
          <w:p>
            <w:pPr>
              <w:spacing w:before="0" w:after="0" w:line="240" w:lineRule="auto"/>
              <w:jc w:val="left"/>
            </w:pPr>
            <w:r>
              <w:rPr>
                <w:sz w:val="20"/>
                <w:szCs w:val="20"/>
              </w:rPr>
              <w:t xml:space="preserve">Life insurance</w:t>
            </w:r>
          </w:p>
        </w:tc>
      </w:tr>
      <w:tr>
        <w:tc>
          <w:tcPr>
            <w:tcW w:w="4513" w:type="dxa"/>
            <w:vAlign w:val="top"/>
          </w:tcPr>
          <w:p>
            <w:pPr>
              <w:spacing w:before="0" w:after="0" w:line="240" w:lineRule="auto"/>
              <w:jc w:val="left"/>
            </w:pPr>
            <w:r>
              <w:rPr>
                <w:sz w:val="20"/>
                <w:szCs w:val="20"/>
              </w:rPr>
              <w:t xml:space="preserve">PT BRI Multifinance Indonesia (BRI Finance)</w:t>
            </w:r>
          </w:p>
        </w:tc>
        <w:tc>
          <w:tcPr>
            <w:tcW w:w="4513" w:type="dxa"/>
            <w:vAlign w:val="top"/>
          </w:tcPr>
          <w:p>
            <w:pPr>
              <w:spacing w:before="0" w:after="0" w:line="240" w:lineRule="auto"/>
              <w:jc w:val="left"/>
            </w:pPr>
            <w:r>
              <w:rPr>
                <w:sz w:val="20"/>
                <w:szCs w:val="20"/>
              </w:rPr>
              <w:t xml:space="preserve">Financing</w:t>
            </w:r>
          </w:p>
        </w:tc>
      </w:tr>
      <w:tr>
        <w:tc>
          <w:tcPr>
            <w:tcW w:w="4513" w:type="dxa"/>
            <w:vAlign w:val="top"/>
          </w:tcPr>
          <w:p>
            <w:pPr>
              <w:spacing w:before="0" w:after="0" w:line="240" w:lineRule="auto"/>
              <w:jc w:val="left"/>
            </w:pPr>
            <w:r>
              <w:rPr>
                <w:sz w:val="20"/>
                <w:szCs w:val="20"/>
              </w:rPr>
              <w:t xml:space="preserve">PT BRI Danareksa Sekuritas</w:t>
            </w:r>
          </w:p>
        </w:tc>
        <w:tc>
          <w:tcPr>
            <w:tcW w:w="4513" w:type="dxa"/>
            <w:vAlign w:val="top"/>
          </w:tcPr>
          <w:p>
            <w:pPr>
              <w:spacing w:before="0" w:after="0" w:line="240" w:lineRule="auto"/>
              <w:jc w:val="left"/>
            </w:pPr>
            <w:r>
              <w:rPr>
                <w:sz w:val="20"/>
                <w:szCs w:val="20"/>
              </w:rPr>
              <w:t xml:space="preserve">Securities services</w:t>
            </w:r>
          </w:p>
        </w:tc>
      </w:tr>
      <w:tr>
        <w:tc>
          <w:tcPr>
            <w:tcW w:w="4513" w:type="dxa"/>
            <w:vAlign w:val="top"/>
          </w:tcPr>
          <w:p>
            <w:pPr>
              <w:spacing w:before="0" w:after="0" w:line="240" w:lineRule="auto"/>
              <w:jc w:val="left"/>
            </w:pPr>
            <w:r>
              <w:rPr>
                <w:sz w:val="20"/>
                <w:szCs w:val="20"/>
              </w:rPr>
              <w:t xml:space="preserve">PT BRI Ventura Investama (BRI Ventures)</w:t>
            </w:r>
          </w:p>
        </w:tc>
        <w:tc>
          <w:tcPr>
            <w:tcW w:w="4513" w:type="dxa"/>
            <w:vAlign w:val="top"/>
          </w:tcPr>
          <w:p>
            <w:pPr>
              <w:spacing w:before="0" w:after="0" w:line="240" w:lineRule="auto"/>
              <w:jc w:val="left"/>
            </w:pPr>
            <w:r>
              <w:rPr>
                <w:sz w:val="20"/>
                <w:szCs w:val="20"/>
              </w:rPr>
              <w:t xml:space="preserve">Venture capital</w:t>
            </w:r>
          </w:p>
        </w:tc>
      </w:tr>
      <w:tr>
        <w:tc>
          <w:tcPr>
            <w:tcW w:w="4513" w:type="dxa"/>
            <w:vAlign w:val="top"/>
          </w:tcPr>
          <w:p>
            <w:pPr>
              <w:spacing w:before="0" w:after="0" w:line="240" w:lineRule="auto"/>
              <w:jc w:val="left"/>
            </w:pPr>
            <w:r>
              <w:rPr>
                <w:sz w:val="20"/>
                <w:szCs w:val="20"/>
              </w:rPr>
              <w:t xml:space="preserve">PT BRI Asuransi Indonesia (BRI Insurance)</w:t>
            </w:r>
          </w:p>
        </w:tc>
        <w:tc>
          <w:tcPr>
            <w:tcW w:w="4513" w:type="dxa"/>
            <w:vAlign w:val="top"/>
          </w:tcPr>
          <w:p>
            <w:pPr>
              <w:spacing w:before="0" w:after="0" w:line="240" w:lineRule="auto"/>
              <w:jc w:val="left"/>
            </w:pPr>
            <w:r>
              <w:rPr>
                <w:sz w:val="20"/>
                <w:szCs w:val="20"/>
              </w:rPr>
              <w:t xml:space="preserve">General insurance</w:t>
            </w:r>
          </w:p>
        </w:tc>
      </w:tr>
      <w:tr>
        <w:tc>
          <w:tcPr>
            <w:tcW w:w="4513" w:type="dxa"/>
            <w:vAlign w:val="top"/>
          </w:tcPr>
          <w:p>
            <w:pPr>
              <w:spacing w:before="0" w:after="0" w:line="240" w:lineRule="auto"/>
              <w:jc w:val="left"/>
            </w:pPr>
            <w:r>
              <w:rPr>
                <w:sz w:val="20"/>
                <w:szCs w:val="20"/>
              </w:rPr>
              <w:t xml:space="preserve">PT Pegadaian</w:t>
            </w:r>
          </w:p>
        </w:tc>
        <w:tc>
          <w:tcPr>
            <w:tcW w:w="4513" w:type="dxa"/>
            <w:vAlign w:val="top"/>
          </w:tcPr>
          <w:p>
            <w:pPr>
              <w:spacing w:before="0" w:after="0" w:line="240" w:lineRule="auto"/>
              <w:jc w:val="left"/>
            </w:pPr>
            <w:r>
              <w:rPr>
                <w:sz w:val="20"/>
                <w:szCs w:val="20"/>
              </w:rPr>
              <w:t xml:space="preserve">Pawn-based and other financing</w:t>
            </w:r>
          </w:p>
        </w:tc>
      </w:tr>
      <w:tr>
        <w:tc>
          <w:tcPr>
            <w:tcW w:w="4513" w:type="dxa"/>
            <w:vAlign w:val="top"/>
          </w:tcPr>
          <w:p>
            <w:pPr>
              <w:spacing w:before="0" w:after="0" w:line="240" w:lineRule="auto"/>
              <w:jc w:val="left"/>
            </w:pPr>
            <w:r>
              <w:rPr>
                <w:sz w:val="20"/>
                <w:szCs w:val="20"/>
              </w:rPr>
              <w:t xml:space="preserve">PT Permodalan Nasional Madani (PNM)</w:t>
            </w:r>
          </w:p>
        </w:tc>
        <w:tc>
          <w:tcPr>
            <w:tcW w:w="4513" w:type="dxa"/>
            <w:vAlign w:val="top"/>
          </w:tcPr>
          <w:p>
            <w:pPr>
              <w:spacing w:before="0" w:after="0" w:line="240" w:lineRule="auto"/>
              <w:jc w:val="left"/>
            </w:pPr>
            <w:r>
              <w:rPr>
                <w:sz w:val="20"/>
                <w:szCs w:val="20"/>
              </w:rPr>
              <w:t xml:space="preserve">Financing and mentoring for micro enterprises</w:t>
            </w:r>
          </w:p>
        </w:tc>
      </w:tr>
      <w:tr>
        <w:tc>
          <w:tcPr>
            <w:tcW w:w="4513" w:type="dxa"/>
            <w:vAlign w:val="top"/>
          </w:tcPr>
          <w:p>
            <w:pPr>
              <w:spacing w:before="0" w:after="0" w:line="240" w:lineRule="auto"/>
              <w:jc w:val="left"/>
            </w:pPr>
            <w:r>
              <w:rPr>
                <w:sz w:val="20"/>
                <w:szCs w:val="20"/>
              </w:rPr>
              <w:t xml:space="preserve">PT BRI Manajemen Investasi</w:t>
            </w:r>
          </w:p>
        </w:tc>
        <w:tc>
          <w:tcPr>
            <w:tcW w:w="4513" w:type="dxa"/>
            <w:vAlign w:val="top"/>
          </w:tcPr>
          <w:p>
            <w:pPr>
              <w:spacing w:before="0" w:after="0" w:line="240" w:lineRule="auto"/>
              <w:jc w:val="left"/>
            </w:pPr>
            <w:r>
              <w:rPr>
                <w:sz w:val="20"/>
                <w:szCs w:val="20"/>
              </w:rPr>
              <w:t xml:space="preserve">Investment management</w:t>
            </w:r>
          </w:p>
        </w:tc>
      </w:tr>
    </w:tbl>
    <w:p>
      <w:pPr>
        <w:spacing w:before="0" w:after="60" w:line="240" w:lineRule="auto"/>
        <w:jc w:val="both"/>
      </w:pPr>
    </w:p>
    <w:p>
      <w:pPr>
        <w:keepNext w:val="1"/>
        <w:spacing w:before="240" w:after="120" w:line="360" w:lineRule="auto"/>
        <w:jc w:val="left"/>
      </w:pPr>
      <w:r>
        <w:rPr>
          <w:b w:val="1"/>
          <w:sz w:val="24"/>
          <w:szCs w:val="24"/>
        </w:rPr>
        <w:t xml:space="preserve">2.3 Vision, Strategy, and Corporate Values</w:t>
      </w:r>
    </w:p>
    <w:p>
      <w:pPr>
        <w:spacing w:before="0" w:after="120" w:line="360" w:lineRule="auto"/>
        <w:jc w:val="both"/>
      </w:pPr>
      <w:r>
        <w:rPr>
          <w:b w:val="1"/>
          <w:sz w:val="24"/>
          <w:szCs w:val="24"/>
        </w:rPr>
        <w:t xml:space="preserve">Vision. </w:t>
      </w:r>
      <w:r>
        <w:rPr>
          <w:sz w:val="24"/>
          <w:szCs w:val="24"/>
        </w:rPr>
        <w:t xml:space="preserve">"Deliver Sustainable Values and Integrated Solutions to Achieve Indonesia's Aspiration."</w:t>
      </w:r>
    </w:p>
    <w:p>
      <w:pPr>
        <w:spacing w:before="0" w:after="120" w:line="360" w:lineRule="auto"/>
        <w:jc w:val="both"/>
      </w:pPr>
      <w:r>
        <w:rPr>
          <w:sz w:val="24"/>
          <w:szCs w:val="24"/>
        </w:rPr>
        <w:t xml:space="preserve">BRI pursues this vision through its transformation programme, BRIvolution Reignite, under the positioning "One Bank for All": an inclusive universal bank serving every segment of Indonesian society. The programme rests on two main pillars, Transform the Funding Franchise, and Revamp Existing Core and Build New Core. These are supported by six enablers: Human Capital, Risk Management, IT &amp; Digital, Distribution, Operational Excellence, and Rebranding. In practice, this means growing low-cost funding and transaction banking, strengthening the micro segment as the core business, building new income sources in the consumer segment, and improving digital capability, risk management, and human resources.</w:t>
      </w:r>
    </w:p>
    <w:p>
      <w:pPr>
        <w:spacing w:before="0" w:after="120" w:line="360" w:lineRule="auto"/>
        <w:jc w:val="both"/>
      </w:pPr>
      <w:r>
        <w:rPr>
          <w:sz w:val="24"/>
          <w:szCs w:val="24"/>
        </w:rPr>
        <w:t xml:space="preserve">On 14 July 2025, BRI adopted the BRILiaN Way as its corporate culture. It sets out five core values that guide the behaviour of every employee, shown in Table 2.4.</w:t>
      </w:r>
    </w:p>
    <w:p>
      <w:pPr>
        <w:keepNext w:val="1"/>
        <w:spacing w:before="120" w:after="60" w:line="240" w:lineRule="auto"/>
        <w:jc w:val="center"/>
      </w:pPr>
      <w:r>
        <w:rPr>
          <w:b w:val="1"/>
          <w:sz w:val="20"/>
          <w:szCs w:val="20"/>
        </w:rPr>
        <w:t xml:space="preserve">Table 2.4 BRI core values (the BRILiaN Way)</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400"/>
        <w:gridCol w:w="6626"/>
      </w:tblGrid>
      <w:tr>
        <w:trPr>
          <w:tblHeader w:val="1"/>
        </w:trPr>
        <w:tc>
          <w:tcPr>
            <w:tcW w:w="2400" w:type="dxa"/>
            <w:shd w:val="clear" w:color="auto" w:fill="D9D9D9"/>
            <w:vAlign w:val="top"/>
          </w:tcPr>
          <w:p>
            <w:pPr>
              <w:spacing w:before="0" w:after="0" w:line="240" w:lineRule="auto"/>
              <w:jc w:val="left"/>
            </w:pPr>
            <w:r>
              <w:rPr>
                <w:b w:val="1"/>
                <w:sz w:val="20"/>
                <w:szCs w:val="20"/>
              </w:rPr>
              <w:t xml:space="preserve">Core value</w:t>
            </w:r>
          </w:p>
        </w:tc>
        <w:tc>
          <w:tcPr>
            <w:tcW w:w="6626" w:type="dxa"/>
            <w:shd w:val="clear" w:color="auto" w:fill="D9D9D9"/>
            <w:vAlign w:val="top"/>
          </w:tcPr>
          <w:p>
            <w:pPr>
              <w:spacing w:before="0" w:after="0" w:line="240" w:lineRule="auto"/>
              <w:jc w:val="left"/>
            </w:pPr>
            <w:r>
              <w:rPr>
                <w:b w:val="1"/>
                <w:sz w:val="20"/>
                <w:szCs w:val="20"/>
              </w:rPr>
              <w:t xml:space="preserve">Definition</w:t>
            </w:r>
          </w:p>
        </w:tc>
      </w:tr>
      <w:tr>
        <w:tc>
          <w:tcPr>
            <w:tcW w:w="2400" w:type="dxa"/>
            <w:vAlign w:val="top"/>
          </w:tcPr>
          <w:p>
            <w:pPr>
              <w:spacing w:before="0" w:after="0" w:line="240" w:lineRule="auto"/>
              <w:jc w:val="left"/>
            </w:pPr>
            <w:r>
              <w:rPr>
                <w:sz w:val="20"/>
                <w:szCs w:val="20"/>
              </w:rPr>
              <w:t xml:space="preserve">Integrity</w:t>
            </w:r>
          </w:p>
        </w:tc>
        <w:tc>
          <w:tcPr>
            <w:tcW w:w="6626" w:type="dxa"/>
            <w:vAlign w:val="top"/>
          </w:tcPr>
          <w:p>
            <w:pPr>
              <w:spacing w:before="0" w:after="0" w:line="240" w:lineRule="auto"/>
              <w:jc w:val="left"/>
            </w:pPr>
            <w:r>
              <w:rPr>
                <w:sz w:val="20"/>
                <w:szCs w:val="20"/>
              </w:rPr>
              <w:t xml:space="preserve">Upholding professionalism, ethics, and honesty by considering risks in every action.</w:t>
            </w:r>
          </w:p>
        </w:tc>
      </w:tr>
      <w:tr>
        <w:tc>
          <w:tcPr>
            <w:tcW w:w="2400" w:type="dxa"/>
            <w:vAlign w:val="top"/>
          </w:tcPr>
          <w:p>
            <w:pPr>
              <w:spacing w:before="0" w:after="0" w:line="240" w:lineRule="auto"/>
              <w:jc w:val="left"/>
            </w:pPr>
            <w:r>
              <w:rPr>
                <w:sz w:val="20"/>
                <w:szCs w:val="20"/>
              </w:rPr>
              <w:t xml:space="preserve">Collaboration</w:t>
            </w:r>
          </w:p>
        </w:tc>
        <w:tc>
          <w:tcPr>
            <w:tcW w:w="6626" w:type="dxa"/>
            <w:vAlign w:val="top"/>
          </w:tcPr>
          <w:p>
            <w:pPr>
              <w:spacing w:before="0" w:after="0" w:line="240" w:lineRule="auto"/>
              <w:jc w:val="left"/>
            </w:pPr>
            <w:r>
              <w:rPr>
                <w:sz w:val="20"/>
                <w:szCs w:val="20"/>
              </w:rPr>
              <w:t xml:space="preserve">Working in synergy and contributing actively to achieve shared objectives.</w:t>
            </w:r>
          </w:p>
        </w:tc>
      </w:tr>
      <w:tr>
        <w:tc>
          <w:tcPr>
            <w:tcW w:w="2400" w:type="dxa"/>
            <w:vAlign w:val="top"/>
          </w:tcPr>
          <w:p>
            <w:pPr>
              <w:spacing w:before="0" w:after="0" w:line="240" w:lineRule="auto"/>
              <w:jc w:val="left"/>
            </w:pPr>
            <w:r>
              <w:rPr>
                <w:sz w:val="20"/>
                <w:szCs w:val="20"/>
              </w:rPr>
              <w:t xml:space="preserve">Accountability</w:t>
            </w:r>
          </w:p>
        </w:tc>
        <w:tc>
          <w:tcPr>
            <w:tcW w:w="6626" w:type="dxa"/>
            <w:vAlign w:val="top"/>
          </w:tcPr>
          <w:p>
            <w:pPr>
              <w:spacing w:before="0" w:after="0" w:line="240" w:lineRule="auto"/>
              <w:jc w:val="left"/>
            </w:pPr>
            <w:r>
              <w:rPr>
                <w:sz w:val="20"/>
                <w:szCs w:val="20"/>
              </w:rPr>
              <w:t xml:space="preserve">Taking full responsibility for people development and exercising disciplined execution to achieve optimal results.</w:t>
            </w:r>
          </w:p>
        </w:tc>
      </w:tr>
      <w:tr>
        <w:tc>
          <w:tcPr>
            <w:tcW w:w="2400" w:type="dxa"/>
            <w:vAlign w:val="top"/>
          </w:tcPr>
          <w:p>
            <w:pPr>
              <w:spacing w:before="0" w:after="0" w:line="240" w:lineRule="auto"/>
              <w:jc w:val="left"/>
            </w:pPr>
            <w:r>
              <w:rPr>
                <w:sz w:val="20"/>
                <w:szCs w:val="20"/>
              </w:rPr>
              <w:t xml:space="preserve">Growth Mindset</w:t>
            </w:r>
          </w:p>
        </w:tc>
        <w:tc>
          <w:tcPr>
            <w:tcW w:w="6626" w:type="dxa"/>
            <w:vAlign w:val="top"/>
          </w:tcPr>
          <w:p>
            <w:pPr>
              <w:spacing w:before="0" w:after="0" w:line="240" w:lineRule="auto"/>
              <w:jc w:val="left"/>
            </w:pPr>
            <w:r>
              <w:rPr>
                <w:sz w:val="20"/>
                <w:szCs w:val="20"/>
              </w:rPr>
              <w:t xml:space="preserve">Being adaptive, innovative, and open to continuous learning through every stage of change.</w:t>
            </w:r>
          </w:p>
        </w:tc>
      </w:tr>
      <w:tr>
        <w:tc>
          <w:tcPr>
            <w:tcW w:w="2400" w:type="dxa"/>
            <w:vAlign w:val="top"/>
          </w:tcPr>
          <w:p>
            <w:pPr>
              <w:spacing w:before="0" w:after="0" w:line="240" w:lineRule="auto"/>
              <w:jc w:val="left"/>
            </w:pPr>
            <w:r>
              <w:rPr>
                <w:sz w:val="20"/>
                <w:szCs w:val="20"/>
              </w:rPr>
              <w:t xml:space="preserve">Customer Focus</w:t>
            </w:r>
          </w:p>
        </w:tc>
        <w:tc>
          <w:tcPr>
            <w:tcW w:w="6626" w:type="dxa"/>
            <w:vAlign w:val="top"/>
          </w:tcPr>
          <w:p>
            <w:pPr>
              <w:spacing w:before="0" w:after="0" w:line="240" w:lineRule="auto"/>
              <w:jc w:val="left"/>
            </w:pPr>
            <w:r>
              <w:rPr>
                <w:sz w:val="20"/>
                <w:szCs w:val="20"/>
              </w:rPr>
              <w:t xml:space="preserve">Delivering empathetic services and solutions aligned with customer needs.</w:t>
            </w:r>
          </w:p>
        </w:tc>
      </w:tr>
    </w:tbl>
    <w:p>
      <w:pPr>
        <w:spacing w:before="0" w:after="60" w:line="240" w:lineRule="auto"/>
        <w:jc w:val="both"/>
      </w:pPr>
    </w:p>
    <w:p>
      <w:pPr>
        <w:keepNext w:val="1"/>
        <w:spacing w:before="240" w:after="120" w:line="360" w:lineRule="auto"/>
        <w:jc w:val="left"/>
      </w:pPr>
      <w:r>
        <w:rPr>
          <w:b w:val="1"/>
          <w:sz w:val="24"/>
          <w:szCs w:val="24"/>
        </w:rPr>
        <w:t xml:space="preserve">2.4 Company History</w:t>
      </w:r>
    </w:p>
    <w:p>
      <w:pPr>
        <w:spacing w:before="0" w:after="120" w:line="360" w:lineRule="auto"/>
        <w:jc w:val="both"/>
      </w:pPr>
      <w:r>
        <w:rPr>
          <w:sz w:val="24"/>
          <w:szCs w:val="24"/>
        </w:rPr>
        <w:t xml:space="preserve">BRI began in 1895 as De Poerwokertosche Hulp en Spaarbank der Inlandsche Hoofden, a savings and loan bank in Purwokerto intended to serve Indonesian people. Since then it has gone through several changes of name and legal status. Table 2.5 lists the main milestones.</w:t>
      </w:r>
    </w:p>
    <w:p>
      <w:pPr>
        <w:keepNext w:val="1"/>
        <w:spacing w:before="120" w:after="60" w:line="240" w:lineRule="auto"/>
        <w:jc w:val="center"/>
      </w:pPr>
      <w:r>
        <w:rPr>
          <w:b w:val="1"/>
          <w:sz w:val="20"/>
          <w:szCs w:val="20"/>
        </w:rPr>
        <w:t xml:space="preserve">Table 2.5 Milestones in BRI's history</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1600"/>
        <w:gridCol w:w="7426"/>
      </w:tblGrid>
      <w:tr>
        <w:trPr>
          <w:tblHeader w:val="1"/>
        </w:trPr>
        <w:tc>
          <w:tcPr>
            <w:tcW w:w="1600" w:type="dxa"/>
            <w:shd w:val="clear" w:color="auto" w:fill="D9D9D9"/>
            <w:vAlign w:val="top"/>
          </w:tcPr>
          <w:p>
            <w:pPr>
              <w:spacing w:before="0" w:after="0" w:line="240" w:lineRule="auto"/>
              <w:jc w:val="left"/>
            </w:pPr>
            <w:r>
              <w:rPr>
                <w:b w:val="1"/>
                <w:sz w:val="20"/>
                <w:szCs w:val="20"/>
              </w:rPr>
              <w:t xml:space="preserve">Year</w:t>
            </w:r>
          </w:p>
        </w:tc>
        <w:tc>
          <w:tcPr>
            <w:tcW w:w="7426" w:type="dxa"/>
            <w:shd w:val="clear" w:color="auto" w:fill="D9D9D9"/>
            <w:vAlign w:val="top"/>
          </w:tcPr>
          <w:p>
            <w:pPr>
              <w:spacing w:before="0" w:after="0" w:line="240" w:lineRule="auto"/>
              <w:jc w:val="left"/>
            </w:pPr>
            <w:r>
              <w:rPr>
                <w:b w:val="1"/>
                <w:sz w:val="20"/>
                <w:szCs w:val="20"/>
              </w:rPr>
              <w:t xml:space="preserve">Milestone</w:t>
            </w:r>
          </w:p>
        </w:tc>
      </w:tr>
      <w:tr>
        <w:tc>
          <w:tcPr>
            <w:tcW w:w="1600" w:type="dxa"/>
            <w:vAlign w:val="top"/>
          </w:tcPr>
          <w:p>
            <w:pPr>
              <w:spacing w:before="0" w:after="0" w:line="240" w:lineRule="auto"/>
              <w:jc w:val="left"/>
            </w:pPr>
            <w:r>
              <w:rPr>
                <w:sz w:val="20"/>
                <w:szCs w:val="20"/>
              </w:rPr>
              <w:t xml:space="preserve">1895</w:t>
            </w:r>
          </w:p>
        </w:tc>
        <w:tc>
          <w:tcPr>
            <w:tcW w:w="7426" w:type="dxa"/>
            <w:vAlign w:val="top"/>
          </w:tcPr>
          <w:p>
            <w:pPr>
              <w:spacing w:before="0" w:after="0" w:line="240" w:lineRule="auto"/>
              <w:jc w:val="left"/>
            </w:pPr>
            <w:r>
              <w:rPr>
                <w:sz w:val="20"/>
                <w:szCs w:val="20"/>
              </w:rPr>
              <w:t xml:space="preserve">Established on 16 December in Purwokerto, Central Java, by Raden Bei Aria Wirjaatmadja as De Poerwokertosche Hulp en Spaarbank der Inlandsche Hoofden.</w:t>
            </w:r>
          </w:p>
        </w:tc>
      </w:tr>
      <w:tr>
        <w:tc>
          <w:tcPr>
            <w:tcW w:w="1600" w:type="dxa"/>
            <w:vAlign w:val="top"/>
          </w:tcPr>
          <w:p>
            <w:pPr>
              <w:spacing w:before="0" w:after="0" w:line="240" w:lineRule="auto"/>
              <w:jc w:val="left"/>
            </w:pPr>
            <w:r>
              <w:rPr>
                <w:sz w:val="20"/>
                <w:szCs w:val="20"/>
              </w:rPr>
              <w:t xml:space="preserve">1946</w:t>
            </w:r>
          </w:p>
        </w:tc>
        <w:tc>
          <w:tcPr>
            <w:tcW w:w="7426" w:type="dxa"/>
            <w:vAlign w:val="top"/>
          </w:tcPr>
          <w:p>
            <w:pPr>
              <w:spacing w:before="0" w:after="0" w:line="240" w:lineRule="auto"/>
              <w:jc w:val="left"/>
            </w:pPr>
            <w:r>
              <w:rPr>
                <w:sz w:val="20"/>
                <w:szCs w:val="20"/>
              </w:rPr>
              <w:t xml:space="preserve">Became the first state-owned bank of the Republic of Indonesia under Article 1 of Government Regulation No. 1 of 1946.</w:t>
            </w:r>
          </w:p>
        </w:tc>
      </w:tr>
      <w:tr>
        <w:tc>
          <w:tcPr>
            <w:tcW w:w="1600" w:type="dxa"/>
            <w:vAlign w:val="top"/>
          </w:tcPr>
          <w:p>
            <w:pPr>
              <w:spacing w:before="0" w:after="0" w:line="240" w:lineRule="auto"/>
              <w:jc w:val="left"/>
            </w:pPr>
            <w:r>
              <w:rPr>
                <w:sz w:val="20"/>
                <w:szCs w:val="20"/>
              </w:rPr>
              <w:t xml:space="preserve">1948 to 1949</w:t>
            </w:r>
          </w:p>
        </w:tc>
        <w:tc>
          <w:tcPr>
            <w:tcW w:w="7426" w:type="dxa"/>
            <w:vAlign w:val="top"/>
          </w:tcPr>
          <w:p>
            <w:pPr>
              <w:spacing w:before="0" w:after="0" w:line="240" w:lineRule="auto"/>
              <w:jc w:val="left"/>
            </w:pPr>
            <w:r>
              <w:rPr>
                <w:sz w:val="20"/>
                <w:szCs w:val="20"/>
              </w:rPr>
              <w:t xml:space="preserve">Operations were suspended during the revolutionary war and resumed after the Renville Agreement, under the name Bank Rakyat Indonesia Serikat.</w:t>
            </w:r>
          </w:p>
        </w:tc>
      </w:tr>
      <w:tr>
        <w:tc>
          <w:tcPr>
            <w:tcW w:w="1600" w:type="dxa"/>
            <w:vAlign w:val="top"/>
          </w:tcPr>
          <w:p>
            <w:pPr>
              <w:spacing w:before="0" w:after="0" w:line="240" w:lineRule="auto"/>
              <w:jc w:val="left"/>
            </w:pPr>
            <w:r>
              <w:rPr>
                <w:sz w:val="20"/>
                <w:szCs w:val="20"/>
              </w:rPr>
              <w:t xml:space="preserve">1960</w:t>
            </w:r>
          </w:p>
        </w:tc>
        <w:tc>
          <w:tcPr>
            <w:tcW w:w="7426" w:type="dxa"/>
            <w:vAlign w:val="top"/>
          </w:tcPr>
          <w:p>
            <w:pPr>
              <w:spacing w:before="0" w:after="0" w:line="240" w:lineRule="auto"/>
              <w:jc w:val="left"/>
            </w:pPr>
            <w:r>
              <w:rPr>
                <w:sz w:val="20"/>
                <w:szCs w:val="20"/>
              </w:rPr>
              <w:t xml:space="preserve">Merged with Bank Tani Nelayan and Nederlandsche Handel-Maatschappij (NHM) into Bank Koperasi Tani dan Nelayan (BKTN) under PERPU No. 41 of 1960.</w:t>
            </w:r>
          </w:p>
        </w:tc>
      </w:tr>
      <w:tr>
        <w:tc>
          <w:tcPr>
            <w:tcW w:w="1600" w:type="dxa"/>
            <w:vAlign w:val="top"/>
          </w:tcPr>
          <w:p>
            <w:pPr>
              <w:spacing w:before="0" w:after="0" w:line="240" w:lineRule="auto"/>
              <w:jc w:val="left"/>
            </w:pPr>
            <w:r>
              <w:rPr>
                <w:sz w:val="20"/>
                <w:szCs w:val="20"/>
              </w:rPr>
              <w:t xml:space="preserve">1965</w:t>
            </w:r>
          </w:p>
        </w:tc>
        <w:tc>
          <w:tcPr>
            <w:tcW w:w="7426" w:type="dxa"/>
            <w:vAlign w:val="top"/>
          </w:tcPr>
          <w:p>
            <w:pPr>
              <w:spacing w:before="0" w:after="0" w:line="240" w:lineRule="auto"/>
              <w:jc w:val="left"/>
            </w:pPr>
            <w:r>
              <w:rPr>
                <w:sz w:val="20"/>
                <w:szCs w:val="20"/>
              </w:rPr>
              <w:t xml:space="preserve">BKTN was integrated into Bank Indonesia and then into Bank Negara Indonesia Unit II (Rural Sector) under Presidential Decrees No. 9 and No. 17 of 1965.</w:t>
            </w:r>
          </w:p>
        </w:tc>
      </w:tr>
      <w:tr>
        <w:tc>
          <w:tcPr>
            <w:tcW w:w="1600" w:type="dxa"/>
            <w:vAlign w:val="top"/>
          </w:tcPr>
          <w:p>
            <w:pPr>
              <w:spacing w:before="0" w:after="0" w:line="240" w:lineRule="auto"/>
              <w:jc w:val="left"/>
            </w:pPr>
            <w:r>
              <w:rPr>
                <w:sz w:val="20"/>
                <w:szCs w:val="20"/>
              </w:rPr>
              <w:t xml:space="preserve">1992</w:t>
            </w:r>
          </w:p>
        </w:tc>
        <w:tc>
          <w:tcPr>
            <w:tcW w:w="7426" w:type="dxa"/>
            <w:vAlign w:val="top"/>
          </w:tcPr>
          <w:p>
            <w:pPr>
              <w:spacing w:before="0" w:after="0" w:line="240" w:lineRule="auto"/>
              <w:jc w:val="left"/>
            </w:pPr>
            <w:r>
              <w:rPr>
                <w:sz w:val="20"/>
                <w:szCs w:val="20"/>
              </w:rPr>
              <w:t xml:space="preserve">Became a limited liability company (Persero) on 1 August 1992 under Banking Law No. 7 of 1992 and Government Regulation No. 21 of 1992, wholly owned by the Government.</w:t>
            </w:r>
          </w:p>
        </w:tc>
      </w:tr>
      <w:tr>
        <w:tc>
          <w:tcPr>
            <w:tcW w:w="1600" w:type="dxa"/>
            <w:vAlign w:val="top"/>
          </w:tcPr>
          <w:p>
            <w:pPr>
              <w:spacing w:before="0" w:after="0" w:line="240" w:lineRule="auto"/>
              <w:jc w:val="left"/>
            </w:pPr>
            <w:r>
              <w:rPr>
                <w:sz w:val="20"/>
                <w:szCs w:val="20"/>
              </w:rPr>
              <w:t xml:space="preserve">2003</w:t>
            </w:r>
          </w:p>
        </w:tc>
        <w:tc>
          <w:tcPr>
            <w:tcW w:w="7426" w:type="dxa"/>
            <w:vAlign w:val="top"/>
          </w:tcPr>
          <w:p>
            <w:pPr>
              <w:spacing w:before="0" w:after="0" w:line="240" w:lineRule="auto"/>
              <w:jc w:val="left"/>
            </w:pPr>
            <w:r>
              <w:rPr>
                <w:sz w:val="20"/>
                <w:szCs w:val="20"/>
              </w:rPr>
              <w:t xml:space="preserve">The Government sold 30% of its shares to the public, and the bank became PT Bank Rakyat Indonesia (Persero) Tbk.</w:t>
            </w:r>
          </w:p>
        </w:tc>
      </w:tr>
      <w:tr>
        <w:tc>
          <w:tcPr>
            <w:tcW w:w="1600" w:type="dxa"/>
            <w:vAlign w:val="top"/>
          </w:tcPr>
          <w:p>
            <w:pPr>
              <w:spacing w:before="0" w:after="0" w:line="240" w:lineRule="auto"/>
              <w:jc w:val="left"/>
            </w:pPr>
            <w:r>
              <w:rPr>
                <w:sz w:val="20"/>
                <w:szCs w:val="20"/>
              </w:rPr>
              <w:t xml:space="preserve">2025</w:t>
            </w:r>
          </w:p>
        </w:tc>
        <w:tc>
          <w:tcPr>
            <w:tcW w:w="7426" w:type="dxa"/>
            <w:vAlign w:val="top"/>
          </w:tcPr>
          <w:p>
            <w:pPr>
              <w:spacing w:before="0" w:after="0" w:line="240" w:lineRule="auto"/>
              <w:jc w:val="left"/>
            </w:pPr>
            <w:r>
              <w:rPr>
                <w:sz w:val="20"/>
                <w:szCs w:val="20"/>
              </w:rPr>
              <w:t xml:space="preserve">Marked 130 years of operation, continued its transformation under BRIvolution Reignite, and adopted the BRILiaN Way corporate culture; the state's Series B shares are now held through PT Danantara Asset Management (Persero).</w:t>
            </w:r>
          </w:p>
        </w:tc>
      </w:tr>
    </w:tbl>
    <w:p>
      <w:pPr>
        <w:spacing w:before="0" w:after="60" w:line="240" w:lineRule="auto"/>
        <w:jc w:val="both"/>
      </w:pPr>
    </w:p>
    <w:p>
      <w:pPr>
        <w:keepNext w:val="1"/>
        <w:spacing w:before="240" w:after="120" w:line="360" w:lineRule="auto"/>
        <w:jc w:val="left"/>
      </w:pPr>
      <w:r>
        <w:rPr>
          <w:b w:val="1"/>
          <w:sz w:val="24"/>
          <w:szCs w:val="24"/>
        </w:rPr>
        <w:t xml:space="preserve">2.5 Organizational Structure</w:t>
      </w:r>
    </w:p>
    <w:p>
      <w:pPr>
        <w:spacing w:before="0" w:after="120" w:line="360" w:lineRule="auto"/>
        <w:jc w:val="both"/>
      </w:pPr>
      <w:r>
        <w:rPr>
          <w:sz w:val="24"/>
          <w:szCs w:val="24"/>
        </w:rPr>
        <w:t xml:space="preserve">Figure 2.1 shows BRI's organizational structure. The General Meeting of Shareholders (Rapat Umum Pemegang Saham) is the highest authority. The Board of Commissioners (Dewan Komisaris) supervises the Board of Directors and is supported by committees for audit, nomination and remuneration, risk monitoring, and integrated governance. The President Director (Direktur Utama) leads the Board of Directors, together with the Vice President Director (Wakil Direktur Utama).</w:t>
      </w:r>
    </w:p>
    <w:p>
      <w:pPr>
        <w:keepNext/>
        <w:jc w:val="center"/>
      </w:pPr>
      <w:r>
        <w:drawing>
          <wp:inline>
            <wp:extent cx="5669280" cy="3188970"/>
            <wp:docPr id="2" name="Picture 2"/>
            <wp:cNvGraphicFramePr>
              <a:graphicFrameLocks noChangeAspect="1"/>
            </wp:cNvGraphicFramePr>
            <a:graphic>
              <a:graphicData uri="http://schemas.openxmlformats.org/drawingml/2006/picture">
                <pic:pic>
                  <pic:nvPicPr>
                    <pic:cNvPr id="0" name="bri_org.jpg"/>
                    <pic:cNvPicPr/>
                  </pic:nvPicPr>
                  <pic:blipFill>
                    <a:blip r:embed="rId8"/>
                    <a:stretch>
                      <a:fillRect/>
                    </a:stretch>
                  </pic:blipFill>
                  <pic:spPr>
                    <a:xfrm>
                      <a:off x="0" y="0"/>
                      <a:ext cx="5669280" cy="3188970"/>
                    </a:xfrm>
                    <a:prstGeom prst="rect"/>
                  </pic:spPr>
                </pic:pic>
              </a:graphicData>
            </a:graphic>
          </wp:inline>
        </w:drawing>
      </w:r>
    </w:p>
    <w:p>
      <w:pPr>
        <w:spacing w:before="60" w:after="160" w:line="240" w:lineRule="auto"/>
        <w:jc w:val="center"/>
      </w:pPr>
      <w:r>
        <w:rPr>
          <w:b w:val="1"/>
          <w:sz w:val="20"/>
          <w:szCs w:val="20"/>
        </w:rPr>
        <w:t xml:space="preserve">Figure 2.1 Organizational structure of PT Bank Rakyat Indonesia (Persero) Tbk (source: bri.co.id)</w:t>
      </w:r>
    </w:p>
    <w:p>
      <w:pPr>
        <w:spacing w:before="0" w:after="120" w:line="360" w:lineRule="auto"/>
        <w:jc w:val="both"/>
      </w:pPr>
      <w:r>
        <w:rPr>
          <w:sz w:val="24"/>
          <w:szCs w:val="24"/>
        </w:rPr>
        <w:t xml:space="preserve">Below the President Director and Vice President Director, the bank is organized into directorates: Micro, Operations, Treasury &amp; International Banking, Corporate Banking, Commercial Banking, Consumer Banking, Network &amp; Retail Funding, Information Technology, Risk Management, Human Capital &amp; Compliance, and Finance &amp; Strategy. Senior Executive Vice President (SEVP) units handle Retail Transaction &amp; Funding, Digital, Retail Risk, Wholesale Risk, Human Capital, Corporate Transformation, and Internal Audit. Directors are further supported by committees covering asset and liability management (ALCO), capital and investment, human capital, information technology, procurement, credit and policy, products, transformation, risk management, and ESG. Table 2.6 lists the members of the Board of Commissioners and Board of Directors as published on the BRI website.</w:t>
      </w:r>
    </w:p>
    <w:p>
      <w:pPr>
        <w:keepNext w:val="1"/>
        <w:spacing w:before="120" w:after="60" w:line="240" w:lineRule="auto"/>
        <w:jc w:val="center"/>
      </w:pPr>
      <w:r>
        <w:rPr>
          <w:b w:val="1"/>
          <w:sz w:val="20"/>
          <w:szCs w:val="20"/>
        </w:rPr>
        <w:t xml:space="preserve">Table 2.6 BRI Board of Commissioners and Board of Directors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3800"/>
        <w:gridCol w:w="5226"/>
      </w:tblGrid>
      <w:tr>
        <w:trPr>
          <w:tblHeader w:val="1"/>
        </w:trPr>
        <w:tc>
          <w:tcPr>
            <w:tcW w:w="3800" w:type="dxa"/>
            <w:shd w:val="clear" w:color="auto" w:fill="D9D9D9"/>
            <w:vAlign w:val="top"/>
          </w:tcPr>
          <w:p>
            <w:pPr>
              <w:spacing w:before="0" w:after="0" w:line="240" w:lineRule="auto"/>
              <w:jc w:val="left"/>
            </w:pPr>
            <w:r>
              <w:rPr>
                <w:b w:val="1"/>
                <w:sz w:val="20"/>
                <w:szCs w:val="20"/>
              </w:rPr>
              <w:t xml:space="preserve">Name</w:t>
            </w:r>
          </w:p>
        </w:tc>
        <w:tc>
          <w:tcPr>
            <w:tcW w:w="5226" w:type="dxa"/>
            <w:shd w:val="clear" w:color="auto" w:fill="D9D9D9"/>
            <w:vAlign w:val="top"/>
          </w:tcPr>
          <w:p>
            <w:pPr>
              <w:spacing w:before="0" w:after="0" w:line="240" w:lineRule="auto"/>
              <w:jc w:val="left"/>
            </w:pPr>
            <w:r>
              <w:rPr>
                <w:b w:val="1"/>
                <w:sz w:val="20"/>
                <w:szCs w:val="20"/>
              </w:rPr>
              <w:t xml:space="preserve">Position</w:t>
            </w:r>
          </w:p>
        </w:tc>
      </w:tr>
      <w:tr>
        <w:tc>
          <w:tcPr>
            <w:tcW w:w="3800" w:type="dxa"/>
            <w:vAlign w:val="top"/>
          </w:tcPr>
          <w:p>
            <w:pPr>
              <w:spacing w:before="0" w:after="0" w:line="240" w:lineRule="auto"/>
              <w:jc w:val="left"/>
            </w:pPr>
            <w:r>
              <w:rPr>
                <w:sz w:val="20"/>
                <w:szCs w:val="20"/>
              </w:rPr>
              <w:t xml:space="preserve">Kartika Wirjoatmodjo</w:t>
            </w:r>
          </w:p>
        </w:tc>
        <w:tc>
          <w:tcPr>
            <w:tcW w:w="5226" w:type="dxa"/>
            <w:vAlign w:val="top"/>
          </w:tcPr>
          <w:p>
            <w:pPr>
              <w:spacing w:before="0" w:after="0" w:line="240" w:lineRule="auto"/>
              <w:jc w:val="left"/>
            </w:pPr>
            <w:r>
              <w:rPr>
                <w:sz w:val="20"/>
                <w:szCs w:val="20"/>
              </w:rPr>
              <w:t xml:space="preserve">President Commissioner</w:t>
            </w:r>
          </w:p>
        </w:tc>
      </w:tr>
      <w:tr>
        <w:tc>
          <w:tcPr>
            <w:tcW w:w="3800" w:type="dxa"/>
            <w:vAlign w:val="top"/>
          </w:tcPr>
          <w:p>
            <w:pPr>
              <w:spacing w:before="0" w:after="0" w:line="240" w:lineRule="auto"/>
              <w:jc w:val="left"/>
            </w:pPr>
            <w:r>
              <w:rPr>
                <w:sz w:val="20"/>
                <w:szCs w:val="20"/>
              </w:rPr>
              <w:t xml:space="preserve">Parman Nataatmadja</w:t>
            </w:r>
          </w:p>
        </w:tc>
        <w:tc>
          <w:tcPr>
            <w:tcW w:w="5226" w:type="dxa"/>
            <w:vAlign w:val="top"/>
          </w:tcPr>
          <w:p>
            <w:pPr>
              <w:spacing w:before="0" w:after="0" w:line="240" w:lineRule="auto"/>
              <w:jc w:val="left"/>
            </w:pPr>
            <w:r>
              <w:rPr>
                <w:sz w:val="20"/>
                <w:szCs w:val="20"/>
              </w:rPr>
              <w:t xml:space="preserve">Vice President Commissioner / Independent Commissioner</w:t>
            </w:r>
          </w:p>
        </w:tc>
      </w:tr>
      <w:tr>
        <w:tc>
          <w:tcPr>
            <w:tcW w:w="3800" w:type="dxa"/>
            <w:vAlign w:val="top"/>
          </w:tcPr>
          <w:p>
            <w:pPr>
              <w:spacing w:before="0" w:after="0" w:line="240" w:lineRule="auto"/>
              <w:jc w:val="left"/>
            </w:pPr>
            <w:r>
              <w:rPr>
                <w:sz w:val="20"/>
                <w:szCs w:val="20"/>
              </w:rPr>
              <w:t xml:space="preserve">Awan Nurmawan Nuh</w:t>
            </w:r>
          </w:p>
        </w:tc>
        <w:tc>
          <w:tcPr>
            <w:tcW w:w="5226" w:type="dxa"/>
            <w:vAlign w:val="top"/>
          </w:tcPr>
          <w:p>
            <w:pPr>
              <w:spacing w:before="0" w:after="0" w:line="240" w:lineRule="auto"/>
              <w:jc w:val="left"/>
            </w:pPr>
            <w:r>
              <w:rPr>
                <w:sz w:val="20"/>
                <w:szCs w:val="20"/>
              </w:rPr>
              <w:t xml:space="preserve">Commissioner</w:t>
            </w:r>
          </w:p>
        </w:tc>
      </w:tr>
      <w:tr>
        <w:tc>
          <w:tcPr>
            <w:tcW w:w="3800" w:type="dxa"/>
            <w:vAlign w:val="top"/>
          </w:tcPr>
          <w:p>
            <w:pPr>
              <w:spacing w:before="0" w:after="0" w:line="240" w:lineRule="auto"/>
              <w:jc w:val="left"/>
            </w:pPr>
            <w:r>
              <w:rPr>
                <w:sz w:val="20"/>
                <w:szCs w:val="20"/>
              </w:rPr>
              <w:t xml:space="preserve">Helvi Yuni Moraza</w:t>
            </w:r>
          </w:p>
        </w:tc>
        <w:tc>
          <w:tcPr>
            <w:tcW w:w="5226" w:type="dxa"/>
            <w:vAlign w:val="top"/>
          </w:tcPr>
          <w:p>
            <w:pPr>
              <w:spacing w:before="0" w:after="0" w:line="240" w:lineRule="auto"/>
              <w:jc w:val="left"/>
            </w:pPr>
            <w:r>
              <w:rPr>
                <w:sz w:val="20"/>
                <w:szCs w:val="20"/>
              </w:rPr>
              <w:t xml:space="preserve">Commissioner</w:t>
            </w:r>
          </w:p>
        </w:tc>
      </w:tr>
      <w:tr>
        <w:tc>
          <w:tcPr>
            <w:tcW w:w="3800" w:type="dxa"/>
            <w:vAlign w:val="top"/>
          </w:tcPr>
          <w:p>
            <w:pPr>
              <w:spacing w:before="0" w:after="0" w:line="240" w:lineRule="auto"/>
              <w:jc w:val="left"/>
            </w:pPr>
            <w:r>
              <w:rPr>
                <w:sz w:val="20"/>
                <w:szCs w:val="20"/>
              </w:rPr>
              <w:t xml:space="preserve">Edi Susianto</w:t>
            </w:r>
          </w:p>
        </w:tc>
        <w:tc>
          <w:tcPr>
            <w:tcW w:w="5226" w:type="dxa"/>
            <w:vAlign w:val="top"/>
          </w:tcPr>
          <w:p>
            <w:pPr>
              <w:spacing w:before="0" w:after="0" w:line="240" w:lineRule="auto"/>
              <w:jc w:val="left"/>
            </w:pPr>
            <w:r>
              <w:rPr>
                <w:sz w:val="20"/>
                <w:szCs w:val="20"/>
              </w:rPr>
              <w:t xml:space="preserve">Independent Commissioner</w:t>
            </w:r>
          </w:p>
        </w:tc>
      </w:tr>
      <w:tr>
        <w:tc>
          <w:tcPr>
            <w:tcW w:w="3800" w:type="dxa"/>
            <w:vAlign w:val="top"/>
          </w:tcPr>
          <w:p>
            <w:pPr>
              <w:spacing w:before="0" w:after="0" w:line="240" w:lineRule="auto"/>
              <w:jc w:val="left"/>
            </w:pPr>
            <w:r>
              <w:rPr>
                <w:sz w:val="20"/>
                <w:szCs w:val="20"/>
              </w:rPr>
              <w:t xml:space="preserve">Lukmanul Khakim</w:t>
            </w:r>
          </w:p>
        </w:tc>
        <w:tc>
          <w:tcPr>
            <w:tcW w:w="5226" w:type="dxa"/>
            <w:vAlign w:val="top"/>
          </w:tcPr>
          <w:p>
            <w:pPr>
              <w:spacing w:before="0" w:after="0" w:line="240" w:lineRule="auto"/>
              <w:jc w:val="left"/>
            </w:pPr>
            <w:r>
              <w:rPr>
                <w:sz w:val="20"/>
                <w:szCs w:val="20"/>
              </w:rPr>
              <w:t xml:space="preserve">Independent Commissioner</w:t>
            </w:r>
          </w:p>
        </w:tc>
      </w:tr>
      <w:tr>
        <w:tc>
          <w:tcPr>
            <w:tcW w:w="3800" w:type="dxa"/>
            <w:vAlign w:val="top"/>
          </w:tcPr>
          <w:p>
            <w:pPr>
              <w:spacing w:before="0" w:after="0" w:line="240" w:lineRule="auto"/>
              <w:jc w:val="left"/>
            </w:pPr>
            <w:r>
              <w:rPr>
                <w:sz w:val="20"/>
                <w:szCs w:val="20"/>
              </w:rPr>
              <w:t xml:space="preserve">Hery Gunardi</w:t>
            </w:r>
          </w:p>
        </w:tc>
        <w:tc>
          <w:tcPr>
            <w:tcW w:w="5226" w:type="dxa"/>
            <w:vAlign w:val="top"/>
          </w:tcPr>
          <w:p>
            <w:pPr>
              <w:spacing w:before="0" w:after="0" w:line="240" w:lineRule="auto"/>
              <w:jc w:val="left"/>
            </w:pPr>
            <w:r>
              <w:rPr>
                <w:sz w:val="20"/>
                <w:szCs w:val="20"/>
              </w:rPr>
              <w:t xml:space="preserve">President Director</w:t>
            </w:r>
          </w:p>
        </w:tc>
      </w:tr>
      <w:tr>
        <w:tc>
          <w:tcPr>
            <w:tcW w:w="3800" w:type="dxa"/>
            <w:vAlign w:val="top"/>
          </w:tcPr>
          <w:p>
            <w:pPr>
              <w:spacing w:before="0" w:after="0" w:line="240" w:lineRule="auto"/>
              <w:jc w:val="left"/>
            </w:pPr>
            <w:r>
              <w:rPr>
                <w:sz w:val="20"/>
                <w:szCs w:val="20"/>
              </w:rPr>
              <w:t xml:space="preserve">Viviana Dyah Ayu Retno</w:t>
            </w:r>
          </w:p>
        </w:tc>
        <w:tc>
          <w:tcPr>
            <w:tcW w:w="5226" w:type="dxa"/>
            <w:vAlign w:val="top"/>
          </w:tcPr>
          <w:p>
            <w:pPr>
              <w:spacing w:before="0" w:after="0" w:line="240" w:lineRule="auto"/>
              <w:jc w:val="left"/>
            </w:pPr>
            <w:r>
              <w:rPr>
                <w:sz w:val="20"/>
                <w:szCs w:val="20"/>
              </w:rPr>
              <w:t xml:space="preserve">Vice President Director</w:t>
            </w:r>
          </w:p>
        </w:tc>
      </w:tr>
      <w:tr>
        <w:tc>
          <w:tcPr>
            <w:tcW w:w="3800" w:type="dxa"/>
            <w:vAlign w:val="top"/>
          </w:tcPr>
          <w:p>
            <w:pPr>
              <w:spacing w:before="0" w:after="0" w:line="240" w:lineRule="auto"/>
              <w:jc w:val="left"/>
            </w:pPr>
            <w:r>
              <w:rPr>
                <w:sz w:val="20"/>
                <w:szCs w:val="20"/>
              </w:rPr>
              <w:t xml:space="preserve">Achmad Royadi</w:t>
            </w:r>
          </w:p>
        </w:tc>
        <w:tc>
          <w:tcPr>
            <w:tcW w:w="5226" w:type="dxa"/>
            <w:vAlign w:val="top"/>
          </w:tcPr>
          <w:p>
            <w:pPr>
              <w:spacing w:before="0" w:after="0" w:line="240" w:lineRule="auto"/>
              <w:jc w:val="left"/>
            </w:pPr>
            <w:r>
              <w:rPr>
                <w:sz w:val="20"/>
                <w:szCs w:val="20"/>
              </w:rPr>
              <w:t xml:space="preserve">Director of Finance &amp; Strategy</w:t>
            </w:r>
          </w:p>
        </w:tc>
      </w:tr>
      <w:tr>
        <w:tc>
          <w:tcPr>
            <w:tcW w:w="3800" w:type="dxa"/>
            <w:vAlign w:val="top"/>
          </w:tcPr>
          <w:p>
            <w:pPr>
              <w:spacing w:before="0" w:after="0" w:line="240" w:lineRule="auto"/>
              <w:jc w:val="left"/>
            </w:pPr>
            <w:r>
              <w:rPr>
                <w:sz w:val="20"/>
                <w:szCs w:val="20"/>
              </w:rPr>
              <w:t xml:space="preserve">Aquarius Rudianto</w:t>
            </w:r>
          </w:p>
        </w:tc>
        <w:tc>
          <w:tcPr>
            <w:tcW w:w="5226" w:type="dxa"/>
            <w:vAlign w:val="top"/>
          </w:tcPr>
          <w:p>
            <w:pPr>
              <w:spacing w:before="0" w:after="0" w:line="240" w:lineRule="auto"/>
              <w:jc w:val="left"/>
            </w:pPr>
            <w:r>
              <w:rPr>
                <w:sz w:val="20"/>
                <w:szCs w:val="20"/>
              </w:rPr>
              <w:t xml:space="preserve">Director of Network and Retail Funding</w:t>
            </w:r>
          </w:p>
        </w:tc>
      </w:tr>
      <w:tr>
        <w:tc>
          <w:tcPr>
            <w:tcW w:w="3800" w:type="dxa"/>
            <w:vAlign w:val="top"/>
          </w:tcPr>
          <w:p>
            <w:pPr>
              <w:spacing w:before="0" w:after="0" w:line="240" w:lineRule="auto"/>
              <w:jc w:val="left"/>
            </w:pPr>
            <w:r>
              <w:rPr>
                <w:sz w:val="20"/>
                <w:szCs w:val="20"/>
              </w:rPr>
              <w:t xml:space="preserve">Alexander Dippo Paris Y. S.</w:t>
            </w:r>
          </w:p>
        </w:tc>
        <w:tc>
          <w:tcPr>
            <w:tcW w:w="5226" w:type="dxa"/>
            <w:vAlign w:val="top"/>
          </w:tcPr>
          <w:p>
            <w:pPr>
              <w:spacing w:before="0" w:after="0" w:line="240" w:lineRule="auto"/>
              <w:jc w:val="left"/>
            </w:pPr>
            <w:r>
              <w:rPr>
                <w:sz w:val="20"/>
                <w:szCs w:val="20"/>
              </w:rPr>
              <w:t xml:space="preserve">Director of Commercial Banking</w:t>
            </w:r>
          </w:p>
        </w:tc>
      </w:tr>
      <w:tr>
        <w:tc>
          <w:tcPr>
            <w:tcW w:w="3800" w:type="dxa"/>
            <w:vAlign w:val="top"/>
          </w:tcPr>
          <w:p>
            <w:pPr>
              <w:spacing w:before="0" w:after="0" w:line="240" w:lineRule="auto"/>
              <w:jc w:val="left"/>
            </w:pPr>
            <w:r>
              <w:rPr>
                <w:sz w:val="20"/>
                <w:szCs w:val="20"/>
              </w:rPr>
              <w:t xml:space="preserve">Saladin Dharma Nugraha Effendi</w:t>
            </w:r>
          </w:p>
        </w:tc>
        <w:tc>
          <w:tcPr>
            <w:tcW w:w="5226" w:type="dxa"/>
            <w:vAlign w:val="top"/>
          </w:tcPr>
          <w:p>
            <w:pPr>
              <w:spacing w:before="0" w:after="0" w:line="240" w:lineRule="auto"/>
              <w:jc w:val="left"/>
            </w:pPr>
            <w:r>
              <w:rPr>
                <w:sz w:val="20"/>
                <w:szCs w:val="20"/>
              </w:rPr>
              <w:t xml:space="preserve">Director of Information Technology</w:t>
            </w:r>
          </w:p>
        </w:tc>
      </w:tr>
      <w:tr>
        <w:tc>
          <w:tcPr>
            <w:tcW w:w="3800" w:type="dxa"/>
            <w:vAlign w:val="top"/>
          </w:tcPr>
          <w:p>
            <w:pPr>
              <w:spacing w:before="0" w:after="0" w:line="240" w:lineRule="auto"/>
              <w:jc w:val="left"/>
            </w:pPr>
            <w:r>
              <w:rPr>
                <w:sz w:val="20"/>
                <w:szCs w:val="20"/>
              </w:rPr>
              <w:t xml:space="preserve">Riko Tasmaya</w:t>
            </w:r>
          </w:p>
        </w:tc>
        <w:tc>
          <w:tcPr>
            <w:tcW w:w="5226" w:type="dxa"/>
            <w:vAlign w:val="top"/>
          </w:tcPr>
          <w:p>
            <w:pPr>
              <w:spacing w:before="0" w:after="0" w:line="240" w:lineRule="auto"/>
              <w:jc w:val="left"/>
            </w:pPr>
            <w:r>
              <w:rPr>
                <w:sz w:val="20"/>
                <w:szCs w:val="20"/>
              </w:rPr>
              <w:t xml:space="preserve">Director of Corporate Banking</w:t>
            </w:r>
          </w:p>
        </w:tc>
      </w:tr>
      <w:tr>
        <w:tc>
          <w:tcPr>
            <w:tcW w:w="3800" w:type="dxa"/>
            <w:vAlign w:val="top"/>
          </w:tcPr>
          <w:p>
            <w:pPr>
              <w:spacing w:before="0" w:after="0" w:line="240" w:lineRule="auto"/>
              <w:jc w:val="left"/>
            </w:pPr>
            <w:r>
              <w:rPr>
                <w:sz w:val="20"/>
                <w:szCs w:val="20"/>
              </w:rPr>
              <w:t xml:space="preserve">Hakim Putratama</w:t>
            </w:r>
          </w:p>
        </w:tc>
        <w:tc>
          <w:tcPr>
            <w:tcW w:w="5226" w:type="dxa"/>
            <w:vAlign w:val="top"/>
          </w:tcPr>
          <w:p>
            <w:pPr>
              <w:spacing w:before="0" w:after="0" w:line="240" w:lineRule="auto"/>
              <w:jc w:val="left"/>
            </w:pPr>
            <w:r>
              <w:rPr>
                <w:sz w:val="20"/>
                <w:szCs w:val="20"/>
              </w:rPr>
              <w:t xml:space="preserve">Director of Operations</w:t>
            </w:r>
          </w:p>
        </w:tc>
      </w:tr>
      <w:tr>
        <w:tc>
          <w:tcPr>
            <w:tcW w:w="3800" w:type="dxa"/>
            <w:vAlign w:val="top"/>
          </w:tcPr>
          <w:p>
            <w:pPr>
              <w:spacing w:before="0" w:after="0" w:line="240" w:lineRule="auto"/>
              <w:jc w:val="left"/>
            </w:pPr>
            <w:r>
              <w:rPr>
                <w:sz w:val="20"/>
                <w:szCs w:val="20"/>
              </w:rPr>
              <w:t xml:space="preserve">Akhmad Purwakajaya</w:t>
            </w:r>
          </w:p>
        </w:tc>
        <w:tc>
          <w:tcPr>
            <w:tcW w:w="5226" w:type="dxa"/>
            <w:vAlign w:val="top"/>
          </w:tcPr>
          <w:p>
            <w:pPr>
              <w:spacing w:before="0" w:after="0" w:line="240" w:lineRule="auto"/>
              <w:jc w:val="left"/>
            </w:pPr>
            <w:r>
              <w:rPr>
                <w:sz w:val="20"/>
                <w:szCs w:val="20"/>
              </w:rPr>
              <w:t xml:space="preserve">Director of Micro</w:t>
            </w:r>
          </w:p>
        </w:tc>
      </w:tr>
      <w:tr>
        <w:tc>
          <w:tcPr>
            <w:tcW w:w="3800" w:type="dxa"/>
            <w:vAlign w:val="top"/>
          </w:tcPr>
          <w:p>
            <w:pPr>
              <w:spacing w:before="0" w:after="0" w:line="240" w:lineRule="auto"/>
              <w:jc w:val="left"/>
            </w:pPr>
            <w:r>
              <w:rPr>
                <w:sz w:val="20"/>
                <w:szCs w:val="20"/>
              </w:rPr>
              <w:t xml:space="preserve">Farida Thamrin</w:t>
            </w:r>
          </w:p>
        </w:tc>
        <w:tc>
          <w:tcPr>
            <w:tcW w:w="5226" w:type="dxa"/>
            <w:vAlign w:val="top"/>
          </w:tcPr>
          <w:p>
            <w:pPr>
              <w:spacing w:before="0" w:after="0" w:line="240" w:lineRule="auto"/>
              <w:jc w:val="left"/>
            </w:pPr>
            <w:r>
              <w:rPr>
                <w:sz w:val="20"/>
                <w:szCs w:val="20"/>
              </w:rPr>
              <w:t xml:space="preserve">Director of Treasury and International Banking</w:t>
            </w:r>
          </w:p>
        </w:tc>
      </w:tr>
      <w:tr>
        <w:tc>
          <w:tcPr>
            <w:tcW w:w="3800" w:type="dxa"/>
            <w:vAlign w:val="top"/>
          </w:tcPr>
          <w:p>
            <w:pPr>
              <w:spacing w:before="0" w:after="0" w:line="240" w:lineRule="auto"/>
              <w:jc w:val="left"/>
            </w:pPr>
            <w:r>
              <w:rPr>
                <w:sz w:val="20"/>
                <w:szCs w:val="20"/>
              </w:rPr>
              <w:t xml:space="preserve">Ety Yuniarti</w:t>
            </w:r>
          </w:p>
        </w:tc>
        <w:tc>
          <w:tcPr>
            <w:tcW w:w="5226" w:type="dxa"/>
            <w:vAlign w:val="top"/>
          </w:tcPr>
          <w:p>
            <w:pPr>
              <w:spacing w:before="0" w:after="0" w:line="240" w:lineRule="auto"/>
              <w:jc w:val="left"/>
            </w:pPr>
            <w:r>
              <w:rPr>
                <w:sz w:val="20"/>
                <w:szCs w:val="20"/>
              </w:rPr>
              <w:t xml:space="preserve">Director of Risk Management</w:t>
            </w:r>
          </w:p>
        </w:tc>
      </w:tr>
      <w:tr>
        <w:tc>
          <w:tcPr>
            <w:tcW w:w="3800" w:type="dxa"/>
            <w:vAlign w:val="top"/>
          </w:tcPr>
          <w:p>
            <w:pPr>
              <w:spacing w:before="0" w:after="0" w:line="240" w:lineRule="auto"/>
              <w:jc w:val="left"/>
            </w:pPr>
            <w:r>
              <w:rPr>
                <w:sz w:val="20"/>
                <w:szCs w:val="20"/>
              </w:rPr>
              <w:t xml:space="preserve">Aris Hartanto</w:t>
            </w:r>
          </w:p>
        </w:tc>
        <w:tc>
          <w:tcPr>
            <w:tcW w:w="5226" w:type="dxa"/>
            <w:vAlign w:val="top"/>
          </w:tcPr>
          <w:p>
            <w:pPr>
              <w:spacing w:before="0" w:after="0" w:line="240" w:lineRule="auto"/>
              <w:jc w:val="left"/>
            </w:pPr>
            <w:r>
              <w:rPr>
                <w:sz w:val="20"/>
                <w:szCs w:val="20"/>
              </w:rPr>
              <w:t xml:space="preserve">Director of Consumer Banking</w:t>
            </w:r>
          </w:p>
        </w:tc>
      </w:tr>
      <w:tr>
        <w:tc>
          <w:tcPr>
            <w:tcW w:w="3800" w:type="dxa"/>
            <w:vAlign w:val="top"/>
          </w:tcPr>
          <w:p>
            <w:pPr>
              <w:spacing w:before="0" w:after="0" w:line="240" w:lineRule="auto"/>
              <w:jc w:val="left"/>
            </w:pPr>
            <w:r>
              <w:rPr>
                <w:sz w:val="20"/>
                <w:szCs w:val="20"/>
              </w:rPr>
              <w:t xml:space="preserve">Mahdi Yusuf</w:t>
            </w:r>
          </w:p>
        </w:tc>
        <w:tc>
          <w:tcPr>
            <w:tcW w:w="5226" w:type="dxa"/>
            <w:vAlign w:val="top"/>
          </w:tcPr>
          <w:p>
            <w:pPr>
              <w:spacing w:before="0" w:after="0" w:line="240" w:lineRule="auto"/>
              <w:jc w:val="left"/>
            </w:pPr>
            <w:r>
              <w:rPr>
                <w:sz w:val="20"/>
                <w:szCs w:val="20"/>
              </w:rPr>
              <w:t xml:space="preserve">Director of Legal &amp; Compliance</w:t>
            </w:r>
          </w:p>
        </w:tc>
      </w:tr>
    </w:tbl>
    <w:p>
      <w:pPr>
        <w:spacing w:before="0" w:after="60" w:line="240" w:lineRule="auto"/>
        <w:jc w:val="both"/>
      </w:pPr>
    </w:p>
    <w:p>
      <w:pPr>
        <w:keepNext w:val="1"/>
        <w:spacing w:before="240" w:after="120" w:line="360" w:lineRule="auto"/>
        <w:jc w:val="left"/>
      </w:pPr>
      <w:r>
        <w:rPr>
          <w:b w:val="1"/>
          <w:sz w:val="24"/>
          <w:szCs w:val="24"/>
        </w:rPr>
        <w:t xml:space="preserve">2.6 Internship Placement: Regional Office Malang</w:t>
      </w:r>
    </w:p>
    <w:p>
      <w:pPr>
        <w:spacing w:before="0" w:after="120" w:line="360" w:lineRule="auto"/>
        <w:jc w:val="both"/>
      </w:pPr>
      <w:r>
        <w:rPr>
          <w:sz w:val="24"/>
          <w:szCs w:val="24"/>
        </w:rPr>
        <w:t xml:space="preserve">BRI's domestic network is managed through 18 regional offices (Kantor Wilayah), eight of them in Java. The internship took place at the Regional Office (Kantor Wilayah) Malang, which oversees 25 branch offices in East Java: Banyuwangi, Batu, Blitar, Bondowoso, Genteng, Jember, Kediri, Kepanjen, Lumajang, Madiun, Magetan, Malang Kawi, Malang Marthadinata, Malang Soekarno Hatta, Malang Sutoyo, Nganjuk, Ngawi, Pacitan, Pare, Pasuruan, Ponorogo, Probolinggo, Situbondo, Trenggalek, and Tulungagung. The regional office coordinates and monitors the performance of these branches, and relies on recurring reports and internal systems to do so. During the internship I worked with two of its divisions: the IT division, which manages the office's IT devices and systems, and the RTB division, which prepares the regional performance reports for the branch network. The work done for each division is described in Chapter 3.</w:t>
      </w:r>
    </w:p>
    <w:p w:rsidR="00000000" w:rsidDel="00000000" w:rsidP="00000000" w:rsidRDefault="00000000" w:rsidRPr="00000000" w14:paraId="0000001A">
      <w:pPr>
        <w:rPr>
          <w:b w:val="1"/>
          <w:sz w:val="28"/>
          <w:szCs w:val="28"/>
        </w:rPr>
      </w:pPr>
      <w:r w:rsidDel="00000000" w:rsidR="00000000" w:rsidRPr="00000000">
        <w:rPr>
          <w:rtl w:val="0"/>
        </w:rPr>
      </w:r>
    </w:p>
    <w:p w:rsidR="00000000" w:rsidDel="00000000" w:rsidP="00000000" w:rsidRDefault="00000000" w:rsidRPr="00000000" w14:paraId="0000001B">
      <w:pPr>
        <w:rPr>
          <w:b w:val="1"/>
          <w:sz w:val="28"/>
          <w:szCs w:val="28"/>
        </w:rPr>
      </w:pPr>
      <w:r w:rsidDel="00000000" w:rsidR="00000000" w:rsidRPr="00000000">
        <w:rPr>
          <w:b w:val="1"/>
          <w:sz w:val="28"/>
          <w:szCs w:val="28"/>
          <w:rtl w:val="0"/>
        </w:rPr>
        <w:t xml:space="preserve">Chapter 3. INTERNSHIP ACTIVITY</w:t>
      </w:r>
    </w:p>
    <w:p>
      <w:pPr>
        <w:spacing w:before="0" w:after="120" w:line="360" w:lineRule="auto"/>
        <w:jc w:val="both"/>
      </w:pPr>
      <w:r>
        <w:rPr>
          <w:sz w:val="24"/>
          <w:szCs w:val="24"/>
        </w:rPr>
        <w:t xml:space="preserve">My internship involved a range of tasks. This chapter covers two of them: software projects I worked on for two different divisions. They are grouped by the division each project served. Section 3.1 covers the IT asset management system built for the IT division, and Section 3.2 covers the Excel report automation tool built for the RTB division. The technical design of both systems is described in Chapter 5.</w:t>
      </w:r>
    </w:p>
    <w:p>
      <w:pPr>
        <w:keepNext w:val="1"/>
        <w:spacing w:before="240" w:after="120" w:line="360" w:lineRule="auto"/>
        <w:jc w:val="left"/>
      </w:pPr>
      <w:r>
        <w:rPr>
          <w:b w:val="1"/>
          <w:sz w:val="24"/>
          <w:szCs w:val="24"/>
        </w:rPr>
        <w:t xml:space="preserve">3.1 IT Division: Perangkat IT Asset Management System</w:t>
      </w:r>
    </w:p>
    <w:p>
      <w:pPr>
        <w:keepNext w:val="1"/>
        <w:spacing w:before="120" w:after="60" w:line="360" w:lineRule="auto"/>
        <w:jc w:val="left"/>
      </w:pPr>
      <w:r>
        <w:rPr>
          <w:b w:val="1"/>
          <w:i w:val="1"/>
          <w:sz w:val="24"/>
          <w:szCs w:val="24"/>
        </w:rPr>
        <w:t xml:space="preserve">3.1.1 Assignment Overview</w:t>
      </w:r>
    </w:p>
    <w:p>
      <w:pPr>
        <w:spacing w:before="0" w:after="120" w:line="360" w:lineRule="auto"/>
        <w:jc w:val="both"/>
      </w:pPr>
      <w:r>
        <w:rPr>
          <w:sz w:val="24"/>
          <w:szCs w:val="24"/>
        </w:rPr>
        <w:t xml:space="preserve">The IT division keeps records of the company's IT devices (PCs, laptops, and printers). For each device it tracks which employee holds it, its current status (in use, under maintenance, in storage, or set aside for auction), and the handover documents behind each assignment. The division already had an internal web application for this called Perangkat IT ("IT devices"). It used React for the user interface, Express (Node.js) for the server, and PostgreSQL for the database.</w:t>
      </w:r>
    </w:p>
    <w:p>
      <w:pPr>
        <w:spacing w:before="0" w:after="120" w:line="360" w:lineRule="auto"/>
        <w:jc w:val="both"/>
      </w:pPr>
      <w:r>
        <w:rPr>
          <w:sz w:val="24"/>
          <w:szCs w:val="24"/>
        </w:rPr>
        <w:t xml:space="preserve">The application handled basic data entry, but it was not safe or reliable enough for everyday use. Login tokens were kept in the browser's localStorage, most data could be read without logging in, any website was allowed to call the API, uploaded handover documents could be downloaded by anyone who knew the link, and there were no automated tests. My assignment was to make the application dependable enough for the division to use, without changing its business rules or its existing database schema. Once that was done, I added two features the division requested: an in-app data backup, and a separate, limited view for ordinary employees.</w:t>
      </w:r>
    </w:p>
    <w:p>
      <w:pPr>
        <w:keepNext w:val="1"/>
        <w:spacing w:before="120" w:after="60" w:line="360" w:lineRule="auto"/>
        <w:jc w:val="left"/>
      </w:pPr>
      <w:r>
        <w:rPr>
          <w:b w:val="1"/>
          <w:i w:val="1"/>
          <w:sz w:val="24"/>
          <w:szCs w:val="24"/>
        </w:rPr>
        <w:t xml:space="preserve">3.1.2 Activities</w:t>
      </w:r>
    </w:p>
    <w:p>
      <w:pPr>
        <w:spacing w:before="0" w:after="120" w:line="360" w:lineRule="auto"/>
        <w:jc w:val="both"/>
      </w:pPr>
      <w:r>
        <w:rPr>
          <w:sz w:val="24"/>
          <w:szCs w:val="24"/>
        </w:rPr>
        <w:t xml:space="preserve">I split the work into phases. Each phase had a written plan, a list of exit criteria, and a full test run before the next phase started. Table 3.1 summarises the phases.</w:t>
      </w:r>
    </w:p>
    <w:p>
      <w:pPr>
        <w:keepNext w:val="1"/>
        <w:spacing w:before="120" w:after="60" w:line="240" w:lineRule="auto"/>
        <w:jc w:val="center"/>
      </w:pPr>
      <w:r>
        <w:rPr>
          <w:b w:val="1"/>
          <w:sz w:val="20"/>
          <w:szCs w:val="20"/>
        </w:rPr>
        <w:t xml:space="preserve">Table 3.1 Activities carried out for the IT division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1900"/>
        <w:gridCol w:w="4826"/>
        <w:gridCol w:w="2300"/>
      </w:tblGrid>
      <w:tr>
        <w:trPr>
          <w:tblHeader w:val="1"/>
        </w:trPr>
        <w:tc>
          <w:tcPr>
            <w:tcW w:w="1900" w:type="dxa"/>
            <w:shd w:val="clear" w:color="auto" w:fill="D9D9D9"/>
            <w:vAlign w:val="top"/>
          </w:tcPr>
          <w:p>
            <w:pPr>
              <w:spacing w:before="0" w:after="0" w:line="240" w:lineRule="auto"/>
              <w:jc w:val="left"/>
            </w:pPr>
            <w:r>
              <w:rPr>
                <w:b w:val="1"/>
                <w:sz w:val="20"/>
                <w:szCs w:val="20"/>
              </w:rPr>
              <w:t xml:space="preserve">Phase</w:t>
            </w:r>
          </w:p>
        </w:tc>
        <w:tc>
          <w:tcPr>
            <w:tcW w:w="4826" w:type="dxa"/>
            <w:shd w:val="clear" w:color="auto" w:fill="D9D9D9"/>
            <w:vAlign w:val="top"/>
          </w:tcPr>
          <w:p>
            <w:pPr>
              <w:spacing w:before="0" w:after="0" w:line="240" w:lineRule="auto"/>
              <w:jc w:val="left"/>
            </w:pPr>
            <w:r>
              <w:rPr>
                <w:b w:val="1"/>
                <w:sz w:val="20"/>
                <w:szCs w:val="20"/>
              </w:rPr>
              <w:t xml:space="preserve">Activity</w:t>
            </w:r>
          </w:p>
        </w:tc>
        <w:tc>
          <w:tcPr>
            <w:tcW w:w="2300" w:type="dxa"/>
            <w:shd w:val="clear" w:color="auto" w:fill="D9D9D9"/>
            <w:vAlign w:val="top"/>
          </w:tcPr>
          <w:p>
            <w:pPr>
              <w:spacing w:before="0" w:after="0" w:line="240" w:lineRule="auto"/>
              <w:jc w:val="left"/>
            </w:pPr>
            <w:r>
              <w:rPr>
                <w:b w:val="1"/>
                <w:sz w:val="20"/>
                <w:szCs w:val="20"/>
              </w:rPr>
              <w:t xml:space="preserve">Output</w:t>
            </w:r>
          </w:p>
        </w:tc>
      </w:tr>
      <w:tr>
        <w:tc>
          <w:tcPr>
            <w:tcW w:w="1900" w:type="dxa"/>
            <w:vAlign w:val="top"/>
          </w:tcPr>
          <w:p>
            <w:pPr>
              <w:spacing w:before="0" w:after="0" w:line="240" w:lineRule="auto"/>
              <w:jc w:val="left"/>
            </w:pPr>
            <w:r>
              <w:rPr>
                <w:sz w:val="20"/>
                <w:szCs w:val="20"/>
              </w:rPr>
              <w:t xml:space="preserve">0. Preparation</w:t>
            </w:r>
          </w:p>
        </w:tc>
        <w:tc>
          <w:tcPr>
            <w:tcW w:w="4826" w:type="dxa"/>
            <w:vAlign w:val="top"/>
          </w:tcPr>
          <w:p>
            <w:pPr>
              <w:spacing w:before="0" w:after="0" w:line="240" w:lineRule="auto"/>
              <w:jc w:val="left"/>
            </w:pPr>
            <w:r>
              <w:rPr>
                <w:sz w:val="20"/>
                <w:szCs w:val="20"/>
              </w:rPr>
              <w:t xml:space="preserve">Set up PostgreSQL locally, restored the existing database, mapped the codebase, and wrote a technical design document (TDD) describing the current and target state.</w:t>
            </w:r>
          </w:p>
        </w:tc>
        <w:tc>
          <w:tcPr>
            <w:tcW w:w="2300" w:type="dxa"/>
            <w:vAlign w:val="top"/>
          </w:tcPr>
          <w:p>
            <w:pPr>
              <w:spacing w:before="0" w:after="0" w:line="240" w:lineRule="auto"/>
              <w:jc w:val="left"/>
            </w:pPr>
            <w:r>
              <w:rPr>
                <w:sz w:val="20"/>
                <w:szCs w:val="20"/>
              </w:rPr>
              <w:t xml:space="preserve">Working local environment; TDD</w:t>
            </w:r>
          </w:p>
        </w:tc>
      </w:tr>
      <w:tr>
        <w:tc>
          <w:tcPr>
            <w:tcW w:w="1900" w:type="dxa"/>
            <w:vAlign w:val="top"/>
          </w:tcPr>
          <w:p>
            <w:pPr>
              <w:spacing w:before="0" w:after="0" w:line="240" w:lineRule="auto"/>
              <w:jc w:val="left"/>
            </w:pPr>
            <w:r>
              <w:rPr>
                <w:sz w:val="20"/>
                <w:szCs w:val="20"/>
              </w:rPr>
              <w:t xml:space="preserve">1. Security foundation</w:t>
            </w:r>
          </w:p>
        </w:tc>
        <w:tc>
          <w:tcPr>
            <w:tcW w:w="4826" w:type="dxa"/>
            <w:vAlign w:val="top"/>
          </w:tcPr>
          <w:p>
            <w:pPr>
              <w:spacing w:before="0" w:after="0" w:line="240" w:lineRule="auto"/>
              <w:jc w:val="left"/>
            </w:pPr>
            <w:r>
              <w:rPr>
                <w:sz w:val="20"/>
                <w:szCs w:val="20"/>
              </w:rPr>
              <w:t xml:space="preserve">Moved the login token into an httpOnly cookie, required login on every API route, restricted all data changes to administrators, limited which websites may call the API, added security headers and request rate limiting, and served uploaded documents only to logged-in users.</w:t>
            </w:r>
          </w:p>
        </w:tc>
        <w:tc>
          <w:tcPr>
            <w:tcW w:w="2300" w:type="dxa"/>
            <w:vAlign w:val="top"/>
          </w:tcPr>
          <w:p>
            <w:pPr>
              <w:spacing w:before="0" w:after="0" w:line="240" w:lineRule="auto"/>
              <w:jc w:val="left"/>
            </w:pPr>
            <w:r>
              <w:rPr>
                <w:sz w:val="20"/>
                <w:szCs w:val="20"/>
              </w:rPr>
              <w:t xml:space="preserve">Closed the main security gaps without changing business rules</w:t>
            </w:r>
          </w:p>
        </w:tc>
      </w:tr>
      <w:tr>
        <w:tc>
          <w:tcPr>
            <w:tcW w:w="1900" w:type="dxa"/>
            <w:vAlign w:val="top"/>
          </w:tcPr>
          <w:p>
            <w:pPr>
              <w:spacing w:before="0" w:after="0" w:line="240" w:lineRule="auto"/>
              <w:jc w:val="left"/>
            </w:pPr>
            <w:r>
              <w:rPr>
                <w:sz w:val="20"/>
                <w:szCs w:val="20"/>
              </w:rPr>
              <w:t xml:space="preserve">2. Testing and code structure</w:t>
            </w:r>
          </w:p>
        </w:tc>
        <w:tc>
          <w:tcPr>
            <w:tcW w:w="4826" w:type="dxa"/>
            <w:vAlign w:val="top"/>
          </w:tcPr>
          <w:p>
            <w:pPr>
              <w:spacing w:before="0" w:after="0" w:line="240" w:lineRule="auto"/>
              <w:jc w:val="left"/>
            </w:pPr>
            <w:r>
              <w:rPr>
                <w:sz w:val="20"/>
                <w:szCs w:val="20"/>
              </w:rPr>
              <w:t xml:space="preserve">Built an automated backend test suite against a real test database and reorganised the backend so that business rules and SQL queries live in separate service and repository layers.</w:t>
            </w:r>
          </w:p>
        </w:tc>
        <w:tc>
          <w:tcPr>
            <w:tcW w:w="2300" w:type="dxa"/>
            <w:vAlign w:val="top"/>
          </w:tcPr>
          <w:p>
            <w:pPr>
              <w:spacing w:before="0" w:after="0" w:line="240" w:lineRule="auto"/>
              <w:jc w:val="left"/>
            </w:pPr>
            <w:r>
              <w:rPr>
                <w:sz w:val="20"/>
                <w:szCs w:val="20"/>
              </w:rPr>
              <w:t xml:space="preserve">Repeatable tests; clearer code layers</w:t>
            </w:r>
          </w:p>
        </w:tc>
      </w:tr>
      <w:tr>
        <w:tc>
          <w:tcPr>
            <w:tcW w:w="1900" w:type="dxa"/>
            <w:vAlign w:val="top"/>
          </w:tcPr>
          <w:p>
            <w:pPr>
              <w:spacing w:before="0" w:after="0" w:line="240" w:lineRule="auto"/>
              <w:jc w:val="left"/>
            </w:pPr>
            <w:r>
              <w:rPr>
                <w:sz w:val="20"/>
                <w:szCs w:val="20"/>
              </w:rPr>
              <w:t xml:space="preserve">3. Presentation polish</w:t>
            </w:r>
          </w:p>
        </w:tc>
        <w:tc>
          <w:tcPr>
            <w:tcW w:w="4826" w:type="dxa"/>
            <w:vAlign w:val="top"/>
          </w:tcPr>
          <w:p>
            <w:pPr>
              <w:spacing w:before="0" w:after="0" w:line="240" w:lineRule="auto"/>
              <w:jc w:val="left"/>
            </w:pPr>
            <w:r>
              <w:rPr>
                <w:sz w:val="20"/>
                <w:szCs w:val="20"/>
              </w:rPr>
              <w:t xml:space="preserve">Made the layout work on smaller screens (sidebar drawer, menu button), added loading placeholders, form validation, and consistent error messages.</w:t>
            </w:r>
          </w:p>
        </w:tc>
        <w:tc>
          <w:tcPr>
            <w:tcW w:w="2300" w:type="dxa"/>
            <w:vAlign w:val="top"/>
          </w:tcPr>
          <w:p>
            <w:pPr>
              <w:spacing w:before="0" w:after="0" w:line="240" w:lineRule="auto"/>
              <w:jc w:val="left"/>
            </w:pPr>
            <w:r>
              <w:rPr>
                <w:sz w:val="20"/>
                <w:szCs w:val="20"/>
              </w:rPr>
              <w:t xml:space="preserve">Usable interface on large and small screens</w:t>
            </w:r>
          </w:p>
        </w:tc>
      </w:tr>
      <w:tr>
        <w:tc>
          <w:tcPr>
            <w:tcW w:w="1900" w:type="dxa"/>
            <w:vAlign w:val="top"/>
          </w:tcPr>
          <w:p>
            <w:pPr>
              <w:spacing w:before="0" w:after="0" w:line="240" w:lineRule="auto"/>
              <w:jc w:val="left"/>
            </w:pPr>
            <w:r>
              <w:rPr>
                <w:sz w:val="20"/>
                <w:szCs w:val="20"/>
              </w:rPr>
              <w:t xml:space="preserve">4. Failure handling</w:t>
            </w:r>
          </w:p>
        </w:tc>
        <w:tc>
          <w:tcPr>
            <w:tcW w:w="4826" w:type="dxa"/>
            <w:vAlign w:val="top"/>
          </w:tcPr>
          <w:p>
            <w:pPr>
              <w:spacing w:before="0" w:after="0" w:line="240" w:lineRule="auto"/>
              <w:jc w:val="left"/>
            </w:pPr>
            <w:r>
              <w:rPr>
                <w:sz w:val="20"/>
                <w:szCs w:val="20"/>
              </w:rPr>
              <w:t xml:space="preserve">Turned database errors (such as duplicate or still-referenced records) into clear messages, added structured server logs and health checks.</w:t>
            </w:r>
          </w:p>
        </w:tc>
        <w:tc>
          <w:tcPr>
            <w:tcW w:w="2300" w:type="dxa"/>
            <w:vAlign w:val="top"/>
          </w:tcPr>
          <w:p>
            <w:pPr>
              <w:spacing w:before="0" w:after="0" w:line="240" w:lineRule="auto"/>
              <w:jc w:val="left"/>
            </w:pPr>
            <w:r>
              <w:rPr>
                <w:sz w:val="20"/>
                <w:szCs w:val="20"/>
              </w:rPr>
              <w:t xml:space="preserve">Predictable behaviour when something goes wrong</w:t>
            </w:r>
          </w:p>
        </w:tc>
      </w:tr>
      <w:tr>
        <w:tc>
          <w:tcPr>
            <w:tcW w:w="1900" w:type="dxa"/>
            <w:vAlign w:val="top"/>
          </w:tcPr>
          <w:p>
            <w:pPr>
              <w:spacing w:before="0" w:after="0" w:line="240" w:lineRule="auto"/>
              <w:jc w:val="left"/>
            </w:pPr>
            <w:r>
              <w:rPr>
                <w:sz w:val="20"/>
                <w:szCs w:val="20"/>
              </w:rPr>
              <w:t xml:space="preserve">5. Deployment path</w:t>
            </w:r>
          </w:p>
        </w:tc>
        <w:tc>
          <w:tcPr>
            <w:tcW w:w="4826" w:type="dxa"/>
            <w:vAlign w:val="top"/>
          </w:tcPr>
          <w:p>
            <w:pPr>
              <w:spacing w:before="0" w:after="0" w:line="240" w:lineRule="auto"/>
              <w:jc w:val="left"/>
            </w:pPr>
            <w:r>
              <w:rPr>
                <w:sz w:val="20"/>
                <w:szCs w:val="20"/>
              </w:rPr>
              <w:t xml:space="preserve">Packaged the system with Docker Compose (web server, API, database), set up a GitHub Actions pipeline that tests and builds every change, and added an end-to-end browser test.</w:t>
            </w:r>
          </w:p>
        </w:tc>
        <w:tc>
          <w:tcPr>
            <w:tcW w:w="2300" w:type="dxa"/>
            <w:vAlign w:val="top"/>
          </w:tcPr>
          <w:p>
            <w:pPr>
              <w:spacing w:before="0" w:after="0" w:line="240" w:lineRule="auto"/>
              <w:jc w:val="left"/>
            </w:pPr>
            <w:r>
              <w:rPr>
                <w:sz w:val="20"/>
                <w:szCs w:val="20"/>
              </w:rPr>
              <w:t xml:space="preserve">One-command start-up; automatic checks on every change</w:t>
            </w:r>
          </w:p>
        </w:tc>
      </w:tr>
      <w:tr>
        <w:tc>
          <w:tcPr>
            <w:tcW w:w="1900" w:type="dxa"/>
            <w:vAlign w:val="top"/>
          </w:tcPr>
          <w:p>
            <w:pPr>
              <w:spacing w:before="0" w:after="0" w:line="240" w:lineRule="auto"/>
              <w:jc w:val="left"/>
            </w:pPr>
            <w:r>
              <w:rPr>
                <w:sz w:val="20"/>
                <w:szCs w:val="20"/>
              </w:rPr>
              <w:t xml:space="preserve">6. Internal pilot and stakeholder requests</w:t>
            </w:r>
          </w:p>
        </w:tc>
        <w:tc>
          <w:tcPr>
            <w:tcW w:w="4826" w:type="dxa"/>
            <w:vAlign w:val="top"/>
          </w:tcPr>
          <w:p>
            <w:pPr>
              <w:spacing w:before="0" w:after="0" w:line="240" w:lineRule="auto"/>
              <w:jc w:val="left"/>
            </w:pPr>
            <w:r>
              <w:rPr>
                <w:sz w:val="20"/>
                <w:szCs w:val="20"/>
              </w:rPr>
              <w:t xml:space="preserve">Ran the system on the internal network, wrote a go-live checklist in English and Indonesian, limited what ordinary employees can see (USER role), and added a backup and restore page for administrators.</w:t>
            </w:r>
          </w:p>
        </w:tc>
        <w:tc>
          <w:tcPr>
            <w:tcW w:w="2300" w:type="dxa"/>
            <w:vAlign w:val="top"/>
          </w:tcPr>
          <w:p>
            <w:pPr>
              <w:spacing w:before="0" w:after="0" w:line="240" w:lineRule="auto"/>
              <w:jc w:val="left"/>
            </w:pPr>
            <w:r>
              <w:rPr>
                <w:sz w:val="20"/>
                <w:szCs w:val="20"/>
              </w:rPr>
              <w:t xml:space="preserve">Pilot-ready system; both requested features delivered</w:t>
            </w:r>
          </w:p>
        </w:tc>
      </w:tr>
      <w:tr>
        <w:tc>
          <w:tcPr>
            <w:tcW w:w="1900" w:type="dxa"/>
            <w:vAlign w:val="top"/>
          </w:tcPr>
          <w:p>
            <w:pPr>
              <w:spacing w:before="0" w:after="0" w:line="240" w:lineRule="auto"/>
              <w:jc w:val="left"/>
            </w:pPr>
            <w:r>
              <w:rPr>
                <w:sz w:val="20"/>
                <w:szCs w:val="20"/>
              </w:rPr>
              <w:t xml:space="preserve">7. Frontend tests</w:t>
            </w:r>
          </w:p>
        </w:tc>
        <w:tc>
          <w:tcPr>
            <w:tcW w:w="4826" w:type="dxa"/>
            <w:vAlign w:val="top"/>
          </w:tcPr>
          <w:p>
            <w:pPr>
              <w:spacing w:before="0" w:after="0" w:line="240" w:lineRule="auto"/>
              <w:jc w:val="left"/>
            </w:pPr>
            <w:r>
              <w:rPr>
                <w:sz w:val="20"/>
                <w:szCs w:val="20"/>
              </w:rPr>
              <w:t xml:space="preserve">Added unit tests for the main pages, forms, and data hooks of the user interface.</w:t>
            </w:r>
          </w:p>
        </w:tc>
        <w:tc>
          <w:tcPr>
            <w:tcW w:w="2300" w:type="dxa"/>
            <w:vAlign w:val="top"/>
          </w:tcPr>
          <w:p>
            <w:pPr>
              <w:spacing w:before="0" w:after="0" w:line="240" w:lineRule="auto"/>
              <w:jc w:val="left"/>
            </w:pPr>
            <w:r>
              <w:rPr>
                <w:sz w:val="20"/>
                <w:szCs w:val="20"/>
              </w:rPr>
              <w:t xml:space="preserve">Frontend regression safety net</w:t>
            </w:r>
          </w:p>
        </w:tc>
      </w:tr>
    </w:tbl>
    <w:p>
      <w:pPr>
        <w:spacing w:before="0" w:after="60" w:line="240" w:lineRule="auto"/>
        <w:jc w:val="both"/>
      </w:pPr>
    </w:p>
    <w:p>
      <w:pPr>
        <w:spacing w:before="0" w:after="120" w:line="360" w:lineRule="auto"/>
        <w:jc w:val="both"/>
      </w:pPr>
      <w:r>
        <w:rPr>
          <w:sz w:val="24"/>
          <w:szCs w:val="24"/>
        </w:rPr>
        <w:t xml:space="preserve">Alongside the planned phases I fixed defects found during trial use, for example an internal server error when a user changed their password from the profile page, and a backup button that failed with the message "Gagal membuat backup" (failed to create backup). The finished system was pushed to a GitHub repository on 29 June 2026.</w:t>
      </w:r>
    </w:p>
    <w:p>
      <w:pPr>
        <w:keepNext w:val="1"/>
        <w:spacing w:before="120" w:after="60" w:line="360" w:lineRule="auto"/>
        <w:jc w:val="left"/>
      </w:pPr>
      <w:r>
        <w:rPr>
          <w:b w:val="1"/>
          <w:i w:val="1"/>
          <w:sz w:val="24"/>
          <w:szCs w:val="24"/>
        </w:rPr>
        <w:t xml:space="preserve">3.1.3 Tools Used</w:t>
      </w:r>
    </w:p>
    <w:p>
      <w:pPr>
        <w:spacing w:before="0" w:after="120" w:line="360" w:lineRule="auto"/>
        <w:jc w:val="both"/>
      </w:pPr>
      <w:r>
        <w:rPr>
          <w:sz w:val="24"/>
          <w:szCs w:val="24"/>
        </w:rPr>
        <w:t xml:space="preserve">React 18 and Vite for the user interface; Express 4 on Node.js for the API; PostgreSQL 18 for the database; Docker and Docker Compose for packaging; GitHub Actions for continuous integration; Vitest, Supertest, React Testing Library, and Playwright for automated testing; and Git and GitHub for version control.</w:t>
      </w:r>
    </w:p>
    <w:p>
      <w:pPr>
        <w:keepNext w:val="1"/>
        <w:spacing w:before="240" w:after="120" w:line="360" w:lineRule="auto"/>
        <w:jc w:val="left"/>
      </w:pPr>
      <w:r>
        <w:rPr>
          <w:b w:val="1"/>
          <w:sz w:val="24"/>
          <w:szCs w:val="24"/>
        </w:rPr>
        <w:t xml:space="preserve">3.2 RTB Division: Tongkat Gaib Excel Report Automation Tool</w:t>
      </w:r>
    </w:p>
    <w:p>
      <w:pPr>
        <w:keepNext w:val="1"/>
        <w:spacing w:before="120" w:after="60" w:line="360" w:lineRule="auto"/>
        <w:jc w:val="left"/>
      </w:pPr>
      <w:r>
        <w:rPr>
          <w:b w:val="1"/>
          <w:i w:val="1"/>
          <w:sz w:val="24"/>
          <w:szCs w:val="24"/>
        </w:rPr>
        <w:t xml:space="preserve">3.2.1 Assignment Overview</w:t>
      </w:r>
    </w:p>
    <w:p>
      <w:pPr>
        <w:spacing w:before="0" w:after="120" w:line="360" w:lineRule="auto"/>
        <w:jc w:val="both"/>
      </w:pPr>
      <w:r>
        <w:rPr>
          <w:sz w:val="24"/>
          <w:szCs w:val="24"/>
        </w:rPr>
        <w:t xml:space="preserve">The RTB division produces a set of recurring Excel reports from data extracts downloaded from the company's systems. Each report was built by hand. Staff pasted a pipe-delimited (|) text extract into Excel and split it with Text to Columns, added branch codes and names with VLOOKUP against a mapping workbook, built a PivotTable filtered by customer segment, and then reformatted it (tabular layout, no subtotals, and a number format that shows large rupiah values in full instead of as E+12). For the giro report, staff searched for each account in the monthly file with Ctrl+F and copied its balance into a master list by hand.</w:t>
      </w:r>
    </w:p>
    <w:p>
      <w:pPr>
        <w:spacing w:before="0" w:after="120" w:line="360" w:lineRule="auto"/>
        <w:jc w:val="both"/>
      </w:pPr>
      <w:r>
        <w:rPr>
          <w:sz w:val="24"/>
          <w:szCs w:val="24"/>
        </w:rPr>
        <w:t xml:space="preserve">This process was repetitive and slow with large extracts. It was also easy to get wrong: a segment ticked by mistake, a broken VLOOKUP range, or a mistyped balance could change the report without anyone noticing. My assignment was to automate these reports so that each one only needs the right input files and a single click.</w:t>
      </w:r>
    </w:p>
    <w:p>
      <w:pPr>
        <w:keepNext w:val="1"/>
        <w:spacing w:before="120" w:after="60" w:line="360" w:lineRule="auto"/>
        <w:jc w:val="left"/>
      </w:pPr>
      <w:r>
        <w:rPr>
          <w:b w:val="1"/>
          <w:i w:val="1"/>
          <w:sz w:val="24"/>
          <w:szCs w:val="24"/>
        </w:rPr>
        <w:t xml:space="preserve">3.2.2 Activities</w:t>
      </w:r>
    </w:p>
    <w:p>
      <w:pPr>
        <w:spacing w:before="0" w:after="120" w:line="360" w:lineRule="auto"/>
        <w:jc w:val="both"/>
      </w:pPr>
      <w:r>
        <w:rPr>
          <w:sz w:val="24"/>
          <w:szCs w:val="24"/>
        </w:rPr>
        <w:t xml:space="preserve">I started by documenting the manual process step by step and writing a technical design for the automated pipeline. After that I worked in short release cycles. Each cycle added a report or fixed a problem that RTB staff found while running the tool on real monthly files. Table 3.2 lists the main milestones.</w:t>
      </w:r>
    </w:p>
    <w:p>
      <w:pPr>
        <w:keepNext w:val="1"/>
        <w:spacing w:before="120" w:after="60" w:line="240" w:lineRule="auto"/>
        <w:jc w:val="center"/>
      </w:pPr>
      <w:r>
        <w:rPr>
          <w:b w:val="1"/>
          <w:sz w:val="20"/>
          <w:szCs w:val="20"/>
        </w:rPr>
        <w:t xml:space="preserve">Table 3.2 Activities carried out for the RTB division</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1900"/>
        <w:gridCol w:w="7126"/>
      </w:tblGrid>
      <w:tr>
        <w:trPr>
          <w:tblHeader w:val="1"/>
        </w:trPr>
        <w:tc>
          <w:tcPr>
            <w:tcW w:w="1900" w:type="dxa"/>
            <w:shd w:val="clear" w:color="auto" w:fill="D9D9D9"/>
            <w:vAlign w:val="top"/>
          </w:tcPr>
          <w:p>
            <w:pPr>
              <w:spacing w:before="0" w:after="0" w:line="240" w:lineRule="auto"/>
              <w:jc w:val="left"/>
            </w:pPr>
            <w:r>
              <w:rPr>
                <w:b w:val="1"/>
                <w:sz w:val="20"/>
                <w:szCs w:val="20"/>
              </w:rPr>
              <w:t xml:space="preserve">Date (2026)</w:t>
            </w:r>
          </w:p>
        </w:tc>
        <w:tc>
          <w:tcPr>
            <w:tcW w:w="7126" w:type="dxa"/>
            <w:shd w:val="clear" w:color="auto" w:fill="D9D9D9"/>
            <w:vAlign w:val="top"/>
          </w:tcPr>
          <w:p>
            <w:pPr>
              <w:spacing w:before="0" w:after="0" w:line="240" w:lineRule="auto"/>
              <w:jc w:val="left"/>
            </w:pPr>
            <w:r>
              <w:rPr>
                <w:b w:val="1"/>
                <w:sz w:val="20"/>
                <w:szCs w:val="20"/>
              </w:rPr>
              <w:t xml:space="preserve">Activity</w:t>
            </w:r>
          </w:p>
        </w:tc>
      </w:tr>
      <w:tr>
        <w:tc>
          <w:tcPr>
            <w:tcW w:w="1900" w:type="dxa"/>
            <w:vAlign w:val="top"/>
          </w:tcPr>
          <w:p>
            <w:pPr>
              <w:spacing w:before="0" w:after="0" w:line="240" w:lineRule="auto"/>
              <w:jc w:val="left"/>
            </w:pPr>
            <w:r>
              <w:rPr>
                <w:sz w:val="20"/>
                <w:szCs w:val="20"/>
              </w:rPr>
              <w:t xml:space="preserve">21 July</w:t>
            </w:r>
          </w:p>
        </w:tc>
        <w:tc>
          <w:tcPr>
            <w:tcW w:w="7126" w:type="dxa"/>
            <w:vAlign w:val="top"/>
          </w:tcPr>
          <w:p>
            <w:pPr>
              <w:spacing w:before="0" w:after="0" w:line="240" w:lineRule="auto"/>
              <w:jc w:val="left"/>
            </w:pPr>
            <w:r>
              <w:rPr>
                <w:sz w:val="20"/>
                <w:szCs w:val="20"/>
              </w:rPr>
              <w:t xml:space="preserve">Documented the manual Excel workflow, wrote the technical design, and released the first version (Report Summary Akumulasi) with a desktop window and a command-line mode.</w:t>
            </w:r>
          </w:p>
        </w:tc>
      </w:tr>
      <w:tr>
        <w:tc>
          <w:tcPr>
            <w:tcW w:w="1900" w:type="dxa"/>
            <w:vAlign w:val="top"/>
          </w:tcPr>
          <w:p>
            <w:pPr>
              <w:spacing w:before="0" w:after="0" w:line="240" w:lineRule="auto"/>
              <w:jc w:val="left"/>
            </w:pPr>
            <w:r>
              <w:rPr>
                <w:sz w:val="20"/>
                <w:szCs w:val="20"/>
              </w:rPr>
              <w:t xml:space="preserve">22 July</w:t>
            </w:r>
          </w:p>
        </w:tc>
        <w:tc>
          <w:tcPr>
            <w:tcW w:w="7126" w:type="dxa"/>
            <w:vAlign w:val="top"/>
          </w:tcPr>
          <w:p>
            <w:pPr>
              <w:spacing w:before="0" w:after="0" w:line="240" w:lineRule="auto"/>
              <w:jc w:val="left"/>
            </w:pPr>
            <w:r>
              <w:rPr>
                <w:sz w:val="20"/>
                <w:szCs w:val="20"/>
              </w:rPr>
              <w:t xml:space="preserve">Accepted the real mapping workbook's column names and sheet layout, so staff no longer had to rename columns before a run.</w:t>
            </w:r>
          </w:p>
        </w:tc>
      </w:tr>
      <w:tr>
        <w:tc>
          <w:tcPr>
            <w:tcW w:w="1900" w:type="dxa"/>
            <w:vAlign w:val="top"/>
          </w:tcPr>
          <w:p>
            <w:pPr>
              <w:spacing w:before="0" w:after="0" w:line="240" w:lineRule="auto"/>
              <w:jc w:val="left"/>
            </w:pPr>
            <w:r>
              <w:rPr>
                <w:sz w:val="20"/>
                <w:szCs w:val="20"/>
              </w:rPr>
              <w:t xml:space="preserve">24 July</w:t>
            </w:r>
          </w:p>
        </w:tc>
        <w:tc>
          <w:tcPr>
            <w:tcW w:w="7126" w:type="dxa"/>
            <w:vAlign w:val="top"/>
          </w:tcPr>
          <w:p>
            <w:pPr>
              <w:spacing w:before="0" w:after="0" w:line="240" w:lineRule="auto"/>
              <w:jc w:val="left"/>
            </w:pPr>
            <w:r>
              <w:rPr>
                <w:sz w:val="20"/>
                <w:szCs w:val="20"/>
              </w:rPr>
              <w:t xml:space="preserve">Added Sum of FBI to Akumulasi; added the Time Series FBI Briva and Active User Qlola reports and the Rincian Vol TF and Rincian Portal BG reports; checked results against reports staff had made by hand; named the tool Tongkat Gaib Excel.</w:t>
            </w:r>
          </w:p>
        </w:tc>
      </w:tr>
      <w:tr>
        <w:tc>
          <w:tcPr>
            <w:tcW w:w="1900" w:type="dxa"/>
            <w:vAlign w:val="top"/>
          </w:tcPr>
          <w:p>
            <w:pPr>
              <w:spacing w:before="0" w:after="0" w:line="240" w:lineRule="auto"/>
              <w:jc w:val="left"/>
            </w:pPr>
            <w:r>
              <w:rPr>
                <w:sz w:val="20"/>
                <w:szCs w:val="20"/>
              </w:rPr>
              <w:t xml:space="preserve">27 July</w:t>
            </w:r>
          </w:p>
        </w:tc>
        <w:tc>
          <w:tcPr>
            <w:tcW w:w="7126" w:type="dxa"/>
            <w:vAlign w:val="top"/>
          </w:tcPr>
          <w:p>
            <w:pPr>
              <w:spacing w:before="0" w:after="0" w:line="240" w:lineRule="auto"/>
              <w:jc w:val="left"/>
            </w:pPr>
            <w:r>
              <w:rPr>
                <w:sz w:val="20"/>
                <w:szCs w:val="20"/>
              </w:rPr>
              <w:t xml:space="preserve">Fixed how Qlola user IDs are matched to the master data, switched outputs to plain whole numbers, and released a standalone Windows program that needs no Python installation.</w:t>
            </w:r>
          </w:p>
        </w:tc>
      </w:tr>
      <w:tr>
        <w:tc>
          <w:tcPr>
            <w:tcW w:w="1900" w:type="dxa"/>
            <w:vAlign w:val="top"/>
          </w:tcPr>
          <w:p>
            <w:pPr>
              <w:spacing w:before="0" w:after="0" w:line="240" w:lineRule="auto"/>
              <w:jc w:val="left"/>
            </w:pPr>
            <w:r>
              <w:rPr>
                <w:sz w:val="20"/>
                <w:szCs w:val="20"/>
              </w:rPr>
              <w:t xml:space="preserve">8 to 13 August</w:t>
            </w:r>
          </w:p>
        </w:tc>
        <w:tc>
          <w:tcPr>
            <w:tcW w:w="7126" w:type="dxa"/>
            <w:vAlign w:val="top"/>
          </w:tcPr>
          <w:p>
            <w:pPr>
              <w:spacing w:before="0" w:after="0" w:line="240" w:lineRule="auto"/>
              <w:jc w:val="left"/>
            </w:pPr>
            <w:r>
              <w:rPr>
                <w:sz w:val="20"/>
                <w:szCs w:val="20"/>
              </w:rPr>
              <w:t xml:space="preserve">Added Report Data Statis and Report Giro (automatic balance update of the giro master list) and made filters editable per run.</w:t>
            </w:r>
          </w:p>
        </w:tc>
      </w:tr>
      <w:tr>
        <w:tc>
          <w:tcPr>
            <w:tcW w:w="1900" w:type="dxa"/>
            <w:vAlign w:val="top"/>
          </w:tcPr>
          <w:p>
            <w:pPr>
              <w:spacing w:before="0" w:after="0" w:line="240" w:lineRule="auto"/>
              <w:jc w:val="left"/>
            </w:pPr>
            <w:r>
              <w:rPr>
                <w:sz w:val="20"/>
                <w:szCs w:val="20"/>
              </w:rPr>
              <w:t xml:space="preserve">15 August</w:t>
            </w:r>
          </w:p>
        </w:tc>
        <w:tc>
          <w:tcPr>
            <w:tcW w:w="7126" w:type="dxa"/>
            <w:vAlign w:val="top"/>
          </w:tcPr>
          <w:p>
            <w:pPr>
              <w:spacing w:before="0" w:after="0" w:line="240" w:lineRule="auto"/>
              <w:jc w:val="left"/>
            </w:pPr>
            <w:r>
              <w:rPr>
                <w:sz w:val="20"/>
                <w:szCs w:val="20"/>
              </w:rPr>
              <w:t xml:space="preserve">Reworked the filters into SEGMENT, SOURCE, and KW keep-lists after feedback from RTB staff.</w:t>
            </w:r>
          </w:p>
        </w:tc>
      </w:tr>
      <w:tr>
        <w:tc>
          <w:tcPr>
            <w:tcW w:w="1900" w:type="dxa"/>
            <w:vAlign w:val="top"/>
          </w:tcPr>
          <w:p>
            <w:pPr>
              <w:spacing w:before="0" w:after="0" w:line="240" w:lineRule="auto"/>
              <w:jc w:val="left"/>
            </w:pPr>
            <w:r>
              <w:rPr>
                <w:sz w:val="20"/>
                <w:szCs w:val="20"/>
              </w:rPr>
              <w:t xml:space="preserve">17 to 20 August</w:t>
            </w:r>
          </w:p>
        </w:tc>
        <w:tc>
          <w:tcPr>
            <w:tcW w:w="7126" w:type="dxa"/>
            <w:vAlign w:val="top"/>
          </w:tcPr>
          <w:p>
            <w:pPr>
              <w:spacing w:before="0" w:after="0" w:line="240" w:lineRule="auto"/>
              <w:jc w:val="left"/>
            </w:pPr>
            <w:r>
              <w:rPr>
                <w:sz w:val="20"/>
                <w:szCs w:val="20"/>
              </w:rPr>
              <w:t xml:space="preserve">Fixed Report Data Statis runs, let Report Giro fill both the original and later master files (including old .xls files), warned on empty extracts, and recovered header rows placed in the middle of a sheet.</w:t>
            </w:r>
          </w:p>
        </w:tc>
      </w:tr>
      <w:tr>
        <w:tc>
          <w:tcPr>
            <w:tcW w:w="1900" w:type="dxa"/>
            <w:vAlign w:val="top"/>
          </w:tcPr>
          <w:p>
            <w:pPr>
              <w:spacing w:before="0" w:after="0" w:line="240" w:lineRule="auto"/>
              <w:jc w:val="left"/>
            </w:pPr>
            <w:r>
              <w:rPr>
                <w:sz w:val="20"/>
                <w:szCs w:val="20"/>
              </w:rPr>
              <w:t xml:space="preserve">21 August</w:t>
            </w:r>
          </w:p>
        </w:tc>
        <w:tc>
          <w:tcPr>
            <w:tcW w:w="7126" w:type="dxa"/>
            <w:vAlign w:val="top"/>
          </w:tcPr>
          <w:p>
            <w:pPr>
              <w:spacing w:before="0" w:after="0" w:line="240" w:lineRule="auto"/>
              <w:jc w:val="left"/>
            </w:pPr>
            <w:r>
              <w:rPr>
                <w:sz w:val="20"/>
                <w:szCs w:val="20"/>
              </w:rPr>
              <w:t xml:space="preserve">Ordered every summary in the same branch order as the division's dashboard, replaced technical error popups with plain-language guidance, showed the valid filter values next to each box, and wrote the operator guide (START HERE) and the system requirements sheet.</w:t>
            </w:r>
          </w:p>
        </w:tc>
      </w:tr>
    </w:tbl>
    <w:p>
      <w:pPr>
        <w:spacing w:before="0" w:after="60" w:line="240" w:lineRule="auto"/>
        <w:jc w:val="both"/>
      </w:pPr>
    </w:p>
    <w:p>
      <w:pPr>
        <w:keepNext w:val="1"/>
        <w:spacing w:before="120" w:after="60" w:line="360" w:lineRule="auto"/>
        <w:jc w:val="left"/>
      </w:pPr>
      <w:r>
        <w:rPr>
          <w:b w:val="1"/>
          <w:i w:val="1"/>
          <w:sz w:val="24"/>
          <w:szCs w:val="24"/>
        </w:rPr>
        <w:t xml:space="preserve">3.2.3 Tools Used</w:t>
      </w:r>
    </w:p>
    <w:p>
      <w:pPr>
        <w:spacing w:before="0" w:after="120" w:line="360" w:lineRule="auto"/>
        <w:jc w:val="both"/>
      </w:pPr>
      <w:r>
        <w:rPr>
          <w:sz w:val="24"/>
          <w:szCs w:val="24"/>
        </w:rPr>
        <w:t xml:space="preserve">Python with pandas for data processing; openpyxl and xlrd for reading and writing Excel files; Tkinter for the desktop window; Typer for the command-line mode; Pydantic for configuration checks; pytest for automated testing; PyInstaller to build the standalone Windows program; and Git and GitHub for version control.</w:t>
      </w:r>
    </w:p>
    <w:p w:rsidR="00000000" w:rsidDel="00000000" w:rsidP="00000000" w:rsidRDefault="00000000" w:rsidRPr="00000000" w14:paraId="0000001D">
      <w:pPr>
        <w:rPr>
          <w:b w:val="1"/>
          <w:sz w:val="28"/>
          <w:szCs w:val="28"/>
        </w:rPr>
      </w:pPr>
      <w:r w:rsidDel="00000000" w:rsidR="00000000" w:rsidRPr="00000000">
        <w:rPr>
          <w:rtl w:val="0"/>
        </w:rPr>
      </w:r>
    </w:p>
    <w:p w:rsidR="00000000" w:rsidDel="00000000" w:rsidP="00000000" w:rsidRDefault="00000000" w:rsidRPr="00000000" w14:paraId="0000001E">
      <w:pPr>
        <w:rPr>
          <w:b w:val="1"/>
          <w:sz w:val="28"/>
          <w:szCs w:val="28"/>
        </w:rPr>
      </w:pPr>
      <w:r w:rsidDel="00000000" w:rsidR="00000000" w:rsidRPr="00000000">
        <w:rPr>
          <w:b w:val="1"/>
          <w:sz w:val="28"/>
          <w:szCs w:val="28"/>
          <w:rtl w:val="0"/>
        </w:rPr>
        <w:t xml:space="preserve">Chapter 4. ANALYSIS AND INTEPRETATION</w:t>
      </w:r>
    </w:p>
    <w:p>
      <w:pPr>
        <w:spacing w:before="0" w:after="120" w:line="360" w:lineRule="auto"/>
        <w:jc w:val="both"/>
      </w:pPr>
      <w:r>
        <w:rPr>
          <w:sz w:val="24"/>
          <w:szCs w:val="24"/>
        </w:rPr>
        <w:t xml:space="preserve">This chapter reviews the two projects described in Chapter 3. Section 4.1 sets out what I learned from each one, along with its benefits, advantages, disadvantages, and recommendations. Section 4.2 compares the work with theory from lectures, and Section 4.3 gives suggestions for improvement.</w:t>
      </w:r>
    </w:p>
    <w:p>
      <w:pPr>
        <w:keepNext w:val="1"/>
        <w:spacing w:before="240" w:after="120" w:line="360" w:lineRule="auto"/>
        <w:jc w:val="left"/>
      </w:pPr>
      <w:r>
        <w:rPr>
          <w:b w:val="1"/>
          <w:sz w:val="24"/>
          <w:szCs w:val="24"/>
        </w:rPr>
        <w:t xml:space="preserve">4.1 Insight Gained from Each Activity</w:t>
      </w:r>
    </w:p>
    <w:p>
      <w:pPr>
        <w:keepNext w:val="1"/>
        <w:spacing w:before="120" w:after="60" w:line="360" w:lineRule="auto"/>
        <w:jc w:val="left"/>
      </w:pPr>
      <w:r>
        <w:rPr>
          <w:b w:val="1"/>
          <w:i w:val="1"/>
          <w:sz w:val="24"/>
          <w:szCs w:val="24"/>
        </w:rPr>
        <w:t xml:space="preserve">4.1.1 IT Division: Perangkat IT Asset Management System</w:t>
      </w:r>
    </w:p>
    <w:p>
      <w:pPr>
        <w:spacing w:before="0" w:after="120" w:line="360" w:lineRule="auto"/>
        <w:jc w:val="both"/>
      </w:pPr>
      <w:r>
        <w:rPr>
          <w:b w:val="1"/>
          <w:sz w:val="24"/>
          <w:szCs w:val="24"/>
        </w:rPr>
        <w:t xml:space="preserve">Understanding and insight gained. </w:t>
      </w:r>
      <w:r>
        <w:rPr>
          <w:sz w:val="24"/>
          <w:szCs w:val="24"/>
        </w:rPr>
        <w:t xml:space="preserve">An application that works is not the same as one that is ready to use. Every page of Perangkat IT already worked, yet anyone on the network could read employee and device data, and nothing proved that a change in one place had not broken another. I learned to read an existing codebase before changing it, to check the real database schema instead of trusting the documents, and to improve a live system in small steps that keep its existing behaviour intact.</w:t>
      </w:r>
    </w:p>
    <w:p>
      <w:pPr>
        <w:spacing w:before="0" w:after="120" w:line="360" w:lineRule="auto"/>
        <w:jc w:val="both"/>
      </w:pPr>
      <w:r>
        <w:rPr>
          <w:b w:val="1"/>
          <w:sz w:val="24"/>
          <w:szCs w:val="24"/>
        </w:rPr>
        <w:t xml:space="preserve">Benefits. </w:t>
      </w:r>
      <w:r>
        <w:rPr>
          <w:sz w:val="24"/>
          <w:szCs w:val="24"/>
        </w:rPr>
        <w:t xml:space="preserve">The IT division now has one place to see which devices exist, who holds them, and how their status has changed over time. Each assignment has its handover document attached, and every change is recorded in an audit log. Administrators can take and download a backup from the application itself, and ordinary employees see only their own devices.</w:t>
      </w:r>
    </w:p>
    <w:p>
      <w:pPr>
        <w:spacing w:before="0" w:after="120" w:line="360" w:lineRule="auto"/>
        <w:jc w:val="both"/>
      </w:pPr>
      <w:r>
        <w:rPr>
          <w:b w:val="1"/>
          <w:sz w:val="24"/>
          <w:szCs w:val="24"/>
        </w:rPr>
        <w:t xml:space="preserve">Advantages. </w:t>
      </w:r>
      <w:r>
        <w:rPr>
          <w:sz w:val="24"/>
          <w:szCs w:val="24"/>
        </w:rPr>
        <w:t xml:space="preserve">Access rules are enforced on the server and in the database queries, not only by hiding buttons, so a user cannot get around them by calling the API directly. Key rules, such as one active assignment per device, are enforced by the database itself. About 180 automated tests and a CI pipeline check every change, and Docker lets the whole system start the same way on any machine.</w:t>
      </w:r>
    </w:p>
    <w:p>
      <w:pPr>
        <w:spacing w:before="0" w:after="120" w:line="360" w:lineRule="auto"/>
        <w:jc w:val="both"/>
      </w:pPr>
      <w:r>
        <w:rPr>
          <w:b w:val="1"/>
          <w:sz w:val="24"/>
          <w:szCs w:val="24"/>
        </w:rPr>
        <w:t xml:space="preserve">Disadvantages. </w:t>
      </w:r>
      <w:r>
        <w:rPr>
          <w:sz w:val="24"/>
          <w:szCs w:val="24"/>
        </w:rPr>
        <w:t xml:space="preserve">The system is currently set up for an internal pilot. Public HTTPS hosting, scheduled off-machine backups, and a rehearsed restore procedure were deferred to a later phase. Device and employee data still has to be typed in by hand, and the system is not linked to the company's employee directory or single sign-on.</w:t>
      </w:r>
    </w:p>
    <w:p>
      <w:pPr>
        <w:spacing w:before="0" w:after="120" w:line="360" w:lineRule="auto"/>
        <w:jc w:val="both"/>
      </w:pPr>
      <w:r>
        <w:rPr>
          <w:b w:val="1"/>
          <w:sz w:val="24"/>
          <w:szCs w:val="24"/>
        </w:rPr>
        <w:t xml:space="preserve">Recommendations. </w:t>
      </w:r>
      <w:r>
        <w:rPr>
          <w:sz w:val="24"/>
          <w:szCs w:val="24"/>
        </w:rPr>
        <w:t xml:space="preserve">Finish the production phase (HTTPS, scheduled backups, and a tested restore) before opening the system beyond the pilot group. Name a maintainer within the IT division who owns the deployment and the go-live checklist after my internship ends.</w:t>
      </w:r>
    </w:p>
    <w:p>
      <w:pPr>
        <w:keepNext w:val="1"/>
        <w:spacing w:before="120" w:after="60" w:line="360" w:lineRule="auto"/>
        <w:jc w:val="left"/>
      </w:pPr>
      <w:r>
        <w:rPr>
          <w:b w:val="1"/>
          <w:i w:val="1"/>
          <w:sz w:val="24"/>
          <w:szCs w:val="24"/>
        </w:rPr>
        <w:t xml:space="preserve">4.1.2 RTB Division: Tongkat Gaib Excel Report Automation Tool</w:t>
      </w:r>
    </w:p>
    <w:p>
      <w:pPr>
        <w:spacing w:before="0" w:after="120" w:line="360" w:lineRule="auto"/>
        <w:jc w:val="both"/>
      </w:pPr>
      <w:r>
        <w:rPr>
          <w:b w:val="1"/>
          <w:sz w:val="24"/>
          <w:szCs w:val="24"/>
        </w:rPr>
        <w:t xml:space="preserve">Understanding and insight gained. </w:t>
      </w:r>
      <w:r>
        <w:rPr>
          <w:sz w:val="24"/>
          <w:szCs w:val="24"/>
        </w:rPr>
        <w:t xml:space="preserve">To automate a business process, you first have to understand it exactly. The real requirements were not written down anywhere; they lived in the clicks staff made in Excel. Details such as which segment is unticked in a pivot, which rounding the dashboard expects, or which branch comes first only came out by watching staff work and comparing my output to theirs. I also learned that the people who use a tool decide whether it succeeds. A correct report is not enough if the filters are confusing or an error message cannot be understood.</w:t>
      </w:r>
    </w:p>
    <w:p>
      <w:pPr>
        <w:spacing w:before="0" w:after="120" w:line="360" w:lineRule="auto"/>
        <w:jc w:val="both"/>
      </w:pPr>
      <w:r>
        <w:rPr>
          <w:b w:val="1"/>
          <w:sz w:val="24"/>
          <w:szCs w:val="24"/>
        </w:rPr>
        <w:t xml:space="preserve">Benefits. </w:t>
      </w:r>
      <w:r>
        <w:rPr>
          <w:sz w:val="24"/>
          <w:szCs w:val="24"/>
        </w:rPr>
        <w:t xml:space="preserve">Seven recurring reports that used to take several manual Excel steps each are now produced by choosing the input files and clicking Run. Report Giro removes the manual Ctrl+F lookup of every account balance. Each summary comes out in the dashboard's branch order, so it can be pasted straight in.</w:t>
      </w:r>
    </w:p>
    <w:p>
      <w:pPr>
        <w:spacing w:before="0" w:after="120" w:line="360" w:lineRule="auto"/>
        <w:jc w:val="both"/>
      </w:pPr>
      <w:r>
        <w:rPr>
          <w:b w:val="1"/>
          <w:sz w:val="24"/>
          <w:szCs w:val="24"/>
        </w:rPr>
        <w:t xml:space="preserve">Advantages. </w:t>
      </w:r>
      <w:r>
        <w:rPr>
          <w:sz w:val="24"/>
          <w:szCs w:val="24"/>
        </w:rPr>
        <w:t xml:space="preserve">The tool gives the same result every time for the same input, never modifies the input files, and states on each report which filters were applied. It runs as a single Windows program without Python or Excel installed. 279 automated tests cover each report, including tests that compare output against reports staff made by hand.</w:t>
      </w:r>
    </w:p>
    <w:p>
      <w:pPr>
        <w:spacing w:before="0" w:after="120" w:line="360" w:lineRule="auto"/>
        <w:jc w:val="both"/>
      </w:pPr>
      <w:r>
        <w:rPr>
          <w:b w:val="1"/>
          <w:sz w:val="24"/>
          <w:szCs w:val="24"/>
        </w:rPr>
        <w:t xml:space="preserve">Disadvantages. </w:t>
      </w:r>
      <w:r>
        <w:rPr>
          <w:sz w:val="24"/>
          <w:szCs w:val="24"/>
        </w:rPr>
        <w:t xml:space="preserve">The tool depends on the layout of the system extracts. If the source system renames a column or adds a new segment, the tool must be updated. Some settings, such as the dashboard branch order and the valid filter values, are kept in the program code rather than in a file staff can edit. The tool runs only on Windows, and I was its only developer, so ongoing maintenance needs a handover.</w:t>
      </w:r>
    </w:p>
    <w:p>
      <w:pPr>
        <w:spacing w:before="0" w:after="120" w:line="360" w:lineRule="auto"/>
        <w:jc w:val="both"/>
      </w:pPr>
      <w:r>
        <w:rPr>
          <w:b w:val="1"/>
          <w:sz w:val="24"/>
          <w:szCs w:val="24"/>
        </w:rPr>
        <w:t xml:space="preserve">Recommendations. </w:t>
      </w:r>
      <w:r>
        <w:rPr>
          <w:sz w:val="24"/>
          <w:szCs w:val="24"/>
        </w:rPr>
        <w:t xml:space="preserve">Move the branch order and filter values into an editable configuration file, keep a folder of sample extracts to re-test the tool whenever the source format changes, and hand the source code and documentation over to a named person in the division.</w:t>
      </w:r>
    </w:p>
    <w:p>
      <w:pPr>
        <w:keepNext w:val="1"/>
        <w:spacing w:before="240" w:after="120" w:line="360" w:lineRule="auto"/>
        <w:jc w:val="left"/>
      </w:pPr>
      <w:r>
        <w:rPr>
          <w:b w:val="1"/>
          <w:sz w:val="24"/>
          <w:szCs w:val="24"/>
        </w:rPr>
        <w:t xml:space="preserve">4.2 Analysis and Interpretation Compared with Theory from Lectures</w:t>
      </w:r>
    </w:p>
    <w:p>
      <w:pPr>
        <w:spacing w:before="0" w:after="120" w:line="360" w:lineRule="auto"/>
        <w:jc w:val="both"/>
      </w:pPr>
      <w:r>
        <w:rPr>
          <w:b w:val="1"/>
          <w:sz w:val="24"/>
          <w:szCs w:val="24"/>
        </w:rPr>
        <w:t xml:space="preserve">Database design. </w:t>
      </w:r>
      <w:r>
        <w:rPr>
          <w:sz w:val="24"/>
          <w:szCs w:val="24"/>
        </w:rPr>
        <w:t xml:space="preserve">Lectures on relational databases teach normalisation, primary and foreign keys, and integrity constraints. Perangkat IT showed why these matter. The schema separates devices, employees, accounts, assignments, and status history into their own tables, linked by foreign keys. Check constraints and partial unique indexes guarantee that a device has at most one active assignment and one active status at any time. Because the database enforces these rules, they hold even if the application code has a bug. The status history table also puts the idea of an audit trail from database theory into practice.</w:t>
      </w:r>
    </w:p>
    <w:p>
      <w:pPr>
        <w:spacing w:before="0" w:after="120" w:line="360" w:lineRule="auto"/>
        <w:jc w:val="both"/>
      </w:pPr>
      <w:r>
        <w:rPr>
          <w:b w:val="1"/>
          <w:sz w:val="24"/>
          <w:szCs w:val="24"/>
        </w:rPr>
        <w:t xml:space="preserve">Software development life cycle. </w:t>
      </w:r>
      <w:r>
        <w:rPr>
          <w:sz w:val="24"/>
          <w:szCs w:val="24"/>
        </w:rPr>
        <w:t xml:space="preserve">The two projects followed two models taught in software engineering. Perangkat IT used a plan-driven, incremental approach: each phase had a design document, exit criteria, and a test gate, which suited a system holding sensitive data. The Excel tool followed a more agile approach, with small releases every few days shaped directly by user feedback, which suited requirements that were only discovered while using the tool. In practice, the right model depended on how well the requirements were known at the start.</w:t>
      </w:r>
    </w:p>
    <w:p>
      <w:pPr>
        <w:spacing w:before="0" w:after="120" w:line="360" w:lineRule="auto"/>
        <w:jc w:val="both"/>
      </w:pPr>
      <w:r>
        <w:rPr>
          <w:b w:val="1"/>
          <w:sz w:val="24"/>
          <w:szCs w:val="24"/>
        </w:rPr>
        <w:t xml:space="preserve">Software design. </w:t>
      </w:r>
      <w:r>
        <w:rPr>
          <w:sz w:val="24"/>
          <w:szCs w:val="24"/>
        </w:rPr>
        <w:t xml:space="preserve">Both systems apply separation of concerns. Perangkat IT uses a layered architecture (routes, controllers, services, repositories), and the Excel tool uses the Strategy pattern: each report is a strategy sharing one pipeline of reading, matching, summarising, and exporting. Adding a new report therefore meant adding one module instead of changing the whole program, which is exactly the benefit the design patterns lectures describe.</w:t>
      </w:r>
    </w:p>
    <w:p>
      <w:pPr>
        <w:spacing w:before="0" w:after="120" w:line="360" w:lineRule="auto"/>
        <w:jc w:val="both"/>
      </w:pPr>
      <w:r>
        <w:rPr>
          <w:b w:val="1"/>
          <w:sz w:val="24"/>
          <w:szCs w:val="24"/>
        </w:rPr>
        <w:t xml:space="preserve">Software testing. </w:t>
      </w:r>
      <w:r>
        <w:rPr>
          <w:sz w:val="24"/>
          <w:szCs w:val="24"/>
        </w:rPr>
        <w:t xml:space="preserve">Both projects follow the testing pyramid: many fast unit tests, fewer integration tests against a real database or real sample files, and a small number of end-to-end tests. Fixed bugs were covered by new regression tests so they could not quietly return. One practical lesson not covered in lectures was using reports made by hand as a test oracle: the automated output had to match the staff's own Excel result.</w:t>
      </w:r>
    </w:p>
    <w:p>
      <w:pPr>
        <w:spacing w:before="0" w:after="120" w:line="360" w:lineRule="auto"/>
        <w:jc w:val="both"/>
      </w:pPr>
      <w:r>
        <w:rPr>
          <w:b w:val="1"/>
          <w:sz w:val="24"/>
          <w:szCs w:val="24"/>
        </w:rPr>
        <w:t xml:space="preserve">Information security. </w:t>
      </w:r>
      <w:r>
        <w:rPr>
          <w:sz w:val="24"/>
          <w:szCs w:val="24"/>
        </w:rPr>
        <w:t xml:space="preserve">The work on Perangkat IT maps directly onto security principles from lectures: confidentiality (login required, data scoped to the user), least privilege (USER versus ADMIN roles), defence in depth (the interface hides actions and the server also refuses them), and availability (backups). Moving the login token into an httpOnly cookie addresses token theft through cross-site scripting, and filtering data inside the SQL query addresses broken access control, both of which appear in the OWASP Top 10.</w:t>
      </w:r>
    </w:p>
    <w:p>
      <w:pPr>
        <w:spacing w:before="0" w:after="120" w:line="360" w:lineRule="auto"/>
        <w:jc w:val="both"/>
      </w:pPr>
      <w:r>
        <w:rPr>
          <w:b w:val="1"/>
          <w:sz w:val="24"/>
          <w:szCs w:val="24"/>
        </w:rPr>
        <w:t xml:space="preserve">Human-computer interaction. </w:t>
      </w:r>
      <w:r>
        <w:rPr>
          <w:sz w:val="24"/>
          <w:szCs w:val="24"/>
        </w:rPr>
        <w:t xml:space="preserve">Usability heuristics such as "help users recognise, diagnose, and recover from errors", "visibility of system status", and "recognition rather than recall" shaped the later releases of the Excel tool. Error popups now say what happened and what to do next, every report states which filters were applied, and each filter box lists the values it accepts instead of expecting staff to remember them.</w:t>
      </w:r>
    </w:p>
    <w:p>
      <w:pPr>
        <w:spacing w:before="0" w:after="120" w:line="360" w:lineRule="auto"/>
        <w:jc w:val="both"/>
      </w:pPr>
      <w:r>
        <w:rPr>
          <w:b w:val="1"/>
          <w:sz w:val="24"/>
          <w:szCs w:val="24"/>
        </w:rPr>
        <w:t xml:space="preserve">Where practice differed from theory. </w:t>
      </w:r>
      <w:r>
        <w:rPr>
          <w:sz w:val="24"/>
          <w:szCs w:val="24"/>
        </w:rPr>
        <w:t xml:space="preserve">Coursework usually assumes clean data and stable requirements. In practice, column names differed between months, master files arrived in old .xls format, header rows sat in the middle of a sheet, and totals had to match the dashboard down to the rounding. Deployment also had real constraints: staff could not install Python, so the tool had to ship as a standalone program. Handling these cases took as much effort as the core logic.</w:t>
      </w:r>
    </w:p>
    <w:p>
      <w:pPr>
        <w:keepNext w:val="1"/>
        <w:spacing w:before="240" w:after="120" w:line="360" w:lineRule="auto"/>
        <w:jc w:val="left"/>
      </w:pPr>
      <w:r>
        <w:rPr>
          <w:b w:val="1"/>
          <w:sz w:val="24"/>
          <w:szCs w:val="24"/>
        </w:rPr>
        <w:t xml:space="preserve">4.3 Suggestions for Improvement</w:t>
      </w:r>
    </w:p>
    <w:p>
      <w:pPr>
        <w:spacing w:before="0" w:after="120" w:line="360" w:lineRule="auto"/>
        <w:jc w:val="both"/>
      </w:pPr>
      <w:r>
        <w:rPr>
          <w:sz w:val="24"/>
          <w:szCs w:val="24"/>
        </w:rPr>
        <w:t xml:space="preserve">For the IT division:</w:t>
      </w:r>
    </w:p>
    <w:p>
      <w:pPr>
        <w:numPr>
          <w:ilvl w:val="0"/>
          <w:numId w:val="2"/>
        </w:numPr>
        <w:spacing w:before="0" w:after="60" w:line="360" w:lineRule="auto"/>
        <w:jc w:val="both"/>
      </w:pPr>
      <w:r>
        <w:rPr>
          <w:sz w:val="24"/>
          <w:szCs w:val="24"/>
        </w:rPr>
        <w:t xml:space="preserve">Complete the production phase of Perangkat IT (HTTPS, scheduled off-machine backups, and a rehearsed restore) before rolling it out beyond the pilot group.</w:t>
      </w:r>
    </w:p>
    <w:p>
      <w:pPr>
        <w:numPr>
          <w:ilvl w:val="0"/>
          <w:numId w:val="2"/>
        </w:numPr>
        <w:spacing w:before="0" w:after="60" w:line="360" w:lineRule="auto"/>
        <w:jc w:val="both"/>
      </w:pPr>
      <w:r>
        <w:rPr>
          <w:sz w:val="24"/>
          <w:szCs w:val="24"/>
        </w:rPr>
        <w:t xml:space="preserve">Import existing device spreadsheets in bulk instead of typing records in by hand, and consider printed asset labels (for example QR codes) that open the device page directly.</w:t>
      </w:r>
    </w:p>
    <w:p>
      <w:pPr>
        <w:numPr>
          <w:ilvl w:val="0"/>
          <w:numId w:val="2"/>
        </w:numPr>
        <w:spacing w:before="0" w:after="60" w:line="360" w:lineRule="auto"/>
        <w:jc w:val="both"/>
      </w:pPr>
      <w:r>
        <w:rPr>
          <w:sz w:val="24"/>
          <w:szCs w:val="24"/>
        </w:rPr>
        <w:t xml:space="preserve">Connect logins to the company's employee directory or single sign-on so that accounts follow staff changes automatically.</w:t>
      </w:r>
    </w:p>
    <w:p>
      <w:pPr>
        <w:spacing w:before="0" w:after="120" w:line="360" w:lineRule="auto"/>
        <w:jc w:val="both"/>
      </w:pPr>
      <w:r>
        <w:rPr>
          <w:sz w:val="24"/>
          <w:szCs w:val="24"/>
        </w:rPr>
        <w:t xml:space="preserve">For the RTB division:</w:t>
      </w:r>
    </w:p>
    <w:p>
      <w:pPr>
        <w:numPr>
          <w:ilvl w:val="0"/>
          <w:numId w:val="2"/>
        </w:numPr>
        <w:spacing w:before="0" w:after="60" w:line="360" w:lineRule="auto"/>
        <w:jc w:val="both"/>
      </w:pPr>
      <w:r>
        <w:rPr>
          <w:sz w:val="24"/>
          <w:szCs w:val="24"/>
        </w:rPr>
        <w:t xml:space="preserve">Move settings that change over time (branch order, filter values) into a configuration file that staff can edit without a new release.</w:t>
      </w:r>
    </w:p>
    <w:p>
      <w:pPr>
        <w:numPr>
          <w:ilvl w:val="0"/>
          <w:numId w:val="2"/>
        </w:numPr>
        <w:spacing w:before="0" w:after="60" w:line="360" w:lineRule="auto"/>
        <w:jc w:val="both"/>
      </w:pPr>
      <w:r>
        <w:rPr>
          <w:sz w:val="24"/>
          <w:szCs w:val="24"/>
        </w:rPr>
        <w:t xml:space="preserve">Where possible, read the data directly from the source system so the manual download of extracts is no longer needed, and add a single action that produces all monthly reports in one run.</w:t>
      </w:r>
    </w:p>
    <w:p>
      <w:pPr>
        <w:numPr>
          <w:ilvl w:val="0"/>
          <w:numId w:val="2"/>
        </w:numPr>
        <w:spacing w:before="0" w:after="60" w:line="360" w:lineRule="auto"/>
        <w:jc w:val="both"/>
      </w:pPr>
      <w:r>
        <w:rPr>
          <w:sz w:val="24"/>
          <w:szCs w:val="24"/>
        </w:rPr>
        <w:t xml:space="preserve">Assign a maintainer and keep the sample extracts and automated tests with the tool, so future changes can be checked against known results.</w:t>
      </w:r>
    </w:p>
    <w:p>
      <w:pPr>
        <w:spacing w:before="0" w:after="120" w:line="360" w:lineRule="auto"/>
        <w:jc w:val="both"/>
      </w:pPr>
      <w:r>
        <w:rPr>
          <w:sz w:val="24"/>
          <w:szCs w:val="24"/>
        </w:rPr>
        <w:t xml:space="preserve">For both divisions, involving the end users early, with real sample data from the first week, would have surfaced most requirements sooner than discovering them release by release.</w:t>
      </w:r>
    </w:p>
    <w:p w:rsidR="00000000" w:rsidDel="00000000" w:rsidP="00000000" w:rsidRDefault="00000000" w:rsidRPr="00000000" w14:paraId="00000023">
      <w:pPr>
        <w:jc w:val="both"/>
        <w:rPr>
          <w:b w:val="1"/>
          <w:sz w:val="24"/>
          <w:szCs w:val="24"/>
        </w:rPr>
      </w:pPr>
      <w:r w:rsidDel="00000000" w:rsidR="00000000" w:rsidRPr="00000000">
        <w:rPr>
          <w:rtl w:val="0"/>
        </w:rPr>
      </w:r>
    </w:p>
    <w:p w:rsidR="00000000" w:rsidDel="00000000" w:rsidP="00000000" w:rsidRDefault="00000000" w:rsidRPr="00000000" w14:paraId="00000024">
      <w:pPr>
        <w:rPr>
          <w:b w:val="1"/>
          <w:sz w:val="28"/>
          <w:szCs w:val="28"/>
        </w:rPr>
      </w:pPr>
      <w:r w:rsidDel="00000000" w:rsidR="00000000" w:rsidRPr="00000000">
        <w:rPr>
          <w:b w:val="1"/>
          <w:sz w:val="28"/>
          <w:szCs w:val="28"/>
          <w:rtl w:val="0"/>
        </w:rPr>
        <w:t xml:space="preserve">Chapter 5. SOFTWARE PROJECTS FOR THE IT AND RTB DIVISIONS</w:t>
      </w:r>
    </w:p>
    <w:p>
      <w:pPr>
        <w:spacing w:before="0" w:after="120" w:line="360" w:lineRule="auto"/>
        <w:jc w:val="both"/>
      </w:pPr>
      <w:r>
        <w:rPr>
          <w:sz w:val="24"/>
          <w:szCs w:val="24"/>
        </w:rPr>
        <w:t xml:space="preserve">This chapter describes the two projects assigned by the company: the Perangkat IT asset management system for the IT division (Section 5.1) and the Tongkat Gaib Excel report automation tool for the RTB division (Section 5.2).</w:t>
      </w:r>
    </w:p>
    <w:p>
      <w:pPr>
        <w:keepNext w:val="1"/>
        <w:spacing w:before="240" w:after="120" w:line="360" w:lineRule="auto"/>
        <w:jc w:val="left"/>
      </w:pPr>
      <w:r>
        <w:rPr>
          <w:b w:val="1"/>
          <w:sz w:val="24"/>
          <w:szCs w:val="24"/>
        </w:rPr>
        <w:t xml:space="preserve">5.1 IT Division Project: Perangkat IT Asset Management System</w:t>
      </w:r>
    </w:p>
    <w:p>
      <w:pPr>
        <w:keepNext w:val="1"/>
        <w:spacing w:before="120" w:after="60" w:line="360" w:lineRule="auto"/>
        <w:jc w:val="left"/>
      </w:pPr>
      <w:r>
        <w:rPr>
          <w:b w:val="1"/>
          <w:i w:val="1"/>
          <w:sz w:val="24"/>
          <w:szCs w:val="24"/>
        </w:rPr>
        <w:t xml:space="preserve">5.1.1 Background and Problem</w:t>
      </w:r>
    </w:p>
    <w:p>
      <w:pPr>
        <w:spacing w:before="0" w:after="120" w:line="360" w:lineRule="auto"/>
        <w:jc w:val="both"/>
      </w:pPr>
      <w:r>
        <w:rPr>
          <w:sz w:val="24"/>
          <w:szCs w:val="24"/>
        </w:rPr>
        <w:t xml:space="preserve">The IT division needs an accurate record of every IT device, who is responsible for it, and its condition, both for daily support and for asset audits. The existing Perangkat IT application stored this information but had serious security gaps, no automated tests, no repeatable deployment, and no way to back up its data from the application. It also showed every employee the same data, whatever their role.</w:t>
      </w:r>
    </w:p>
    <w:p>
      <w:pPr>
        <w:keepNext w:val="1"/>
        <w:spacing w:before="120" w:after="60" w:line="360" w:lineRule="auto"/>
        <w:jc w:val="left"/>
      </w:pPr>
      <w:r>
        <w:rPr>
          <w:b w:val="1"/>
          <w:i w:val="1"/>
          <w:sz w:val="24"/>
          <w:szCs w:val="24"/>
        </w:rPr>
        <w:t xml:space="preserve">5.1.2 Objectives</w:t>
      </w:r>
    </w:p>
    <w:p>
      <w:pPr>
        <w:numPr>
          <w:ilvl w:val="0"/>
          <w:numId w:val="2"/>
        </w:numPr>
        <w:spacing w:before="0" w:after="60" w:line="360" w:lineRule="auto"/>
        <w:jc w:val="both"/>
      </w:pPr>
      <w:r>
        <w:rPr>
          <w:sz w:val="24"/>
          <w:szCs w:val="24"/>
        </w:rPr>
        <w:t xml:space="preserve">Close the security gaps without changing business rules or the database schema.</w:t>
      </w:r>
    </w:p>
    <w:p>
      <w:pPr>
        <w:numPr>
          <w:ilvl w:val="0"/>
          <w:numId w:val="2"/>
        </w:numPr>
        <w:spacing w:before="0" w:after="60" w:line="360" w:lineRule="auto"/>
        <w:jc w:val="both"/>
      </w:pPr>
      <w:r>
        <w:rPr>
          <w:sz w:val="24"/>
          <w:szCs w:val="24"/>
        </w:rPr>
        <w:t xml:space="preserve">Make the system testable, maintainable, and deployable with one command.</w:t>
      </w:r>
    </w:p>
    <w:p>
      <w:pPr>
        <w:numPr>
          <w:ilvl w:val="0"/>
          <w:numId w:val="2"/>
        </w:numPr>
        <w:spacing w:before="0" w:after="60" w:line="360" w:lineRule="auto"/>
        <w:jc w:val="both"/>
      </w:pPr>
      <w:r>
        <w:rPr>
          <w:sz w:val="24"/>
          <w:szCs w:val="24"/>
        </w:rPr>
        <w:t xml:space="preserve">Give administrators an in-app backup and restore feature (stakeholder request 1).</w:t>
      </w:r>
    </w:p>
    <w:p>
      <w:pPr>
        <w:numPr>
          <w:ilvl w:val="0"/>
          <w:numId w:val="2"/>
        </w:numPr>
        <w:spacing w:before="0" w:after="60" w:line="360" w:lineRule="auto"/>
        <w:jc w:val="both"/>
      </w:pPr>
      <w:r>
        <w:rPr>
          <w:sz w:val="24"/>
          <w:szCs w:val="24"/>
        </w:rPr>
        <w:t xml:space="preserve">Give ordinary employees a limited view of their own data through the same login page (stakeholder request 2).</w:t>
      </w:r>
    </w:p>
    <w:p>
      <w:pPr>
        <w:keepNext w:val="1"/>
        <w:spacing w:before="120" w:after="60" w:line="360" w:lineRule="auto"/>
        <w:jc w:val="left"/>
      </w:pPr>
      <w:r>
        <w:rPr>
          <w:b w:val="1"/>
          <w:i w:val="1"/>
          <w:sz w:val="24"/>
          <w:szCs w:val="24"/>
        </w:rPr>
        <w:t xml:space="preserve">5.1.3 System Architecture</w:t>
      </w:r>
    </w:p>
    <w:p>
      <w:pPr>
        <w:spacing w:before="0" w:after="120" w:line="360" w:lineRule="auto"/>
        <w:jc w:val="both"/>
      </w:pPr>
      <w:r>
        <w:rPr>
          <w:sz w:val="24"/>
          <w:szCs w:val="24"/>
        </w:rPr>
        <w:t xml:space="preserve">The system is a three-tier web application packaged with Docker Compose. A user's browser loads the React single-page application from an nginx web server, which also forwards every request under /api to the Express API server. The API reads and writes the PostgreSQL database and stores uploaded handover documents either on local disk or in S3-compatible storage. Logging in sets an httpOnly cookie holding a signed token (JWT). Every API route except login requires this cookie, and every data change also requires the ADMIN role.</w:t>
      </w:r>
    </w:p>
    <w:p>
      <w:pPr>
        <w:spacing w:before="0" w:after="120" w:line="360" w:lineRule="auto"/>
        <w:jc w:val="both"/>
      </w:pPr>
      <w:r>
        <w:rPr>
          <w:sz w:val="24"/>
          <w:szCs w:val="24"/>
        </w:rPr>
        <w:t xml:space="preserve">Inside the API, the code is organised in four layers: routes declare the endpoints and their access rules, controllers handle the HTTP request and response, services hold the business rules, and repositories contain the SQL queries. The API exposes 38 endpoints covering devices, employees, assignments, device status, BRIBOX asset categories, the dashboard, activity logs, backups, and authentication.</w:t>
      </w:r>
    </w:p>
    <w:p>
      <w:pPr>
        <w:keepNext w:val="1"/>
        <w:spacing w:before="120" w:after="60" w:line="360" w:lineRule="auto"/>
        <w:jc w:val="left"/>
      </w:pPr>
      <w:r>
        <w:rPr>
          <w:b w:val="1"/>
          <w:i w:val="1"/>
          <w:sz w:val="24"/>
          <w:szCs w:val="24"/>
        </w:rPr>
        <w:t xml:space="preserve">5.1.4 Database Design</w:t>
      </w:r>
    </w:p>
    <w:p>
      <w:pPr>
        <w:spacing w:before="0" w:after="120" w:line="360" w:lineRule="auto"/>
        <w:jc w:val="both"/>
      </w:pPr>
      <w:r>
        <w:rPr>
          <w:sz w:val="24"/>
          <w:szCs w:val="24"/>
        </w:rPr>
        <w:t xml:space="preserve">The PostgreSQL schema was kept as it was and placed under a migration tool so that future changes are versioned. Table 5.1 lists its tables.</w:t>
      </w:r>
    </w:p>
    <w:p>
      <w:pPr>
        <w:keepNext w:val="1"/>
        <w:spacing w:before="120" w:after="60" w:line="240" w:lineRule="auto"/>
        <w:jc w:val="center"/>
      </w:pPr>
      <w:r>
        <w:rPr>
          <w:b w:val="1"/>
          <w:sz w:val="20"/>
          <w:szCs w:val="20"/>
        </w:rPr>
        <w:t xml:space="preserve">Table 5.1 Perangkat IT database tables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200"/>
        <w:gridCol w:w="6826"/>
      </w:tblGrid>
      <w:tr>
        <w:trPr>
          <w:tblHeader w:val="1"/>
        </w:trPr>
        <w:tc>
          <w:tcPr>
            <w:tcW w:w="2200" w:type="dxa"/>
            <w:shd w:val="clear" w:color="auto" w:fill="D9D9D9"/>
            <w:vAlign w:val="top"/>
          </w:tcPr>
          <w:p>
            <w:pPr>
              <w:spacing w:before="0" w:after="0" w:line="240" w:lineRule="auto"/>
              <w:jc w:val="left"/>
            </w:pPr>
            <w:r>
              <w:rPr>
                <w:b w:val="1"/>
                <w:sz w:val="20"/>
                <w:szCs w:val="20"/>
              </w:rPr>
              <w:t xml:space="preserve">Table</w:t>
            </w:r>
          </w:p>
        </w:tc>
        <w:tc>
          <w:tcPr>
            <w:tcW w:w="6826" w:type="dxa"/>
            <w:shd w:val="clear" w:color="auto" w:fill="D9D9D9"/>
            <w:vAlign w:val="top"/>
          </w:tcPr>
          <w:p>
            <w:pPr>
              <w:spacing w:before="0" w:after="0" w:line="240" w:lineRule="auto"/>
              <w:jc w:val="left"/>
            </w:pPr>
            <w:r>
              <w:rPr>
                <w:b w:val="1"/>
                <w:sz w:val="20"/>
                <w:szCs w:val="20"/>
              </w:rPr>
              <w:t xml:space="preserve">Purpose</w:t>
            </w:r>
          </w:p>
        </w:tc>
      </w:tr>
      <w:tr>
        <w:tc>
          <w:tcPr>
            <w:tcW w:w="2200" w:type="dxa"/>
            <w:vAlign w:val="top"/>
          </w:tcPr>
          <w:p>
            <w:pPr>
              <w:spacing w:before="0" w:after="0" w:line="240" w:lineRule="auto"/>
              <w:jc w:val="left"/>
            </w:pPr>
            <w:r>
              <w:rPr>
                <w:sz w:val="20"/>
                <w:szCs w:val="20"/>
              </w:rPr>
              <w:t xml:space="preserve">karyawan</w:t>
            </w:r>
          </w:p>
        </w:tc>
        <w:tc>
          <w:tcPr>
            <w:tcW w:w="6826" w:type="dxa"/>
            <w:vAlign w:val="top"/>
          </w:tcPr>
          <w:p>
            <w:pPr>
              <w:spacing w:before="0" w:after="0" w:line="240" w:lineRule="auto"/>
              <w:jc w:val="left"/>
            </w:pPr>
            <w:r>
              <w:rPr>
                <w:sz w:val="20"/>
                <w:szCs w:val="20"/>
              </w:rPr>
              <w:t xml:space="preserve">Employees: name, employee number (NIP), division, position, contact details, active flag</w:t>
            </w:r>
          </w:p>
        </w:tc>
      </w:tr>
      <w:tr>
        <w:tc>
          <w:tcPr>
            <w:tcW w:w="2200" w:type="dxa"/>
            <w:vAlign w:val="top"/>
          </w:tcPr>
          <w:p>
            <w:pPr>
              <w:spacing w:before="0" w:after="0" w:line="240" w:lineRule="auto"/>
              <w:jc w:val="left"/>
            </w:pPr>
            <w:r>
              <w:rPr>
                <w:sz w:val="20"/>
                <w:szCs w:val="20"/>
              </w:rPr>
              <w:t xml:space="preserve">akun</w:t>
            </w:r>
          </w:p>
        </w:tc>
        <w:tc>
          <w:tcPr>
            <w:tcW w:w="6826" w:type="dxa"/>
            <w:vAlign w:val="top"/>
          </w:tcPr>
          <w:p>
            <w:pPr>
              <w:spacing w:before="0" w:after="0" w:line="240" w:lineRule="auto"/>
              <w:jc w:val="left"/>
            </w:pPr>
            <w:r>
              <w:rPr>
                <w:sz w:val="20"/>
                <w:szCs w:val="20"/>
              </w:rPr>
              <w:t xml:space="preserve">Login accounts linked to an employee, with a hashed password and a role (ADMIN or USER)</w:t>
            </w:r>
          </w:p>
        </w:tc>
      </w:tr>
      <w:tr>
        <w:tc>
          <w:tcPr>
            <w:tcW w:w="2200" w:type="dxa"/>
            <w:vAlign w:val="top"/>
          </w:tcPr>
          <w:p>
            <w:pPr>
              <w:spacing w:before="0" w:after="0" w:line="240" w:lineRule="auto"/>
              <w:jc w:val="left"/>
            </w:pPr>
            <w:r>
              <w:rPr>
                <w:sz w:val="20"/>
                <w:szCs w:val="20"/>
              </w:rPr>
              <w:t xml:space="preserve">mdeviceit</w:t>
            </w:r>
          </w:p>
        </w:tc>
        <w:tc>
          <w:tcPr>
            <w:tcW w:w="6826" w:type="dxa"/>
            <w:vAlign w:val="top"/>
          </w:tcPr>
          <w:p>
            <w:pPr>
              <w:spacing w:before="0" w:after="0" w:line="240" w:lineRule="auto"/>
              <w:jc w:val="left"/>
            </w:pPr>
            <w:r>
              <w:rPr>
                <w:sz w:val="20"/>
                <w:szCs w:val="20"/>
              </w:rPr>
              <w:t xml:space="preserve">Device master data: type (PC, Laptop, Printer), brand, model, serial number, asset number, specifications, acquisition date</w:t>
            </w:r>
          </w:p>
        </w:tc>
      </w:tr>
      <w:tr>
        <w:tc>
          <w:tcPr>
            <w:tcW w:w="2200" w:type="dxa"/>
            <w:vAlign w:val="top"/>
          </w:tcPr>
          <w:p>
            <w:pPr>
              <w:spacing w:before="0" w:after="0" w:line="240" w:lineRule="auto"/>
              <w:jc w:val="left"/>
            </w:pPr>
            <w:r>
              <w:rPr>
                <w:sz w:val="20"/>
                <w:szCs w:val="20"/>
              </w:rPr>
              <w:t xml:space="preserve">idbribox</w:t>
            </w:r>
          </w:p>
        </w:tc>
        <w:tc>
          <w:tcPr>
            <w:tcW w:w="6826" w:type="dxa"/>
            <w:vAlign w:val="top"/>
          </w:tcPr>
          <w:p>
            <w:pPr>
              <w:spacing w:before="0" w:after="0" w:line="240" w:lineRule="auto"/>
              <w:jc w:val="left"/>
            </w:pPr>
            <w:r>
              <w:rPr>
                <w:sz w:val="20"/>
                <w:szCs w:val="20"/>
              </w:rPr>
              <w:t xml:space="preserve">Asset category codes that each device belongs to</w:t>
            </w:r>
          </w:p>
        </w:tc>
      </w:tr>
      <w:tr>
        <w:tc>
          <w:tcPr>
            <w:tcW w:w="2200" w:type="dxa"/>
            <w:vAlign w:val="top"/>
          </w:tcPr>
          <w:p>
            <w:pPr>
              <w:spacing w:before="0" w:after="0" w:line="240" w:lineRule="auto"/>
              <w:jc w:val="left"/>
            </w:pPr>
            <w:r>
              <w:rPr>
                <w:sz w:val="20"/>
                <w:szCs w:val="20"/>
              </w:rPr>
              <w:t xml:space="preserve">penugasan_device</w:t>
            </w:r>
          </w:p>
        </w:tc>
        <w:tc>
          <w:tcPr>
            <w:tcW w:w="6826" w:type="dxa"/>
            <w:vAlign w:val="top"/>
          </w:tcPr>
          <w:p>
            <w:pPr>
              <w:spacing w:before="0" w:after="0" w:line="240" w:lineRule="auto"/>
              <w:jc w:val="left"/>
            </w:pPr>
            <w:r>
              <w:rPr>
                <w:sz w:val="20"/>
                <w:szCs w:val="20"/>
              </w:rPr>
              <w:t xml:space="preserve">Assignments of a device to an employee, with start and end dates, notes, and the handover document</w:t>
            </w:r>
          </w:p>
        </w:tc>
      </w:tr>
      <w:tr>
        <w:tc>
          <w:tcPr>
            <w:tcW w:w="2200" w:type="dxa"/>
            <w:vAlign w:val="top"/>
          </w:tcPr>
          <w:p>
            <w:pPr>
              <w:spacing w:before="0" w:after="0" w:line="240" w:lineRule="auto"/>
              <w:jc w:val="left"/>
            </w:pPr>
            <w:r>
              <w:rPr>
                <w:sz w:val="20"/>
                <w:szCs w:val="20"/>
              </w:rPr>
              <w:t xml:space="preserve">status_device</w:t>
            </w:r>
          </w:p>
        </w:tc>
        <w:tc>
          <w:tcPr>
            <w:tcW w:w="6826" w:type="dxa"/>
            <w:vAlign w:val="top"/>
          </w:tcPr>
          <w:p>
            <w:pPr>
              <w:spacing w:before="0" w:after="0" w:line="240" w:lineRule="auto"/>
              <w:jc w:val="left"/>
            </w:pPr>
            <w:r>
              <w:rPr>
                <w:sz w:val="20"/>
                <w:szCs w:val="20"/>
              </w:rPr>
              <w:t xml:space="preserve">Current and past status periods of a device (IN_USE, MAINTENANCE, AUCTION, STORAGE)</w:t>
            </w:r>
          </w:p>
        </w:tc>
      </w:tr>
      <w:tr>
        <w:tc>
          <w:tcPr>
            <w:tcW w:w="2200" w:type="dxa"/>
            <w:vAlign w:val="top"/>
          </w:tcPr>
          <w:p>
            <w:pPr>
              <w:spacing w:before="0" w:after="0" w:line="240" w:lineRule="auto"/>
              <w:jc w:val="left"/>
            </w:pPr>
            <w:r>
              <w:rPr>
                <w:sz w:val="20"/>
                <w:szCs w:val="20"/>
              </w:rPr>
              <w:t xml:space="preserve">storage_detail</w:t>
            </w:r>
          </w:p>
        </w:tc>
        <w:tc>
          <w:tcPr>
            <w:tcW w:w="6826" w:type="dxa"/>
            <w:vAlign w:val="top"/>
          </w:tcPr>
          <w:p>
            <w:pPr>
              <w:spacing w:before="0" w:after="0" w:line="240" w:lineRule="auto"/>
              <w:jc w:val="left"/>
            </w:pPr>
            <w:r>
              <w:rPr>
                <w:sz w:val="20"/>
                <w:szCs w:val="20"/>
              </w:rPr>
              <w:t xml:space="preserve">Storage location and condition, required whenever a device is in STORAGE</w:t>
            </w:r>
          </w:p>
        </w:tc>
      </w:tr>
      <w:tr>
        <w:tc>
          <w:tcPr>
            <w:tcW w:w="2200" w:type="dxa"/>
            <w:vAlign w:val="top"/>
          </w:tcPr>
          <w:p>
            <w:pPr>
              <w:spacing w:before="0" w:after="0" w:line="240" w:lineRule="auto"/>
              <w:jc w:val="left"/>
            </w:pPr>
            <w:r>
              <w:rPr>
                <w:sz w:val="20"/>
                <w:szCs w:val="20"/>
              </w:rPr>
              <w:t xml:space="preserve">riwayat_status</w:t>
            </w:r>
          </w:p>
        </w:tc>
        <w:tc>
          <w:tcPr>
            <w:tcW w:w="6826" w:type="dxa"/>
            <w:vAlign w:val="top"/>
          </w:tcPr>
          <w:p>
            <w:pPr>
              <w:spacing w:before="0" w:after="0" w:line="240" w:lineRule="auto"/>
              <w:jc w:val="left"/>
            </w:pPr>
            <w:r>
              <w:rPr>
                <w:sz w:val="20"/>
                <w:szCs w:val="20"/>
              </w:rPr>
              <w:t xml:space="preserve">Status change history: old and new status, who changed it, the reason, and a reference document</w:t>
            </w:r>
          </w:p>
        </w:tc>
      </w:tr>
      <w:tr>
        <w:tc>
          <w:tcPr>
            <w:tcW w:w="2200" w:type="dxa"/>
            <w:vAlign w:val="top"/>
          </w:tcPr>
          <w:p>
            <w:pPr>
              <w:spacing w:before="0" w:after="0" w:line="240" w:lineRule="auto"/>
              <w:jc w:val="left"/>
            </w:pPr>
            <w:r>
              <w:rPr>
                <w:sz w:val="20"/>
                <w:szCs w:val="20"/>
              </w:rPr>
              <w:t xml:space="preserve">log_aktivitas</w:t>
            </w:r>
          </w:p>
        </w:tc>
        <w:tc>
          <w:tcPr>
            <w:tcW w:w="6826" w:type="dxa"/>
            <w:vAlign w:val="top"/>
          </w:tcPr>
          <w:p>
            <w:pPr>
              <w:spacing w:before="0" w:after="0" w:line="240" w:lineRule="auto"/>
              <w:jc w:val="left"/>
            </w:pPr>
            <w:r>
              <w:rPr>
                <w:sz w:val="20"/>
                <w:szCs w:val="20"/>
              </w:rPr>
              <w:t xml:space="preserve">Audit log of every create, update, and delete action</w:t>
            </w:r>
          </w:p>
        </w:tc>
      </w:tr>
    </w:tbl>
    <w:p>
      <w:pPr>
        <w:spacing w:before="0" w:after="60" w:line="240" w:lineRule="auto"/>
        <w:jc w:val="both"/>
      </w:pPr>
    </w:p>
    <w:p>
      <w:pPr>
        <w:spacing w:before="0" w:after="120" w:line="360" w:lineRule="auto"/>
        <w:jc w:val="both"/>
      </w:pPr>
      <w:r>
        <w:rPr>
          <w:sz w:val="24"/>
          <w:szCs w:val="24"/>
        </w:rPr>
        <w:t xml:space="preserve">Partial unique indexes ensure that a device has only one open assignment and one current status at a time, and check constraints ensure that end dates never come before start dates and that storage details are present only when a device is in storage.</w:t>
      </w:r>
    </w:p>
    <w:p>
      <w:pPr>
        <w:keepNext w:val="1"/>
        <w:spacing w:before="120" w:after="60" w:line="360" w:lineRule="auto"/>
        <w:jc w:val="left"/>
      </w:pPr>
      <w:r>
        <w:rPr>
          <w:b w:val="1"/>
          <w:i w:val="1"/>
          <w:sz w:val="24"/>
          <w:szCs w:val="24"/>
        </w:rPr>
        <w:t xml:space="preserve">5.1.5 Role-Based Access Control</w:t>
      </w:r>
    </w:p>
    <w:p>
      <w:pPr>
        <w:spacing w:before="0" w:after="120" w:line="360" w:lineRule="auto"/>
        <w:jc w:val="both"/>
      </w:pPr>
      <w:r>
        <w:rPr>
          <w:sz w:val="24"/>
          <w:szCs w:val="24"/>
        </w:rPr>
        <w:t xml:space="preserve">For the second stakeholder request, both roles use the same login page and layout, but the API filters data by role inside the SQL query, and the sidebar shows only the pages a role may use. Table 5.2 shows the resulting permissions.</w:t>
      </w:r>
    </w:p>
    <w:p>
      <w:pPr>
        <w:keepNext w:val="1"/>
        <w:spacing w:before="120" w:after="60" w:line="240" w:lineRule="auto"/>
        <w:jc w:val="center"/>
      </w:pPr>
      <w:r>
        <w:rPr>
          <w:b w:val="1"/>
          <w:sz w:val="20"/>
          <w:szCs w:val="20"/>
        </w:rPr>
        <w:t xml:space="preserve">Table 5.2 Permission matrix</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4026"/>
        <w:gridCol w:w="2500"/>
        <w:gridCol w:w="2500"/>
      </w:tblGrid>
      <w:tr>
        <w:trPr>
          <w:tblHeader w:val="1"/>
        </w:trPr>
        <w:tc>
          <w:tcPr>
            <w:tcW w:w="4026" w:type="dxa"/>
            <w:shd w:val="clear" w:color="auto" w:fill="D9D9D9"/>
            <w:vAlign w:val="top"/>
          </w:tcPr>
          <w:p>
            <w:pPr>
              <w:spacing w:before="0" w:after="0" w:line="240" w:lineRule="auto"/>
              <w:jc w:val="left"/>
            </w:pPr>
            <w:r>
              <w:rPr>
                <w:b w:val="1"/>
                <w:sz w:val="20"/>
                <w:szCs w:val="20"/>
              </w:rPr>
              <w:t xml:space="preserve">Feature</w:t>
            </w:r>
          </w:p>
        </w:tc>
        <w:tc>
          <w:tcPr>
            <w:tcW w:w="2500" w:type="dxa"/>
            <w:shd w:val="clear" w:color="auto" w:fill="D9D9D9"/>
            <w:vAlign w:val="top"/>
          </w:tcPr>
          <w:p>
            <w:pPr>
              <w:spacing w:before="0" w:after="0" w:line="240" w:lineRule="auto"/>
              <w:jc w:val="left"/>
            </w:pPr>
            <w:r>
              <w:rPr>
                <w:b w:val="1"/>
                <w:sz w:val="20"/>
                <w:szCs w:val="20"/>
              </w:rPr>
              <w:t xml:space="preserve">ADMIN</w:t>
            </w:r>
          </w:p>
        </w:tc>
        <w:tc>
          <w:tcPr>
            <w:tcW w:w="2500" w:type="dxa"/>
            <w:shd w:val="clear" w:color="auto" w:fill="D9D9D9"/>
            <w:vAlign w:val="top"/>
          </w:tcPr>
          <w:p>
            <w:pPr>
              <w:spacing w:before="0" w:after="0" w:line="240" w:lineRule="auto"/>
              <w:jc w:val="left"/>
            </w:pPr>
            <w:r>
              <w:rPr>
                <w:b w:val="1"/>
                <w:sz w:val="20"/>
                <w:szCs w:val="20"/>
              </w:rPr>
              <w:t xml:space="preserve">USER</w:t>
            </w:r>
          </w:p>
        </w:tc>
      </w:tr>
      <w:tr>
        <w:tc>
          <w:tcPr>
            <w:tcW w:w="4026" w:type="dxa"/>
            <w:vAlign w:val="top"/>
          </w:tcPr>
          <w:p>
            <w:pPr>
              <w:spacing w:before="0" w:after="0" w:line="240" w:lineRule="auto"/>
              <w:jc w:val="left"/>
            </w:pPr>
            <w:r>
              <w:rPr>
                <w:sz w:val="20"/>
                <w:szCs w:val="20"/>
              </w:rPr>
              <w:t xml:space="preserve">View devices</w:t>
            </w:r>
          </w:p>
        </w:tc>
        <w:tc>
          <w:tcPr>
            <w:tcW w:w="2500" w:type="dxa"/>
            <w:vAlign w:val="top"/>
          </w:tcPr>
          <w:p>
            <w:pPr>
              <w:spacing w:before="0" w:after="0" w:line="240" w:lineRule="auto"/>
              <w:jc w:val="left"/>
            </w:pPr>
            <w:r>
              <w:rPr>
                <w:sz w:val="20"/>
                <w:szCs w:val="20"/>
              </w:rPr>
              <w:t xml:space="preserve">Yes</w:t>
            </w:r>
          </w:p>
        </w:tc>
        <w:tc>
          <w:tcPr>
            <w:tcW w:w="2500" w:type="dxa"/>
            <w:vAlign w:val="top"/>
          </w:tcPr>
          <w:p>
            <w:pPr>
              <w:spacing w:before="0" w:after="0" w:line="240" w:lineRule="auto"/>
              <w:jc w:val="left"/>
            </w:pPr>
            <w:r>
              <w:rPr>
                <w:sz w:val="20"/>
                <w:szCs w:val="20"/>
              </w:rPr>
              <w:t xml:space="preserve">Yes (read-only)</w:t>
            </w:r>
          </w:p>
        </w:tc>
      </w:tr>
      <w:tr>
        <w:tc>
          <w:tcPr>
            <w:tcW w:w="4026" w:type="dxa"/>
            <w:vAlign w:val="top"/>
          </w:tcPr>
          <w:p>
            <w:pPr>
              <w:spacing w:before="0" w:after="0" w:line="240" w:lineRule="auto"/>
              <w:jc w:val="left"/>
            </w:pPr>
            <w:r>
              <w:rPr>
                <w:sz w:val="20"/>
                <w:szCs w:val="20"/>
              </w:rPr>
              <w:t xml:space="preserve">Add, edit, or delete devices</w:t>
            </w:r>
          </w:p>
        </w:tc>
        <w:tc>
          <w:tcPr>
            <w:tcW w:w="2500" w:type="dxa"/>
            <w:vAlign w:val="top"/>
          </w:tcPr>
          <w:p>
            <w:pPr>
              <w:spacing w:before="0" w:after="0" w:line="240" w:lineRule="auto"/>
              <w:jc w:val="left"/>
            </w:pPr>
            <w:r>
              <w:rPr>
                <w:sz w:val="20"/>
                <w:szCs w:val="20"/>
              </w:rPr>
              <w:t xml:space="preserve">Yes</w:t>
            </w:r>
          </w:p>
        </w:tc>
        <w:tc>
          <w:tcPr>
            <w:tcW w:w="2500" w:type="dxa"/>
            <w:vAlign w:val="top"/>
          </w:tcPr>
          <w:p>
            <w:pPr>
              <w:spacing w:before="0" w:after="0" w:line="240" w:lineRule="auto"/>
              <w:jc w:val="left"/>
            </w:pPr>
            <w:r>
              <w:rPr>
                <w:sz w:val="20"/>
                <w:szCs w:val="20"/>
              </w:rPr>
              <w:t xml:space="preserve">No</w:t>
            </w:r>
          </w:p>
        </w:tc>
      </w:tr>
      <w:tr>
        <w:tc>
          <w:tcPr>
            <w:tcW w:w="4026" w:type="dxa"/>
            <w:vAlign w:val="top"/>
          </w:tcPr>
          <w:p>
            <w:pPr>
              <w:spacing w:before="0" w:after="0" w:line="240" w:lineRule="auto"/>
              <w:jc w:val="left"/>
            </w:pPr>
            <w:r>
              <w:rPr>
                <w:sz w:val="20"/>
                <w:szCs w:val="20"/>
              </w:rPr>
              <w:t xml:space="preserve">View employees</w:t>
            </w:r>
          </w:p>
        </w:tc>
        <w:tc>
          <w:tcPr>
            <w:tcW w:w="2500" w:type="dxa"/>
            <w:vAlign w:val="top"/>
          </w:tcPr>
          <w:p>
            <w:pPr>
              <w:spacing w:before="0" w:after="0" w:line="240" w:lineRule="auto"/>
              <w:jc w:val="left"/>
            </w:pPr>
            <w:r>
              <w:rPr>
                <w:sz w:val="20"/>
                <w:szCs w:val="20"/>
              </w:rPr>
              <w:t xml:space="preserve">All employees</w:t>
            </w:r>
          </w:p>
        </w:tc>
        <w:tc>
          <w:tcPr>
            <w:tcW w:w="2500" w:type="dxa"/>
            <w:vAlign w:val="top"/>
          </w:tcPr>
          <w:p>
            <w:pPr>
              <w:spacing w:before="0" w:after="0" w:line="240" w:lineRule="auto"/>
              <w:jc w:val="left"/>
            </w:pPr>
            <w:r>
              <w:rPr>
                <w:sz w:val="20"/>
                <w:szCs w:val="20"/>
              </w:rPr>
              <w:t xml:space="preserve">Own record only</w:t>
            </w:r>
          </w:p>
        </w:tc>
      </w:tr>
      <w:tr>
        <w:tc>
          <w:tcPr>
            <w:tcW w:w="4026" w:type="dxa"/>
            <w:vAlign w:val="top"/>
          </w:tcPr>
          <w:p>
            <w:pPr>
              <w:spacing w:before="0" w:after="0" w:line="240" w:lineRule="auto"/>
              <w:jc w:val="left"/>
            </w:pPr>
            <w:r>
              <w:rPr>
                <w:sz w:val="20"/>
                <w:szCs w:val="20"/>
              </w:rPr>
              <w:t xml:space="preserve">View assignments and documents</w:t>
            </w:r>
          </w:p>
        </w:tc>
        <w:tc>
          <w:tcPr>
            <w:tcW w:w="2500" w:type="dxa"/>
            <w:vAlign w:val="top"/>
          </w:tcPr>
          <w:p>
            <w:pPr>
              <w:spacing w:before="0" w:after="0" w:line="240" w:lineRule="auto"/>
              <w:jc w:val="left"/>
            </w:pPr>
            <w:r>
              <w:rPr>
                <w:sz w:val="20"/>
                <w:szCs w:val="20"/>
              </w:rPr>
              <w:t xml:space="preserve">All</w:t>
            </w:r>
          </w:p>
        </w:tc>
        <w:tc>
          <w:tcPr>
            <w:tcW w:w="2500" w:type="dxa"/>
            <w:vAlign w:val="top"/>
          </w:tcPr>
          <w:p>
            <w:pPr>
              <w:spacing w:before="0" w:after="0" w:line="240" w:lineRule="auto"/>
              <w:jc w:val="left"/>
            </w:pPr>
            <w:r>
              <w:rPr>
                <w:sz w:val="20"/>
                <w:szCs w:val="20"/>
              </w:rPr>
              <w:t xml:space="preserve">Own assignments only</w:t>
            </w:r>
          </w:p>
        </w:tc>
      </w:tr>
      <w:tr>
        <w:tc>
          <w:tcPr>
            <w:tcW w:w="4026" w:type="dxa"/>
            <w:vAlign w:val="top"/>
          </w:tcPr>
          <w:p>
            <w:pPr>
              <w:spacing w:before="0" w:after="0" w:line="240" w:lineRule="auto"/>
              <w:jc w:val="left"/>
            </w:pPr>
            <w:r>
              <w:rPr>
                <w:sz w:val="20"/>
                <w:szCs w:val="20"/>
              </w:rPr>
              <w:t xml:space="preserve">Dashboard</w:t>
            </w:r>
          </w:p>
        </w:tc>
        <w:tc>
          <w:tcPr>
            <w:tcW w:w="2500" w:type="dxa"/>
            <w:vAlign w:val="top"/>
          </w:tcPr>
          <w:p>
            <w:pPr>
              <w:spacing w:before="0" w:after="0" w:line="240" w:lineRule="auto"/>
              <w:jc w:val="left"/>
            </w:pPr>
            <w:r>
              <w:rPr>
                <w:sz w:val="20"/>
                <w:szCs w:val="20"/>
              </w:rPr>
              <w:t xml:space="preserve">Organisation-wide summary</w:t>
            </w:r>
          </w:p>
        </w:tc>
        <w:tc>
          <w:tcPr>
            <w:tcW w:w="2500" w:type="dxa"/>
            <w:vAlign w:val="top"/>
          </w:tcPr>
          <w:p>
            <w:pPr>
              <w:spacing w:before="0" w:after="0" w:line="240" w:lineRule="auto"/>
              <w:jc w:val="left"/>
            </w:pPr>
            <w:r>
              <w:rPr>
                <w:sz w:val="20"/>
                <w:szCs w:val="20"/>
              </w:rPr>
              <w:t xml:space="preserve">Own active devices</w:t>
            </w:r>
          </w:p>
        </w:tc>
      </w:tr>
      <w:tr>
        <w:tc>
          <w:tcPr>
            <w:tcW w:w="4026" w:type="dxa"/>
            <w:vAlign w:val="top"/>
          </w:tcPr>
          <w:p>
            <w:pPr>
              <w:spacing w:before="0" w:after="0" w:line="240" w:lineRule="auto"/>
              <w:jc w:val="left"/>
            </w:pPr>
            <w:r>
              <w:rPr>
                <w:sz w:val="20"/>
                <w:szCs w:val="20"/>
              </w:rPr>
              <w:t xml:space="preserve">Activity logs</w:t>
            </w:r>
          </w:p>
        </w:tc>
        <w:tc>
          <w:tcPr>
            <w:tcW w:w="2500" w:type="dxa"/>
            <w:vAlign w:val="top"/>
          </w:tcPr>
          <w:p>
            <w:pPr>
              <w:spacing w:before="0" w:after="0" w:line="240" w:lineRule="auto"/>
              <w:jc w:val="left"/>
            </w:pPr>
            <w:r>
              <w:rPr>
                <w:sz w:val="20"/>
                <w:szCs w:val="20"/>
              </w:rPr>
              <w:t xml:space="preserve">Yes</w:t>
            </w:r>
          </w:p>
        </w:tc>
        <w:tc>
          <w:tcPr>
            <w:tcW w:w="2500" w:type="dxa"/>
            <w:vAlign w:val="top"/>
          </w:tcPr>
          <w:p>
            <w:pPr>
              <w:spacing w:before="0" w:after="0" w:line="240" w:lineRule="auto"/>
              <w:jc w:val="left"/>
            </w:pPr>
            <w:r>
              <w:rPr>
                <w:sz w:val="20"/>
                <w:szCs w:val="20"/>
              </w:rPr>
              <w:t xml:space="preserve">No</w:t>
            </w:r>
          </w:p>
        </w:tc>
      </w:tr>
      <w:tr>
        <w:tc>
          <w:tcPr>
            <w:tcW w:w="4026" w:type="dxa"/>
            <w:vAlign w:val="top"/>
          </w:tcPr>
          <w:p>
            <w:pPr>
              <w:spacing w:before="0" w:after="0" w:line="240" w:lineRule="auto"/>
              <w:jc w:val="left"/>
            </w:pPr>
            <w:r>
              <w:rPr>
                <w:sz w:val="20"/>
                <w:szCs w:val="20"/>
              </w:rPr>
              <w:t xml:space="preserve">Backup and restore</w:t>
            </w:r>
          </w:p>
        </w:tc>
        <w:tc>
          <w:tcPr>
            <w:tcW w:w="2500" w:type="dxa"/>
            <w:vAlign w:val="top"/>
          </w:tcPr>
          <w:p>
            <w:pPr>
              <w:spacing w:before="0" w:after="0" w:line="240" w:lineRule="auto"/>
              <w:jc w:val="left"/>
            </w:pPr>
            <w:r>
              <w:rPr>
                <w:sz w:val="20"/>
                <w:szCs w:val="20"/>
              </w:rPr>
              <w:t xml:space="preserve">Yes</w:t>
            </w:r>
          </w:p>
        </w:tc>
        <w:tc>
          <w:tcPr>
            <w:tcW w:w="2500" w:type="dxa"/>
            <w:vAlign w:val="top"/>
          </w:tcPr>
          <w:p>
            <w:pPr>
              <w:spacing w:before="0" w:after="0" w:line="240" w:lineRule="auto"/>
              <w:jc w:val="left"/>
            </w:pPr>
            <w:r>
              <w:rPr>
                <w:sz w:val="20"/>
                <w:szCs w:val="20"/>
              </w:rPr>
              <w:t xml:space="preserve">No</w:t>
            </w:r>
          </w:p>
        </w:tc>
      </w:tr>
      <w:tr>
        <w:tc>
          <w:tcPr>
            <w:tcW w:w="4026" w:type="dxa"/>
            <w:vAlign w:val="top"/>
          </w:tcPr>
          <w:p>
            <w:pPr>
              <w:spacing w:before="0" w:after="0" w:line="240" w:lineRule="auto"/>
              <w:jc w:val="left"/>
            </w:pPr>
            <w:r>
              <w:rPr>
                <w:sz w:val="20"/>
                <w:szCs w:val="20"/>
              </w:rPr>
              <w:t xml:space="preserve">Change own password</w:t>
            </w:r>
          </w:p>
        </w:tc>
        <w:tc>
          <w:tcPr>
            <w:tcW w:w="2500" w:type="dxa"/>
            <w:vAlign w:val="top"/>
          </w:tcPr>
          <w:p>
            <w:pPr>
              <w:spacing w:before="0" w:after="0" w:line="240" w:lineRule="auto"/>
              <w:jc w:val="left"/>
            </w:pPr>
            <w:r>
              <w:rPr>
                <w:sz w:val="20"/>
                <w:szCs w:val="20"/>
              </w:rPr>
              <w:t xml:space="preserve">Yes</w:t>
            </w:r>
          </w:p>
        </w:tc>
        <w:tc>
          <w:tcPr>
            <w:tcW w:w="2500" w:type="dxa"/>
            <w:vAlign w:val="top"/>
          </w:tcPr>
          <w:p>
            <w:pPr>
              <w:spacing w:before="0" w:after="0" w:line="240" w:lineRule="auto"/>
              <w:jc w:val="left"/>
            </w:pPr>
            <w:r>
              <w:rPr>
                <w:sz w:val="20"/>
                <w:szCs w:val="20"/>
              </w:rPr>
              <w:t xml:space="preserve">Yes</w:t>
            </w:r>
          </w:p>
        </w:tc>
      </w:tr>
    </w:tbl>
    <w:p>
      <w:pPr>
        <w:spacing w:before="0" w:after="60" w:line="240" w:lineRule="auto"/>
        <w:jc w:val="both"/>
      </w:pPr>
    </w:p>
    <w:p>
      <w:pPr>
        <w:keepNext w:val="1"/>
        <w:spacing w:before="120" w:after="60" w:line="360" w:lineRule="auto"/>
        <w:jc w:val="left"/>
      </w:pPr>
      <w:r>
        <w:rPr>
          <w:b w:val="1"/>
          <w:i w:val="1"/>
          <w:sz w:val="24"/>
          <w:szCs w:val="24"/>
        </w:rPr>
        <w:t xml:space="preserve">5.1.6 In-App Backup Feature</w:t>
      </w:r>
    </w:p>
    <w:p>
      <w:pPr>
        <w:spacing w:before="0" w:after="120" w:line="360" w:lineRule="auto"/>
        <w:jc w:val="both"/>
      </w:pPr>
      <w:r>
        <w:rPr>
          <w:sz w:val="24"/>
          <w:szCs w:val="24"/>
        </w:rPr>
        <w:t xml:space="preserve">For the first stakeholder request, administrators can start a database backup from the Backups page. The server runs the backup as a background job, and the page follows its progress, then lists completed backups for download or deletion. Restoring a backup requires an explicit confirmation step, because it replaces the current data. Server-side backup scripts remain available for scheduled backups.</w:t>
      </w:r>
    </w:p>
    <w:p>
      <w:pPr>
        <w:keepNext w:val="1"/>
        <w:spacing w:before="120" w:after="60" w:line="360" w:lineRule="auto"/>
        <w:jc w:val="left"/>
      </w:pPr>
      <w:r>
        <w:rPr>
          <w:b w:val="1"/>
          <w:i w:val="1"/>
          <w:sz w:val="24"/>
          <w:szCs w:val="24"/>
        </w:rPr>
        <w:t xml:space="preserve">5.1.7 Testing and Deployment</w:t>
      </w:r>
    </w:p>
    <w:p>
      <w:pPr>
        <w:keepNext w:val="1"/>
        <w:spacing w:before="120" w:after="60" w:line="240" w:lineRule="auto"/>
        <w:jc w:val="center"/>
      </w:pPr>
      <w:r>
        <w:rPr>
          <w:b w:val="1"/>
          <w:sz w:val="20"/>
          <w:szCs w:val="20"/>
        </w:rPr>
        <w:t xml:space="preserve">Table 5.3 Perangkat IT quality checks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600"/>
        <w:gridCol w:w="2200"/>
        <w:gridCol w:w="4226"/>
      </w:tblGrid>
      <w:tr>
        <w:trPr>
          <w:tblHeader w:val="1"/>
        </w:trPr>
        <w:tc>
          <w:tcPr>
            <w:tcW w:w="2600" w:type="dxa"/>
            <w:shd w:val="clear" w:color="auto" w:fill="D9D9D9"/>
            <w:vAlign w:val="top"/>
          </w:tcPr>
          <w:p>
            <w:pPr>
              <w:spacing w:before="0" w:after="0" w:line="240" w:lineRule="auto"/>
              <w:jc w:val="left"/>
            </w:pPr>
            <w:r>
              <w:rPr>
                <w:b w:val="1"/>
                <w:sz w:val="20"/>
                <w:szCs w:val="20"/>
              </w:rPr>
              <w:t xml:space="preserve">Check</w:t>
            </w:r>
          </w:p>
        </w:tc>
        <w:tc>
          <w:tcPr>
            <w:tcW w:w="2200" w:type="dxa"/>
            <w:shd w:val="clear" w:color="auto" w:fill="D9D9D9"/>
            <w:vAlign w:val="top"/>
          </w:tcPr>
          <w:p>
            <w:pPr>
              <w:spacing w:before="0" w:after="0" w:line="240" w:lineRule="auto"/>
              <w:jc w:val="left"/>
            </w:pPr>
            <w:r>
              <w:rPr>
                <w:b w:val="1"/>
                <w:sz w:val="20"/>
                <w:szCs w:val="20"/>
              </w:rPr>
              <w:t xml:space="preserve">Tool</w:t>
            </w:r>
          </w:p>
        </w:tc>
        <w:tc>
          <w:tcPr>
            <w:tcW w:w="4226" w:type="dxa"/>
            <w:shd w:val="clear" w:color="auto" w:fill="D9D9D9"/>
            <w:vAlign w:val="top"/>
          </w:tcPr>
          <w:p>
            <w:pPr>
              <w:spacing w:before="0" w:after="0" w:line="240" w:lineRule="auto"/>
              <w:jc w:val="left"/>
            </w:pPr>
            <w:r>
              <w:rPr>
                <w:b w:val="1"/>
                <w:sz w:val="20"/>
                <w:szCs w:val="20"/>
              </w:rPr>
              <w:t xml:space="preserve">Scope</w:t>
            </w:r>
          </w:p>
        </w:tc>
      </w:tr>
      <w:tr>
        <w:tc>
          <w:tcPr>
            <w:tcW w:w="2600" w:type="dxa"/>
            <w:vAlign w:val="top"/>
          </w:tcPr>
          <w:p>
            <w:pPr>
              <w:spacing w:before="0" w:after="0" w:line="240" w:lineRule="auto"/>
              <w:jc w:val="left"/>
            </w:pPr>
            <w:r>
              <w:rPr>
                <w:sz w:val="20"/>
                <w:szCs w:val="20"/>
              </w:rPr>
              <w:t xml:space="preserve">Backend unit and integration tests</w:t>
            </w:r>
          </w:p>
        </w:tc>
        <w:tc>
          <w:tcPr>
            <w:tcW w:w="2200" w:type="dxa"/>
            <w:vAlign w:val="top"/>
          </w:tcPr>
          <w:p>
            <w:pPr>
              <w:spacing w:before="0" w:after="0" w:line="240" w:lineRule="auto"/>
              <w:jc w:val="left"/>
            </w:pPr>
            <w:r>
              <w:rPr>
                <w:sz w:val="20"/>
                <w:szCs w:val="20"/>
              </w:rPr>
              <w:t xml:space="preserve">Vitest, Supertest</w:t>
            </w:r>
          </w:p>
        </w:tc>
        <w:tc>
          <w:tcPr>
            <w:tcW w:w="4226" w:type="dxa"/>
            <w:vAlign w:val="top"/>
          </w:tcPr>
          <w:p>
            <w:pPr>
              <w:spacing w:before="0" w:after="0" w:line="240" w:lineRule="auto"/>
              <w:jc w:val="left"/>
            </w:pPr>
            <w:r>
              <w:rPr>
                <w:sz w:val="20"/>
                <w:szCs w:val="20"/>
              </w:rPr>
              <w:t xml:space="preserve">126 test cases in 29 files, run against a real PostgreSQL test database</w:t>
            </w:r>
          </w:p>
        </w:tc>
      </w:tr>
      <w:tr>
        <w:tc>
          <w:tcPr>
            <w:tcW w:w="2600" w:type="dxa"/>
            <w:vAlign w:val="top"/>
          </w:tcPr>
          <w:p>
            <w:pPr>
              <w:spacing w:before="0" w:after="0" w:line="240" w:lineRule="auto"/>
              <w:jc w:val="left"/>
            </w:pPr>
            <w:r>
              <w:rPr>
                <w:sz w:val="20"/>
                <w:szCs w:val="20"/>
              </w:rPr>
              <w:t xml:space="preserve">Frontend unit tests</w:t>
            </w:r>
          </w:p>
        </w:tc>
        <w:tc>
          <w:tcPr>
            <w:tcW w:w="2200" w:type="dxa"/>
            <w:vAlign w:val="top"/>
          </w:tcPr>
          <w:p>
            <w:pPr>
              <w:spacing w:before="0" w:after="0" w:line="240" w:lineRule="auto"/>
              <w:jc w:val="left"/>
            </w:pPr>
            <w:r>
              <w:rPr>
                <w:sz w:val="20"/>
                <w:szCs w:val="20"/>
              </w:rPr>
              <w:t xml:space="preserve">Vitest, React Testing Library</w:t>
            </w:r>
          </w:p>
        </w:tc>
        <w:tc>
          <w:tcPr>
            <w:tcW w:w="4226" w:type="dxa"/>
            <w:vAlign w:val="top"/>
          </w:tcPr>
          <w:p>
            <w:pPr>
              <w:spacing w:before="0" w:after="0" w:line="240" w:lineRule="auto"/>
              <w:jc w:val="left"/>
            </w:pPr>
            <w:r>
              <w:rPr>
                <w:sz w:val="20"/>
                <w:szCs w:val="20"/>
              </w:rPr>
              <w:t xml:space="preserve">55 test cases in 22 files covering pages, forms, hooks, and the login context</w:t>
            </w:r>
          </w:p>
        </w:tc>
      </w:tr>
      <w:tr>
        <w:tc>
          <w:tcPr>
            <w:tcW w:w="2600" w:type="dxa"/>
            <w:vAlign w:val="top"/>
          </w:tcPr>
          <w:p>
            <w:pPr>
              <w:spacing w:before="0" w:after="0" w:line="240" w:lineRule="auto"/>
              <w:jc w:val="left"/>
            </w:pPr>
            <w:r>
              <w:rPr>
                <w:sz w:val="20"/>
                <w:szCs w:val="20"/>
              </w:rPr>
              <w:t xml:space="preserve">End-to-end smoke test</w:t>
            </w:r>
          </w:p>
        </w:tc>
        <w:tc>
          <w:tcPr>
            <w:tcW w:w="2200" w:type="dxa"/>
            <w:vAlign w:val="top"/>
          </w:tcPr>
          <w:p>
            <w:pPr>
              <w:spacing w:before="0" w:after="0" w:line="240" w:lineRule="auto"/>
              <w:jc w:val="left"/>
            </w:pPr>
            <w:r>
              <w:rPr>
                <w:sz w:val="20"/>
                <w:szCs w:val="20"/>
              </w:rPr>
              <w:t xml:space="preserve">Playwright</w:t>
            </w:r>
          </w:p>
        </w:tc>
        <w:tc>
          <w:tcPr>
            <w:tcW w:w="4226" w:type="dxa"/>
            <w:vAlign w:val="top"/>
          </w:tcPr>
          <w:p>
            <w:pPr>
              <w:spacing w:before="0" w:after="0" w:line="240" w:lineRule="auto"/>
              <w:jc w:val="left"/>
            </w:pPr>
            <w:r>
              <w:rPr>
                <w:sz w:val="20"/>
                <w:szCs w:val="20"/>
              </w:rPr>
              <w:t xml:space="preserve">Log in, open the dashboard and device list, log out in a real browser</w:t>
            </w:r>
          </w:p>
        </w:tc>
      </w:tr>
      <w:tr>
        <w:tc>
          <w:tcPr>
            <w:tcW w:w="2600" w:type="dxa"/>
            <w:vAlign w:val="top"/>
          </w:tcPr>
          <w:p>
            <w:pPr>
              <w:spacing w:before="0" w:after="0" w:line="240" w:lineRule="auto"/>
              <w:jc w:val="left"/>
            </w:pPr>
            <w:r>
              <w:rPr>
                <w:sz w:val="20"/>
                <w:szCs w:val="20"/>
              </w:rPr>
              <w:t xml:space="preserve">Continuous integration</w:t>
            </w:r>
          </w:p>
        </w:tc>
        <w:tc>
          <w:tcPr>
            <w:tcW w:w="2200" w:type="dxa"/>
            <w:vAlign w:val="top"/>
          </w:tcPr>
          <w:p>
            <w:pPr>
              <w:spacing w:before="0" w:after="0" w:line="240" w:lineRule="auto"/>
              <w:jc w:val="left"/>
            </w:pPr>
            <w:r>
              <w:rPr>
                <w:sz w:val="20"/>
                <w:szCs w:val="20"/>
              </w:rPr>
              <w:t xml:space="preserve">GitHub Actions</w:t>
            </w:r>
          </w:p>
        </w:tc>
        <w:tc>
          <w:tcPr>
            <w:tcW w:w="4226" w:type="dxa"/>
            <w:vAlign w:val="top"/>
          </w:tcPr>
          <w:p>
            <w:pPr>
              <w:spacing w:before="0" w:after="0" w:line="240" w:lineRule="auto"/>
              <w:jc w:val="left"/>
            </w:pPr>
            <w:r>
              <w:rPr>
                <w:sz w:val="20"/>
                <w:szCs w:val="20"/>
              </w:rPr>
              <w:t xml:space="preserve">Runs both test suites, the frontend build, dependency audits, and the Docker image build on every push</w:t>
            </w:r>
          </w:p>
        </w:tc>
      </w:tr>
    </w:tbl>
    <w:p>
      <w:pPr>
        <w:spacing w:before="0" w:after="60" w:line="240" w:lineRule="auto"/>
        <w:jc w:val="both"/>
      </w:pPr>
    </w:p>
    <w:p>
      <w:pPr>
        <w:spacing w:before="0" w:after="120" w:line="360" w:lineRule="auto"/>
        <w:jc w:val="both"/>
      </w:pPr>
      <w:r>
        <w:rPr>
          <w:sz w:val="24"/>
          <w:szCs w:val="24"/>
        </w:rPr>
        <w:t xml:space="preserve">The whole system starts with a single Docker Compose command. A deployment runbook and a go-live checklist, in English and Indonesian, document the steps for installation, demo accounts, backups, and the later move to public HTTPS hosting.</w:t>
      </w:r>
    </w:p>
    <w:p>
      <w:pPr>
        <w:keepNext w:val="1"/>
        <w:spacing w:before="120" w:after="60" w:line="360" w:lineRule="auto"/>
        <w:jc w:val="left"/>
      </w:pPr>
      <w:r>
        <w:rPr>
          <w:b w:val="1"/>
          <w:i w:val="1"/>
          <w:sz w:val="24"/>
          <w:szCs w:val="24"/>
        </w:rPr>
        <w:t xml:space="preserve">5.1.8 Results</w:t>
      </w:r>
    </w:p>
    <w:p>
      <w:pPr>
        <w:spacing w:before="0" w:after="120" w:line="360" w:lineRule="auto"/>
        <w:jc w:val="both"/>
      </w:pPr>
      <w:r>
        <w:rPr>
          <w:sz w:val="24"/>
          <w:szCs w:val="24"/>
        </w:rPr>
        <w:t xml:space="preserve">All planned phases up to the internal pilot, both stakeholder requests, and the frontend test suite were completed. The system now requires a login for all data, limits each role to what it should see, keeps a full history of device status and changes, can back up its own data, and is checked automatically on every change. Public HTTPS hosting remains the next step for the division.</w:t>
      </w:r>
    </w:p>
    <w:p>
      <w:pPr>
        <w:keepNext w:val="1"/>
        <w:spacing w:before="240" w:after="120" w:line="360" w:lineRule="auto"/>
        <w:jc w:val="left"/>
      </w:pPr>
      <w:r>
        <w:rPr>
          <w:b w:val="1"/>
          <w:sz w:val="24"/>
          <w:szCs w:val="24"/>
        </w:rPr>
        <w:t xml:space="preserve">5.2 RTB Division Project: Tongkat Gaib Excel Report Automation Tool</w:t>
      </w:r>
    </w:p>
    <w:p>
      <w:pPr>
        <w:keepNext w:val="1"/>
        <w:spacing w:before="120" w:after="60" w:line="360" w:lineRule="auto"/>
        <w:jc w:val="left"/>
      </w:pPr>
      <w:r>
        <w:rPr>
          <w:b w:val="1"/>
          <w:i w:val="1"/>
          <w:sz w:val="24"/>
          <w:szCs w:val="24"/>
        </w:rPr>
        <w:t xml:space="preserve">5.2.1 Background and Problem</w:t>
      </w:r>
    </w:p>
    <w:p>
      <w:pPr>
        <w:spacing w:before="0" w:after="120" w:line="360" w:lineRule="auto"/>
        <w:jc w:val="both"/>
      </w:pPr>
      <w:r>
        <w:rPr>
          <w:sz w:val="24"/>
          <w:szCs w:val="24"/>
        </w:rPr>
        <w:t xml:space="preserve">The RTB division prepares recurring reports on transaction volumes, fee-based income, active users, product counts, and giro balances for each branch, and places them on its dashboard. Each report was produced manually in Excel from a raw system extract, as described in Section 3.2.1. The manual steps took time with large files, needed the operator to remember each report's filter rules, and left room for errors that were hard to spot.</w:t>
      </w:r>
    </w:p>
    <w:p>
      <w:pPr>
        <w:keepNext w:val="1"/>
        <w:spacing w:before="120" w:after="60" w:line="360" w:lineRule="auto"/>
        <w:jc w:val="left"/>
      </w:pPr>
      <w:r>
        <w:rPr>
          <w:b w:val="1"/>
          <w:i w:val="1"/>
          <w:sz w:val="24"/>
          <w:szCs w:val="24"/>
        </w:rPr>
        <w:t xml:space="preserve">5.2.2 Objectives</w:t>
      </w:r>
    </w:p>
    <w:p>
      <w:pPr>
        <w:numPr>
          <w:ilvl w:val="0"/>
          <w:numId w:val="2"/>
        </w:numPr>
        <w:spacing w:before="0" w:after="60" w:line="360" w:lineRule="auto"/>
        <w:jc w:val="both"/>
      </w:pPr>
      <w:r>
        <w:rPr>
          <w:sz w:val="24"/>
          <w:szCs w:val="24"/>
        </w:rPr>
        <w:t xml:space="preserve">Reproduce each manual report exactly, including filters, grouping, and number format.</w:t>
      </w:r>
    </w:p>
    <w:p>
      <w:pPr>
        <w:numPr>
          <w:ilvl w:val="0"/>
          <w:numId w:val="2"/>
        </w:numPr>
        <w:spacing w:before="0" w:after="60" w:line="360" w:lineRule="auto"/>
        <w:jc w:val="both"/>
      </w:pPr>
      <w:r>
        <w:rPr>
          <w:sz w:val="24"/>
          <w:szCs w:val="24"/>
        </w:rPr>
        <w:t xml:space="preserve">Reduce each report to selecting the input files and clicking Run.</w:t>
      </w:r>
    </w:p>
    <w:p>
      <w:pPr>
        <w:numPr>
          <w:ilvl w:val="0"/>
          <w:numId w:val="2"/>
        </w:numPr>
        <w:spacing w:before="0" w:after="60" w:line="360" w:lineRule="auto"/>
        <w:jc w:val="both"/>
      </w:pPr>
      <w:r>
        <w:rPr>
          <w:sz w:val="24"/>
          <w:szCs w:val="24"/>
        </w:rPr>
        <w:t xml:space="preserve">Never modify the input files, and never write a half-finished output.</w:t>
      </w:r>
    </w:p>
    <w:p>
      <w:pPr>
        <w:numPr>
          <w:ilvl w:val="0"/>
          <w:numId w:val="2"/>
        </w:numPr>
        <w:spacing w:before="0" w:after="60" w:line="360" w:lineRule="auto"/>
        <w:jc w:val="both"/>
      </w:pPr>
      <w:r>
        <w:rPr>
          <w:sz w:val="24"/>
          <w:szCs w:val="24"/>
        </w:rPr>
        <w:t xml:space="preserve">Run on a standard office PC without Python, Excel add-ins, or an internet connection.</w:t>
      </w:r>
    </w:p>
    <w:p>
      <w:pPr>
        <w:keepNext w:val="1"/>
        <w:spacing w:before="120" w:after="60" w:line="360" w:lineRule="auto"/>
        <w:jc w:val="left"/>
      </w:pPr>
      <w:r>
        <w:rPr>
          <w:b w:val="1"/>
          <w:i w:val="1"/>
          <w:sz w:val="24"/>
          <w:szCs w:val="24"/>
        </w:rPr>
        <w:t xml:space="preserve">5.2.3 Mapping the Manual Process to the Program</w:t>
      </w:r>
    </w:p>
    <w:p>
      <w:pPr>
        <w:spacing w:before="0" w:after="120" w:line="360" w:lineRule="auto"/>
        <w:jc w:val="both"/>
      </w:pPr>
      <w:r>
        <w:rPr>
          <w:sz w:val="24"/>
          <w:szCs w:val="24"/>
        </w:rPr>
        <w:t xml:space="preserve">Each manual Excel step was replaced by one module of the program, as shown in Table 5.4.</w:t>
      </w:r>
    </w:p>
    <w:p>
      <w:pPr>
        <w:keepNext w:val="1"/>
        <w:spacing w:before="120" w:after="60" w:line="240" w:lineRule="auto"/>
        <w:jc w:val="center"/>
      </w:pPr>
      <w:r>
        <w:rPr>
          <w:b w:val="1"/>
          <w:sz w:val="20"/>
          <w:szCs w:val="20"/>
        </w:rPr>
        <w:t xml:space="preserve">Table 5.4 Manual Excel steps and their automated equivalents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2700"/>
        <w:gridCol w:w="4626"/>
        <w:gridCol w:w="1700"/>
      </w:tblGrid>
      <w:tr>
        <w:trPr>
          <w:tblHeader w:val="1"/>
        </w:trPr>
        <w:tc>
          <w:tcPr>
            <w:tcW w:w="2700" w:type="dxa"/>
            <w:shd w:val="clear" w:color="auto" w:fill="D9D9D9"/>
            <w:vAlign w:val="top"/>
          </w:tcPr>
          <w:p>
            <w:pPr>
              <w:spacing w:before="0" w:after="0" w:line="240" w:lineRule="auto"/>
              <w:jc w:val="left"/>
            </w:pPr>
            <w:r>
              <w:rPr>
                <w:b w:val="1"/>
                <w:sz w:val="20"/>
                <w:szCs w:val="20"/>
              </w:rPr>
              <w:t xml:space="preserve">Manual Excel step</w:t>
            </w:r>
          </w:p>
        </w:tc>
        <w:tc>
          <w:tcPr>
            <w:tcW w:w="4626" w:type="dxa"/>
            <w:shd w:val="clear" w:color="auto" w:fill="D9D9D9"/>
            <w:vAlign w:val="top"/>
          </w:tcPr>
          <w:p>
            <w:pPr>
              <w:spacing w:before="0" w:after="0" w:line="240" w:lineRule="auto"/>
              <w:jc w:val="left"/>
            </w:pPr>
            <w:r>
              <w:rPr>
                <w:b w:val="1"/>
                <w:sz w:val="20"/>
                <w:szCs w:val="20"/>
              </w:rPr>
              <w:t xml:space="preserve">Automated equivalent</w:t>
            </w:r>
          </w:p>
        </w:tc>
        <w:tc>
          <w:tcPr>
            <w:tcW w:w="1700" w:type="dxa"/>
            <w:shd w:val="clear" w:color="auto" w:fill="D9D9D9"/>
            <w:vAlign w:val="top"/>
          </w:tcPr>
          <w:p>
            <w:pPr>
              <w:spacing w:before="0" w:after="0" w:line="240" w:lineRule="auto"/>
              <w:jc w:val="left"/>
            </w:pPr>
            <w:r>
              <w:rPr>
                <w:b w:val="1"/>
                <w:sz w:val="20"/>
                <w:szCs w:val="20"/>
              </w:rPr>
              <w:t xml:space="preserve">Module</w:t>
            </w:r>
          </w:p>
        </w:tc>
      </w:tr>
      <w:tr>
        <w:tc>
          <w:tcPr>
            <w:tcW w:w="2700" w:type="dxa"/>
            <w:vAlign w:val="top"/>
          </w:tcPr>
          <w:p>
            <w:pPr>
              <w:spacing w:before="0" w:after="0" w:line="240" w:lineRule="auto"/>
              <w:jc w:val="left"/>
            </w:pPr>
            <w:r>
              <w:rPr>
                <w:sz w:val="20"/>
                <w:szCs w:val="20"/>
              </w:rPr>
              <w:t xml:space="preserve">Text to Columns with the | delimiter</w:t>
            </w:r>
          </w:p>
        </w:tc>
        <w:tc>
          <w:tcPr>
            <w:tcW w:w="4626" w:type="dxa"/>
            <w:vAlign w:val="top"/>
          </w:tcPr>
          <w:p>
            <w:pPr>
              <w:spacing w:before="0" w:after="0" w:line="240" w:lineRule="auto"/>
              <w:jc w:val="left"/>
            </w:pPr>
            <w:r>
              <w:rPr>
                <w:sz w:val="20"/>
                <w:szCs w:val="20"/>
              </w:rPr>
              <w:t xml:space="preserve">Read the pipe-delimited extract, handling encodings, extra spaces, and malformed rows</w:t>
            </w:r>
          </w:p>
        </w:tc>
        <w:tc>
          <w:tcPr>
            <w:tcW w:w="1700" w:type="dxa"/>
            <w:vAlign w:val="top"/>
          </w:tcPr>
          <w:p>
            <w:pPr>
              <w:spacing w:before="0" w:after="0" w:line="240" w:lineRule="auto"/>
              <w:jc w:val="left"/>
            </w:pPr>
            <w:r>
              <w:rPr>
                <w:sz w:val="20"/>
                <w:szCs w:val="20"/>
              </w:rPr>
              <w:t xml:space="preserve">ingestion.py</w:t>
            </w:r>
          </w:p>
        </w:tc>
      </w:tr>
      <w:tr>
        <w:tc>
          <w:tcPr>
            <w:tcW w:w="2700" w:type="dxa"/>
            <w:vAlign w:val="top"/>
          </w:tcPr>
          <w:p>
            <w:pPr>
              <w:spacing w:before="0" w:after="0" w:line="240" w:lineRule="auto"/>
              <w:jc w:val="left"/>
            </w:pPr>
            <w:r>
              <w:rPr>
                <w:sz w:val="20"/>
                <w:szCs w:val="20"/>
              </w:rPr>
              <w:t xml:space="preserve">VLOOKUP against the mapping workbook</w:t>
            </w:r>
          </w:p>
        </w:tc>
        <w:tc>
          <w:tcPr>
            <w:tcW w:w="4626" w:type="dxa"/>
            <w:vAlign w:val="top"/>
          </w:tcPr>
          <w:p>
            <w:pPr>
              <w:spacing w:before="0" w:after="0" w:line="240" w:lineRule="auto"/>
              <w:jc w:val="left"/>
            </w:pPr>
            <w:r>
              <w:rPr>
                <w:sz w:val="20"/>
                <w:szCs w:val="20"/>
              </w:rPr>
              <w:t xml:space="preserve">Join each unit code to its main branch code and name; unmatched codes are grouped as UNMAPPED and reported</w:t>
            </w:r>
          </w:p>
        </w:tc>
        <w:tc>
          <w:tcPr>
            <w:tcW w:w="1700" w:type="dxa"/>
            <w:vAlign w:val="top"/>
          </w:tcPr>
          <w:p>
            <w:pPr>
              <w:spacing w:before="0" w:after="0" w:line="240" w:lineRule="auto"/>
              <w:jc w:val="left"/>
            </w:pPr>
            <w:r>
              <w:rPr>
                <w:sz w:val="20"/>
                <w:szCs w:val="20"/>
              </w:rPr>
              <w:t xml:space="preserve">enrichment.py</w:t>
            </w:r>
          </w:p>
        </w:tc>
      </w:tr>
      <w:tr>
        <w:tc>
          <w:tcPr>
            <w:tcW w:w="2700" w:type="dxa"/>
            <w:vAlign w:val="top"/>
          </w:tcPr>
          <w:p>
            <w:pPr>
              <w:spacing w:before="0" w:after="0" w:line="240" w:lineRule="auto"/>
              <w:jc w:val="left"/>
            </w:pPr>
            <w:r>
              <w:rPr>
                <w:sz w:val="20"/>
                <w:szCs w:val="20"/>
              </w:rPr>
              <w:t xml:space="preserve">PivotTable with the SEGMEN filter</w:t>
            </w:r>
          </w:p>
        </w:tc>
        <w:tc>
          <w:tcPr>
            <w:tcW w:w="4626" w:type="dxa"/>
            <w:vAlign w:val="top"/>
          </w:tcPr>
          <w:p>
            <w:pPr>
              <w:spacing w:before="0" w:after="0" w:line="240" w:lineRule="auto"/>
              <w:jc w:val="left"/>
            </w:pPr>
            <w:r>
              <w:rPr>
                <w:sz w:val="20"/>
                <w:szCs w:val="20"/>
              </w:rPr>
              <w:t xml:space="preserve">Group and sum or count per branch, with include and exclude filters</w:t>
            </w:r>
          </w:p>
        </w:tc>
        <w:tc>
          <w:tcPr>
            <w:tcW w:w="1700" w:type="dxa"/>
            <w:vAlign w:val="top"/>
          </w:tcPr>
          <w:p>
            <w:pPr>
              <w:spacing w:before="0" w:after="0" w:line="240" w:lineRule="auto"/>
              <w:jc w:val="left"/>
            </w:pPr>
            <w:r>
              <w:rPr>
                <w:sz w:val="20"/>
                <w:szCs w:val="20"/>
              </w:rPr>
              <w:t xml:space="preserve">aggregation.py</w:t>
            </w:r>
          </w:p>
        </w:tc>
      </w:tr>
      <w:tr>
        <w:tc>
          <w:tcPr>
            <w:tcW w:w="2700" w:type="dxa"/>
            <w:vAlign w:val="top"/>
          </w:tcPr>
          <w:p>
            <w:pPr>
              <w:spacing w:before="0" w:after="0" w:line="240" w:lineRule="auto"/>
              <w:jc w:val="left"/>
            </w:pPr>
            <w:r>
              <w:rPr>
                <w:sz w:val="20"/>
                <w:szCs w:val="20"/>
              </w:rPr>
              <w:t xml:space="preserve">Tabular layout, no subtotals, Number format</w:t>
            </w:r>
          </w:p>
        </w:tc>
        <w:tc>
          <w:tcPr>
            <w:tcW w:w="4626" w:type="dxa"/>
            <w:vAlign w:val="top"/>
          </w:tcPr>
          <w:p>
            <w:pPr>
              <w:spacing w:before="0" w:after="0" w:line="240" w:lineRule="auto"/>
              <w:jc w:val="left"/>
            </w:pPr>
            <w:r>
              <w:rPr>
                <w:sz w:val="20"/>
                <w:szCs w:val="20"/>
              </w:rPr>
              <w:t xml:space="preserve">Styled Excel output with a Grand Total and plain whole-number format</w:t>
            </w:r>
          </w:p>
        </w:tc>
        <w:tc>
          <w:tcPr>
            <w:tcW w:w="1700" w:type="dxa"/>
            <w:vAlign w:val="top"/>
          </w:tcPr>
          <w:p>
            <w:pPr>
              <w:spacing w:before="0" w:after="0" w:line="240" w:lineRule="auto"/>
              <w:jc w:val="left"/>
            </w:pPr>
            <w:r>
              <w:rPr>
                <w:sz w:val="20"/>
                <w:szCs w:val="20"/>
              </w:rPr>
              <w:t xml:space="preserve">exporter.py</w:t>
            </w:r>
          </w:p>
        </w:tc>
      </w:tr>
      <w:tr>
        <w:tc>
          <w:tcPr>
            <w:tcW w:w="2700" w:type="dxa"/>
            <w:vAlign w:val="top"/>
          </w:tcPr>
          <w:p>
            <w:pPr>
              <w:spacing w:before="0" w:after="0" w:line="240" w:lineRule="auto"/>
              <w:jc w:val="left"/>
            </w:pPr>
            <w:r>
              <w:rPr>
                <w:sz w:val="20"/>
                <w:szCs w:val="20"/>
              </w:rPr>
              <w:t xml:space="preserve">Ctrl+F lookup of each giro account</w:t>
            </w:r>
          </w:p>
        </w:tc>
        <w:tc>
          <w:tcPr>
            <w:tcW w:w="4626" w:type="dxa"/>
            <w:vAlign w:val="top"/>
          </w:tcPr>
          <w:p>
            <w:pPr>
              <w:spacing w:before="0" w:after="0" w:line="240" w:lineRule="auto"/>
              <w:jc w:val="left"/>
            </w:pPr>
            <w:r>
              <w:rPr>
                <w:sz w:val="20"/>
                <w:szCs w:val="20"/>
              </w:rPr>
              <w:t xml:space="preserve">Write each account's balance into the giro master's SALDO UPDATE column</w:t>
            </w:r>
          </w:p>
        </w:tc>
        <w:tc>
          <w:tcPr>
            <w:tcW w:w="1700" w:type="dxa"/>
            <w:vAlign w:val="top"/>
          </w:tcPr>
          <w:p>
            <w:pPr>
              <w:spacing w:before="0" w:after="0" w:line="240" w:lineRule="auto"/>
              <w:jc w:val="left"/>
            </w:pPr>
            <w:r>
              <w:rPr>
                <w:sz w:val="20"/>
                <w:szCs w:val="20"/>
              </w:rPr>
              <w:t xml:space="preserve">report_giro.py</w:t>
            </w:r>
          </w:p>
        </w:tc>
      </w:tr>
    </w:tbl>
    <w:p>
      <w:pPr>
        <w:spacing w:before="0" w:after="60" w:line="240" w:lineRule="auto"/>
        <w:jc w:val="both"/>
      </w:pPr>
    </w:p>
    <w:p>
      <w:pPr>
        <w:keepNext w:val="1"/>
        <w:spacing w:before="120" w:after="60" w:line="360" w:lineRule="auto"/>
        <w:jc w:val="left"/>
      </w:pPr>
      <w:r>
        <w:rPr>
          <w:b w:val="1"/>
          <w:i w:val="1"/>
          <w:sz w:val="24"/>
          <w:szCs w:val="24"/>
        </w:rPr>
        <w:t xml:space="preserve">5.2.4 Program Design</w:t>
      </w:r>
    </w:p>
    <w:p>
      <w:pPr>
        <w:spacing w:before="0" w:after="120" w:line="360" w:lineRule="auto"/>
        <w:jc w:val="both"/>
      </w:pPr>
      <w:r>
        <w:rPr>
          <w:sz w:val="24"/>
          <w:szCs w:val="24"/>
        </w:rPr>
        <w:t xml:space="preserve">Every report is implemented as a strategy that shares one pipeline: read the extract, optionally match it against reference data, summarise it, and export it. An orchestrator runs the selected strategy, catches failures, and records timing. The list of reports is declared in one place, so the desktop window's drop-down menu, the command-line help, and the documentation always show the same reports in the same order, following the operator's daily sequence.</w:t>
      </w:r>
    </w:p>
    <w:p>
      <w:pPr>
        <w:spacing w:before="0" w:after="120" w:line="360" w:lineRule="auto"/>
        <w:jc w:val="both"/>
      </w:pPr>
      <w:r>
        <w:rPr>
          <w:sz w:val="24"/>
          <w:szCs w:val="24"/>
        </w:rPr>
        <w:t xml:space="preserve">Operators use a desktop window: choose a report, pick the input files, adjust the filters if needed, choose where to save, and click Run Pipeline. Buttons and filter boxes that do not apply to the chosen report are greyed out. The same pipeline can also be run from the command line.</w:t>
      </w:r>
    </w:p>
    <w:p>
      <w:pPr>
        <w:keepNext w:val="1"/>
        <w:spacing w:before="120" w:after="60" w:line="360" w:lineRule="auto"/>
        <w:jc w:val="left"/>
      </w:pPr>
      <w:r>
        <w:rPr>
          <w:b w:val="1"/>
          <w:i w:val="1"/>
          <w:sz w:val="24"/>
          <w:szCs w:val="24"/>
        </w:rPr>
        <w:t xml:space="preserve">5.2.5 Reports Supported</w:t>
      </w:r>
    </w:p>
    <w:p>
      <w:pPr>
        <w:keepNext w:val="1"/>
        <w:spacing w:before="120" w:after="60" w:line="240" w:lineRule="auto"/>
        <w:jc w:val="center"/>
      </w:pPr>
      <w:r>
        <w:rPr>
          <w:b w:val="1"/>
          <w:sz w:val="20"/>
          <w:szCs w:val="20"/>
        </w:rPr>
        <w:t xml:space="preserve">Table 5.5 Reports produced by Tongkat Gaib Excel</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100" w:type="dxa"/>
          <w:bottom w:w="40" w:type="dxa"/>
          <w:right w:w="100" w:type="dxa"/>
        </w:tblCellMar>
      </w:tblPr>
      <w:tblGrid>
        <w:gridCol w:w="700"/>
        <w:gridCol w:w="3200"/>
        <w:gridCol w:w="5126"/>
      </w:tblGrid>
      <w:tr>
        <w:trPr>
          <w:tblHeader w:val="1"/>
        </w:trPr>
        <w:tc>
          <w:tcPr>
            <w:tcW w:w="700" w:type="dxa"/>
            <w:shd w:val="clear" w:color="auto" w:fill="D9D9D9"/>
            <w:vAlign w:val="top"/>
          </w:tcPr>
          <w:p>
            <w:pPr>
              <w:spacing w:before="0" w:after="0" w:line="240" w:lineRule="auto"/>
              <w:jc w:val="left"/>
            </w:pPr>
            <w:r>
              <w:rPr>
                <w:b w:val="1"/>
                <w:sz w:val="20"/>
                <w:szCs w:val="20"/>
              </w:rPr>
              <w:t xml:space="preserve">No.</w:t>
            </w:r>
          </w:p>
        </w:tc>
        <w:tc>
          <w:tcPr>
            <w:tcW w:w="3200" w:type="dxa"/>
            <w:shd w:val="clear" w:color="auto" w:fill="D9D9D9"/>
            <w:vAlign w:val="top"/>
          </w:tcPr>
          <w:p>
            <w:pPr>
              <w:spacing w:before="0" w:after="0" w:line="240" w:lineRule="auto"/>
              <w:jc w:val="left"/>
            </w:pPr>
            <w:r>
              <w:rPr>
                <w:b w:val="1"/>
                <w:sz w:val="20"/>
                <w:szCs w:val="20"/>
              </w:rPr>
              <w:t xml:space="preserve">Report</w:t>
            </w:r>
          </w:p>
        </w:tc>
        <w:tc>
          <w:tcPr>
            <w:tcW w:w="5126" w:type="dxa"/>
            <w:shd w:val="clear" w:color="auto" w:fill="D9D9D9"/>
            <w:vAlign w:val="top"/>
          </w:tcPr>
          <w:p>
            <w:pPr>
              <w:spacing w:before="0" w:after="0" w:line="240" w:lineRule="auto"/>
              <w:jc w:val="left"/>
            </w:pPr>
            <w:r>
              <w:rPr>
                <w:b w:val="1"/>
                <w:sz w:val="20"/>
                <w:szCs w:val="20"/>
              </w:rPr>
              <w:t xml:space="preserve">Output</w:t>
            </w:r>
          </w:p>
        </w:tc>
      </w:tr>
      <w:tr>
        <w:tc>
          <w:tcPr>
            <w:tcW w:w="700" w:type="dxa"/>
            <w:vAlign w:val="top"/>
          </w:tcPr>
          <w:p>
            <w:pPr>
              <w:spacing w:before="0" w:after="0" w:line="240" w:lineRule="auto"/>
              <w:jc w:val="left"/>
            </w:pPr>
            <w:r>
              <w:rPr>
                <w:sz w:val="20"/>
                <w:szCs w:val="20"/>
              </w:rPr>
              <w:t xml:space="preserve">1</w:t>
            </w:r>
          </w:p>
        </w:tc>
        <w:tc>
          <w:tcPr>
            <w:tcW w:w="3200" w:type="dxa"/>
            <w:vAlign w:val="top"/>
          </w:tcPr>
          <w:p>
            <w:pPr>
              <w:spacing w:before="0" w:after="0" w:line="240" w:lineRule="auto"/>
              <w:jc w:val="left"/>
            </w:pPr>
            <w:r>
              <w:rPr>
                <w:sz w:val="20"/>
                <w:szCs w:val="20"/>
              </w:rPr>
              <w:t xml:space="preserve">Report Summary Akumulasi</w:t>
            </w:r>
          </w:p>
        </w:tc>
        <w:tc>
          <w:tcPr>
            <w:tcW w:w="5126" w:type="dxa"/>
            <w:vAlign w:val="top"/>
          </w:tcPr>
          <w:p>
            <w:pPr>
              <w:spacing w:before="0" w:after="0" w:line="240" w:lineRule="auto"/>
              <w:jc w:val="left"/>
            </w:pPr>
            <w:r>
              <w:rPr>
                <w:sz w:val="20"/>
                <w:szCs w:val="20"/>
              </w:rPr>
              <w:t xml:space="preserve">Sum of FBI and Sum of volume in IDR per branch</w:t>
            </w:r>
          </w:p>
        </w:tc>
      </w:tr>
      <w:tr>
        <w:tc>
          <w:tcPr>
            <w:tcW w:w="700" w:type="dxa"/>
            <w:vAlign w:val="top"/>
          </w:tcPr>
          <w:p>
            <w:pPr>
              <w:spacing w:before="0" w:after="0" w:line="240" w:lineRule="auto"/>
              <w:jc w:val="left"/>
            </w:pPr>
            <w:r>
              <w:rPr>
                <w:sz w:val="20"/>
                <w:szCs w:val="20"/>
              </w:rPr>
              <w:t xml:space="preserve">2</w:t>
            </w:r>
          </w:p>
        </w:tc>
        <w:tc>
          <w:tcPr>
            <w:tcW w:w="3200" w:type="dxa"/>
            <w:vAlign w:val="top"/>
          </w:tcPr>
          <w:p>
            <w:pPr>
              <w:spacing w:before="0" w:after="0" w:line="240" w:lineRule="auto"/>
              <w:jc w:val="left"/>
            </w:pPr>
            <w:r>
              <w:rPr>
                <w:sz w:val="20"/>
                <w:szCs w:val="20"/>
              </w:rPr>
              <w:t xml:space="preserve">Time Series Active User Qlola</w:t>
            </w:r>
          </w:p>
        </w:tc>
        <w:tc>
          <w:tcPr>
            <w:tcW w:w="5126" w:type="dxa"/>
            <w:vAlign w:val="top"/>
          </w:tcPr>
          <w:p>
            <w:pPr>
              <w:spacing w:before="0" w:after="0" w:line="240" w:lineRule="auto"/>
              <w:jc w:val="left"/>
            </w:pPr>
            <w:r>
              <w:rPr>
                <w:sz w:val="20"/>
                <w:szCs w:val="20"/>
              </w:rPr>
              <w:t xml:space="preserve">Count of active users (frequency of 5 or more) per branch, excluding the CMS source</w:t>
            </w:r>
          </w:p>
        </w:tc>
      </w:tr>
      <w:tr>
        <w:tc>
          <w:tcPr>
            <w:tcW w:w="700" w:type="dxa"/>
            <w:vAlign w:val="top"/>
          </w:tcPr>
          <w:p>
            <w:pPr>
              <w:spacing w:before="0" w:after="0" w:line="240" w:lineRule="auto"/>
              <w:jc w:val="left"/>
            </w:pPr>
            <w:r>
              <w:rPr>
                <w:sz w:val="20"/>
                <w:szCs w:val="20"/>
              </w:rPr>
              <w:t xml:space="preserve">3</w:t>
            </w:r>
          </w:p>
        </w:tc>
        <w:tc>
          <w:tcPr>
            <w:tcW w:w="3200" w:type="dxa"/>
            <w:vAlign w:val="top"/>
          </w:tcPr>
          <w:p>
            <w:pPr>
              <w:spacing w:before="0" w:after="0" w:line="240" w:lineRule="auto"/>
              <w:jc w:val="left"/>
            </w:pPr>
            <w:r>
              <w:rPr>
                <w:sz w:val="20"/>
                <w:szCs w:val="20"/>
              </w:rPr>
              <w:t xml:space="preserve">Report Data Statis</w:t>
            </w:r>
          </w:p>
        </w:tc>
        <w:tc>
          <w:tcPr>
            <w:tcW w:w="5126" w:type="dxa"/>
            <w:vAlign w:val="top"/>
          </w:tcPr>
          <w:p>
            <w:pPr>
              <w:spacing w:before="0" w:after="0" w:line="240" w:lineRule="auto"/>
              <w:jc w:val="left"/>
            </w:pPr>
            <w:r>
              <w:rPr>
                <w:sz w:val="20"/>
                <w:szCs w:val="20"/>
              </w:rPr>
              <w:t xml:space="preserve">Count of products per branch for KANWIL MALANG, excluding KORPORASI</w:t>
            </w:r>
          </w:p>
        </w:tc>
      </w:tr>
      <w:tr>
        <w:tc>
          <w:tcPr>
            <w:tcW w:w="700" w:type="dxa"/>
            <w:vAlign w:val="top"/>
          </w:tcPr>
          <w:p>
            <w:pPr>
              <w:spacing w:before="0" w:after="0" w:line="240" w:lineRule="auto"/>
              <w:jc w:val="left"/>
            </w:pPr>
            <w:r>
              <w:rPr>
                <w:sz w:val="20"/>
                <w:szCs w:val="20"/>
              </w:rPr>
              <w:t xml:space="preserve">4</w:t>
            </w:r>
          </w:p>
        </w:tc>
        <w:tc>
          <w:tcPr>
            <w:tcW w:w="3200" w:type="dxa"/>
            <w:vAlign w:val="top"/>
          </w:tcPr>
          <w:p>
            <w:pPr>
              <w:spacing w:before="0" w:after="0" w:line="240" w:lineRule="auto"/>
              <w:jc w:val="left"/>
            </w:pPr>
            <w:r>
              <w:rPr>
                <w:sz w:val="20"/>
                <w:szCs w:val="20"/>
              </w:rPr>
              <w:t xml:space="preserve">Rincian Vol TF</w:t>
            </w:r>
          </w:p>
        </w:tc>
        <w:tc>
          <w:tcPr>
            <w:tcW w:w="5126" w:type="dxa"/>
            <w:vAlign w:val="top"/>
          </w:tcPr>
          <w:p>
            <w:pPr>
              <w:spacing w:before="0" w:after="0" w:line="240" w:lineRule="auto"/>
              <w:jc w:val="left"/>
            </w:pPr>
            <w:r>
              <w:rPr>
                <w:sz w:val="20"/>
                <w:szCs w:val="20"/>
              </w:rPr>
              <w:t xml:space="preserve">Sum of amount in IDR per branch, excluding Wholesale</w:t>
            </w:r>
          </w:p>
        </w:tc>
      </w:tr>
      <w:tr>
        <w:tc>
          <w:tcPr>
            <w:tcW w:w="700" w:type="dxa"/>
            <w:vAlign w:val="top"/>
          </w:tcPr>
          <w:p>
            <w:pPr>
              <w:spacing w:before="0" w:after="0" w:line="240" w:lineRule="auto"/>
              <w:jc w:val="left"/>
            </w:pPr>
            <w:r>
              <w:rPr>
                <w:sz w:val="20"/>
                <w:szCs w:val="20"/>
              </w:rPr>
              <w:t xml:space="preserve">5</w:t>
            </w:r>
          </w:p>
        </w:tc>
        <w:tc>
          <w:tcPr>
            <w:tcW w:w="3200" w:type="dxa"/>
            <w:vAlign w:val="top"/>
          </w:tcPr>
          <w:p>
            <w:pPr>
              <w:spacing w:before="0" w:after="0" w:line="240" w:lineRule="auto"/>
              <w:jc w:val="left"/>
            </w:pPr>
            <w:r>
              <w:rPr>
                <w:sz w:val="20"/>
                <w:szCs w:val="20"/>
              </w:rPr>
              <w:t xml:space="preserve">Rincian Portal BG</w:t>
            </w:r>
          </w:p>
        </w:tc>
        <w:tc>
          <w:tcPr>
            <w:tcW w:w="5126" w:type="dxa"/>
            <w:vAlign w:val="top"/>
          </w:tcPr>
          <w:p>
            <w:pPr>
              <w:spacing w:before="0" w:after="0" w:line="240" w:lineRule="auto"/>
              <w:jc w:val="left"/>
            </w:pPr>
            <w:r>
              <w:rPr>
                <w:sz w:val="20"/>
                <w:szCs w:val="20"/>
              </w:rPr>
              <w:t xml:space="preserve">Sum of amount in IDR per branch</w:t>
            </w:r>
          </w:p>
        </w:tc>
      </w:tr>
      <w:tr>
        <w:tc>
          <w:tcPr>
            <w:tcW w:w="700" w:type="dxa"/>
            <w:vAlign w:val="top"/>
          </w:tcPr>
          <w:p>
            <w:pPr>
              <w:spacing w:before="0" w:after="0" w:line="240" w:lineRule="auto"/>
              <w:jc w:val="left"/>
            </w:pPr>
            <w:r>
              <w:rPr>
                <w:sz w:val="20"/>
                <w:szCs w:val="20"/>
              </w:rPr>
              <w:t xml:space="preserve">6</w:t>
            </w:r>
          </w:p>
        </w:tc>
        <w:tc>
          <w:tcPr>
            <w:tcW w:w="3200" w:type="dxa"/>
            <w:vAlign w:val="top"/>
          </w:tcPr>
          <w:p>
            <w:pPr>
              <w:spacing w:before="0" w:after="0" w:line="240" w:lineRule="auto"/>
              <w:jc w:val="left"/>
            </w:pPr>
            <w:r>
              <w:rPr>
                <w:sz w:val="20"/>
                <w:szCs w:val="20"/>
              </w:rPr>
              <w:t xml:space="preserve">Report Vol Briva</w:t>
            </w:r>
          </w:p>
        </w:tc>
        <w:tc>
          <w:tcPr>
            <w:tcW w:w="5126" w:type="dxa"/>
            <w:vAlign w:val="top"/>
          </w:tcPr>
          <w:p>
            <w:pPr>
              <w:spacing w:before="0" w:after="0" w:line="240" w:lineRule="auto"/>
              <w:jc w:val="left"/>
            </w:pPr>
            <w:r>
              <w:rPr>
                <w:sz w:val="20"/>
                <w:szCs w:val="20"/>
              </w:rPr>
              <w:t xml:space="preserve">Sum of NONWHOLESALE BRIVA volume in IDR per branch</w:t>
            </w:r>
          </w:p>
        </w:tc>
      </w:tr>
      <w:tr>
        <w:tc>
          <w:tcPr>
            <w:tcW w:w="700" w:type="dxa"/>
            <w:vAlign w:val="top"/>
          </w:tcPr>
          <w:p>
            <w:pPr>
              <w:spacing w:before="0" w:after="0" w:line="240" w:lineRule="auto"/>
              <w:jc w:val="left"/>
            </w:pPr>
            <w:r>
              <w:rPr>
                <w:sz w:val="20"/>
                <w:szCs w:val="20"/>
              </w:rPr>
              <w:t xml:space="preserve">7</w:t>
            </w:r>
          </w:p>
        </w:tc>
        <w:tc>
          <w:tcPr>
            <w:tcW w:w="3200" w:type="dxa"/>
            <w:vAlign w:val="top"/>
          </w:tcPr>
          <w:p>
            <w:pPr>
              <w:spacing w:before="0" w:after="0" w:line="240" w:lineRule="auto"/>
              <w:jc w:val="left"/>
            </w:pPr>
            <w:r>
              <w:rPr>
                <w:sz w:val="20"/>
                <w:szCs w:val="20"/>
              </w:rPr>
              <w:t xml:space="preserve">Report Giro</w:t>
            </w:r>
          </w:p>
        </w:tc>
        <w:tc>
          <w:tcPr>
            <w:tcW w:w="5126" w:type="dxa"/>
            <w:vAlign w:val="top"/>
          </w:tcPr>
          <w:p>
            <w:pPr>
              <w:spacing w:before="0" w:after="0" w:line="240" w:lineRule="auto"/>
              <w:jc w:val="left"/>
            </w:pPr>
            <w:r>
              <w:rPr>
                <w:sz w:val="20"/>
                <w:szCs w:val="20"/>
              </w:rPr>
              <w:t xml:space="preserve">Updated copy of the giro master list with each account's monthly balance</w:t>
            </w:r>
          </w:p>
        </w:tc>
      </w:tr>
    </w:tbl>
    <w:p>
      <w:pPr>
        <w:spacing w:before="0" w:after="60" w:line="240" w:lineRule="auto"/>
        <w:jc w:val="both"/>
      </w:pPr>
    </w:p>
    <w:p>
      <w:pPr>
        <w:spacing w:before="0" w:after="120" w:line="360" w:lineRule="auto"/>
        <w:jc w:val="both"/>
      </w:pPr>
      <w:r>
        <w:rPr>
          <w:sz w:val="24"/>
          <w:szCs w:val="24"/>
        </w:rPr>
        <w:t xml:space="preserve">Every report except Report Giro produces a workbook with a summary sheet (in dashboard branch order, with a Grand Total and a line stating the filters applied) and a detail sheet holding the row-level data. Report Giro edits a copy of the master cell by cell, so other sheets, styling, and formulas are kept. It never touches the historical SALDO column, skips deposit (Deposito) rows, and leaves accounts that are missing from the monthly file blank.</w:t>
      </w:r>
    </w:p>
    <w:p>
      <w:pPr>
        <w:keepNext w:val="1"/>
        <w:spacing w:before="120" w:after="60" w:line="360" w:lineRule="auto"/>
        <w:jc w:val="left"/>
      </w:pPr>
      <w:r>
        <w:rPr>
          <w:b w:val="1"/>
          <w:i w:val="1"/>
          <w:sz w:val="24"/>
          <w:szCs w:val="24"/>
        </w:rPr>
        <w:t xml:space="preserve">5.2.6 Filters and Safeguards</w:t>
      </w:r>
    </w:p>
    <w:p>
      <w:pPr>
        <w:spacing w:before="0" w:after="120" w:line="360" w:lineRule="auto"/>
        <w:jc w:val="both"/>
      </w:pPr>
      <w:r>
        <w:rPr>
          <w:sz w:val="24"/>
          <w:szCs w:val="24"/>
        </w:rPr>
        <w:t xml:space="preserve">Each report has a default filter rule that matches the manual process (for example, excluding KORPORASI or keeping only NONWHOLESALE). Operators can override it for a single run by typing values into or choosing values for the SEGMENT, SOURCE, and KW boxes. An empty box always means the report's usual rule, and each box shows the values it accepts. If a required column is missing, the input file does not match the chosen report, or the output file is still open in Excel, the program stops and explains what happened and what to do, instead of guessing.</w:t>
      </w:r>
    </w:p>
    <w:p>
      <w:pPr>
        <w:keepNext w:val="1"/>
        <w:spacing w:before="120" w:after="60" w:line="360" w:lineRule="auto"/>
        <w:jc w:val="left"/>
      </w:pPr>
      <w:r>
        <w:rPr>
          <w:b w:val="1"/>
          <w:i w:val="1"/>
          <w:sz w:val="24"/>
          <w:szCs w:val="24"/>
        </w:rPr>
        <w:t xml:space="preserve">5.2.7 Testing and Distribution</w:t>
      </w:r>
    </w:p>
    <w:p>
      <w:pPr>
        <w:spacing w:before="0" w:after="120" w:line="360" w:lineRule="auto"/>
        <w:jc w:val="both"/>
      </w:pPr>
      <w:r>
        <w:rPr>
          <w:sz w:val="24"/>
          <w:szCs w:val="24"/>
        </w:rPr>
        <w:t xml:space="preserve">The program has 279 automated tests (pytest) covering file reading, reference matching, filtering, grouping, Excel export, every report, and full end-to-end runs. Some tests compare the output against reports RTB staff had made by hand, using real sample extracts. The program is distributed as a single Windows executable built with PyInstaller, together with an operator guide (START HERE) and a system requirements sheet. It runs on Windows 10 or 11 (64-bit) with 4 GB of RAM, and needs no Python, Excel add-in, or network connection.</w:t>
      </w:r>
    </w:p>
    <w:p>
      <w:pPr>
        <w:keepNext w:val="1"/>
        <w:spacing w:before="120" w:after="60" w:line="360" w:lineRule="auto"/>
        <w:jc w:val="left"/>
      </w:pPr>
      <w:r>
        <w:rPr>
          <w:b w:val="1"/>
          <w:i w:val="1"/>
          <w:sz w:val="24"/>
          <w:szCs w:val="24"/>
        </w:rPr>
        <w:t xml:space="preserve">5.2.8 Results</w:t>
      </w:r>
    </w:p>
    <w:p>
      <w:pPr>
        <w:spacing w:before="0" w:after="120" w:line="360" w:lineRule="auto"/>
        <w:jc w:val="both"/>
      </w:pPr>
      <w:r>
        <w:rPr>
          <w:sz w:val="24"/>
          <w:szCs w:val="24"/>
        </w:rPr>
        <w:t xml:space="preserve">All seven recurring RTB reports can now be produced from the original extracts in a single run each, with results that match the manual method and come out ready to paste into the dashboard. The manual account-by-account giro balance lookup has been replaced by an automatic update that never modifies the original master file.</w:t>
      </w:r>
    </w:p>
    <w:p>
      <w:pPr>
        <w:spacing w:before="0" w:after="160" w:line="259" w:lineRule="auto"/>
        <w:jc w:val="both"/>
      </w:pPr>
      <w:r>
        <w:rPr>
          <w:sz w:val="24"/>
          <w:szCs w:val="24"/>
        </w:rPr>
        <w:t xml:space="preserve"/>
      </w:r>
    </w:p>
    <w:p w:rsidR="00000000" w:rsidDel="00000000" w:rsidP="00000000" w:rsidRDefault="00000000" w:rsidRPr="00000000" w14:paraId="00000026">
      <w:pPr>
        <w:rPr>
          <w:sz w:val="24"/>
          <w:szCs w:val="24"/>
        </w:rPr>
      </w:pPr>
      <w:r w:rsidDel="00000000" w:rsidR="00000000" w:rsidRPr="00000000">
        <w:rPr>
          <w:b w:val="1"/>
          <w:sz w:val="28"/>
          <w:szCs w:val="28"/>
          <w:rtl w:val="0"/>
        </w:rPr>
        <w:t xml:space="preserve">Chapter 6.  CONCLUSION(S)</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multiLevelType w:val="singleLevel"/>
    <w:lvl w:ilvl="0">
      <w:start w:val="1"/>
      <w:numFmt w:val="bullet"/>
      <w:lvlText w:val="•"/>
      <w:lvlJc w:val="left"/>
      <w:pPr>
        <w:ind w:left="720" w:hanging="360"/>
      </w:pPr>
      <w:rPr>
        <w:rFonts w:ascii="Calibri" w:hAnsi="Calibri" w:cs="Calibri"/>
      </w:rPr>
    </w:lvl>
  </w:abstractNum>
  <w:abstractNum w:abstractNumId="3">
    <w:multiLevelType w:val="singleLevel"/>
    <w:lvl w:ilvl="0">
      <w:start w:val="1"/>
      <w:numFmt w:val="bullet"/>
      <w:lvlText w:val="•"/>
      <w:lvlJc w:val="left"/>
      <w:pPr>
        <w:ind w:left="720" w:hanging="360"/>
      </w:pPr>
      <w:rPr>
        <w:rFonts w:ascii="Calibri" w:hAnsi="Calibri" w:cs="Calibri"/>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64hqwxDpO9s3FPHNJtJhLHKhdQ==">CgMxLjAyCGguZ2pkZ3hzOAByITF4NjVtamlSQjlzc0xDZVVOcmpDS29IT2VKVUJJZ2hCMA==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