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b w:val="1"/>
          <w:sz w:val="44"/>
          <w:szCs w:val="44"/>
        </w:rPr>
      </w:pPr>
      <w:r w:rsidDel="00000000" w:rsidR="00000000" w:rsidRPr="00000000">
        <w:rPr>
          <w:b w:val="1"/>
          <w:sz w:val="44"/>
          <w:szCs w:val="44"/>
          <w:rtl w:val="0"/>
        </w:rPr>
        <w:t xml:space="preserve">Internship Report</w:t>
      </w:r>
    </w:p>
    <w:p w:rsidR="00000000" w:rsidDel="00000000" w:rsidP="00000000" w:rsidRDefault="00000000" w:rsidRPr="00000000" w14:paraId="00000002">
      <w:pPr>
        <w:jc w:val="center"/>
        <w:rPr>
          <w:b w:val="1"/>
          <w:sz w:val="28"/>
          <w:szCs w:val="28"/>
        </w:rPr>
      </w:pPr>
      <w:r w:rsidDel="00000000" w:rsidR="00000000" w:rsidRPr="00000000">
        <w:rPr>
          <w:rtl w:val="0"/>
        </w:rPr>
      </w:r>
    </w:p>
    <w:p w:rsidR="00000000" w:rsidDel="00000000" w:rsidP="00000000" w:rsidRDefault="00000000" w:rsidRPr="00000000" w14:paraId="00000003">
      <w:pPr>
        <w:jc w:val="center"/>
        <w:rPr>
          <w:b w:val="1"/>
          <w:sz w:val="28"/>
          <w:szCs w:val="28"/>
        </w:rPr>
      </w:pPr>
      <w:r w:rsidDel="00000000" w:rsidR="00000000" w:rsidRPr="00000000">
        <w:rPr>
          <w:rtl w:val="0"/>
        </w:rPr>
      </w:r>
    </w:p>
    <w:p w:rsidR="00000000" w:rsidDel="00000000" w:rsidP="00000000" w:rsidRDefault="00000000" w:rsidRPr="00000000" w14:paraId="00000004">
      <w:pPr>
        <w:jc w:val="center"/>
        <w:rPr>
          <w:b w:val="1"/>
          <w:sz w:val="28"/>
          <w:szCs w:val="28"/>
        </w:rPr>
      </w:pPr>
      <w:r w:rsidDel="00000000" w:rsidR="00000000" w:rsidRPr="00000000">
        <w:rPr>
          <w:rtl w:val="0"/>
        </w:rPr>
      </w:r>
    </w:p>
    <w:p w:rsidR="00000000" w:rsidDel="00000000" w:rsidP="00000000" w:rsidRDefault="00000000" w:rsidRPr="00000000" w14:paraId="00000005">
      <w:pPr>
        <w:jc w:val="center"/>
        <w:rPr>
          <w:b w:val="1"/>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581025</wp:posOffset>
            </wp:positionH>
            <wp:positionV relativeFrom="paragraph">
              <wp:posOffset>38100</wp:posOffset>
            </wp:positionV>
            <wp:extent cx="4486275" cy="179070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7"/>
                    <a:srcRect b="0" l="-2197" r="-1318" t="0"/>
                    <a:stretch>
                      <a:fillRect/>
                    </a:stretch>
                  </pic:blipFill>
                  <pic:spPr>
                    <a:xfrm>
                      <a:off x="0" y="0"/>
                      <a:ext cx="4486275" cy="1790700"/>
                    </a:xfrm>
                    <a:prstGeom prst="rect"/>
                    <a:ln/>
                  </pic:spPr>
                </pic:pic>
              </a:graphicData>
            </a:graphic>
          </wp:anchor>
        </w:drawing>
      </w:r>
    </w:p>
    <w:p w:rsidR="00000000" w:rsidDel="00000000" w:rsidP="00000000" w:rsidRDefault="00000000" w:rsidRPr="00000000" w14:paraId="00000006">
      <w:pPr>
        <w:jc w:val="center"/>
        <w:rPr>
          <w:b w:val="1"/>
          <w:sz w:val="28"/>
          <w:szCs w:val="28"/>
        </w:rPr>
      </w:pPr>
      <w:r w:rsidDel="00000000" w:rsidR="00000000" w:rsidRPr="00000000">
        <w:rPr>
          <w:rtl w:val="0"/>
        </w:rPr>
      </w:r>
    </w:p>
    <w:p w:rsidR="00000000" w:rsidDel="00000000" w:rsidP="00000000" w:rsidRDefault="00000000" w:rsidRPr="00000000" w14:paraId="00000007">
      <w:pPr>
        <w:jc w:val="center"/>
        <w:rPr>
          <w:b w:val="1"/>
          <w:sz w:val="28"/>
          <w:szCs w:val="28"/>
        </w:rPr>
      </w:pPr>
      <w:r w:rsidDel="00000000" w:rsidR="00000000" w:rsidRPr="00000000">
        <w:rPr>
          <w:rtl w:val="0"/>
        </w:rPr>
      </w:r>
    </w:p>
    <w:p w:rsidR="00000000" w:rsidDel="00000000" w:rsidP="00000000" w:rsidRDefault="00000000" w:rsidRPr="00000000" w14:paraId="00000008">
      <w:pPr>
        <w:jc w:val="center"/>
        <w:rPr>
          <w:sz w:val="28"/>
          <w:szCs w:val="28"/>
        </w:rPr>
      </w:pPr>
      <w:r w:rsidDel="00000000" w:rsidR="00000000" w:rsidRPr="00000000">
        <w:rPr>
          <w:rtl w:val="0"/>
        </w:rPr>
      </w:r>
    </w:p>
    <w:p w:rsidR="00000000" w:rsidDel="00000000" w:rsidP="00000000" w:rsidRDefault="00000000" w:rsidRPr="00000000" w14:paraId="00000009">
      <w:pPr>
        <w:jc w:val="center"/>
        <w:rPr>
          <w:sz w:val="28"/>
          <w:szCs w:val="28"/>
        </w:rPr>
      </w:pPr>
      <w:r w:rsidDel="00000000" w:rsidR="00000000" w:rsidRPr="00000000">
        <w:rPr>
          <w:rtl w:val="0"/>
        </w:rPr>
      </w:r>
    </w:p>
    <w:p w:rsidR="00000000" w:rsidDel="00000000" w:rsidP="00000000" w:rsidRDefault="00000000" w:rsidRPr="00000000" w14:paraId="0000000A">
      <w:pPr>
        <w:jc w:val="center"/>
        <w:rPr>
          <w:sz w:val="28"/>
          <w:szCs w:val="28"/>
        </w:rPr>
      </w:pPr>
      <w:r w:rsidDel="00000000" w:rsidR="00000000" w:rsidRPr="00000000">
        <w:rPr>
          <w:rtl w:val="0"/>
        </w:rPr>
      </w:r>
    </w:p>
    <w:p w:rsidR="00000000" w:rsidDel="00000000" w:rsidP="00000000" w:rsidRDefault="00000000" w:rsidRPr="00000000" w14:paraId="0000000B">
      <w:pPr>
        <w:jc w:val="center"/>
        <w:rPr>
          <w:sz w:val="28"/>
          <w:szCs w:val="28"/>
        </w:rPr>
      </w:pPr>
      <w:r w:rsidDel="00000000" w:rsidR="00000000" w:rsidRPr="00000000">
        <w:rPr>
          <w:rtl w:val="0"/>
        </w:rPr>
      </w:r>
    </w:p>
    <w:p w:rsidR="00000000" w:rsidDel="00000000" w:rsidP="00000000" w:rsidRDefault="00000000" w:rsidRPr="00000000" w14:paraId="0000000C">
      <w:pPr>
        <w:jc w:val="center"/>
        <w:rPr>
          <w:sz w:val="28"/>
          <w:szCs w:val="28"/>
        </w:rPr>
      </w:pPr>
      <w:r w:rsidDel="00000000" w:rsidR="00000000" w:rsidRPr="00000000">
        <w:rPr>
          <w:rtl w:val="0"/>
        </w:rPr>
      </w:r>
    </w:p>
    <w:p w:rsidR="00000000" w:rsidDel="00000000" w:rsidP="00000000" w:rsidRDefault="00000000" w:rsidRPr="00000000" w14:paraId="0000000D">
      <w:pPr>
        <w:jc w:val="center"/>
        <w:rPr>
          <w:b w:val="1"/>
          <w:sz w:val="28"/>
          <w:szCs w:val="28"/>
        </w:rPr>
      </w:pPr>
      <w:r w:rsidDel="00000000" w:rsidR="00000000" w:rsidRPr="00000000">
        <w:rPr>
          <w:b w:val="1"/>
          <w:sz w:val="28"/>
          <w:szCs w:val="28"/>
          <w:rtl w:val="0"/>
        </w:rPr>
        <w:t xml:space="preserve">[Name]</w:t>
      </w:r>
    </w:p>
    <w:p w:rsidR="00000000" w:rsidDel="00000000" w:rsidP="00000000" w:rsidRDefault="00000000" w:rsidRPr="00000000" w14:paraId="0000000E">
      <w:pPr>
        <w:jc w:val="center"/>
        <w:rPr>
          <w:b w:val="1"/>
          <w:sz w:val="28"/>
          <w:szCs w:val="28"/>
        </w:rPr>
      </w:pPr>
      <w:r w:rsidDel="00000000" w:rsidR="00000000" w:rsidRPr="00000000">
        <w:rPr>
          <w:b w:val="1"/>
          <w:sz w:val="28"/>
          <w:szCs w:val="28"/>
          <w:rtl w:val="0"/>
        </w:rPr>
        <w:t xml:space="preserve">[Student ID]</w:t>
      </w:r>
    </w:p>
    <w:p w:rsidR="00000000" w:rsidDel="00000000" w:rsidP="00000000" w:rsidRDefault="00000000" w:rsidRPr="00000000" w14:paraId="0000000F">
      <w:pPr>
        <w:jc w:val="center"/>
        <w:rPr>
          <w:sz w:val="28"/>
          <w:szCs w:val="28"/>
        </w:rPr>
      </w:pPr>
      <w:r w:rsidDel="00000000" w:rsidR="00000000" w:rsidRPr="00000000">
        <w:rPr>
          <w:rtl w:val="0"/>
        </w:rPr>
      </w:r>
    </w:p>
    <w:p w:rsidR="00000000" w:rsidDel="00000000" w:rsidP="00000000" w:rsidRDefault="00000000" w:rsidRPr="00000000" w14:paraId="00000010">
      <w:pPr>
        <w:jc w:val="center"/>
        <w:rPr>
          <w:b w:val="1"/>
          <w:sz w:val="28"/>
          <w:szCs w:val="28"/>
        </w:rPr>
      </w:pPr>
      <w:r w:rsidDel="00000000" w:rsidR="00000000" w:rsidRPr="00000000">
        <w:rPr>
          <w:rtl w:val="0"/>
        </w:rPr>
      </w:r>
    </w:p>
    <w:p w:rsidR="00000000" w:rsidDel="00000000" w:rsidP="00000000" w:rsidRDefault="00000000" w:rsidRPr="00000000" w14:paraId="00000011">
      <w:pPr>
        <w:jc w:val="center"/>
        <w:rPr>
          <w:b w:val="1"/>
          <w:sz w:val="28"/>
          <w:szCs w:val="28"/>
        </w:rPr>
      </w:pPr>
      <w:r w:rsidDel="00000000" w:rsidR="00000000" w:rsidRPr="00000000">
        <w:rPr>
          <w:b w:val="1"/>
          <w:sz w:val="28"/>
          <w:szCs w:val="28"/>
          <w:rtl w:val="0"/>
        </w:rPr>
        <w:t xml:space="preserve">[Study Program]</w:t>
      </w:r>
    </w:p>
    <w:p w:rsidR="00000000" w:rsidDel="00000000" w:rsidP="00000000" w:rsidRDefault="00000000" w:rsidRPr="00000000" w14:paraId="00000012">
      <w:pPr>
        <w:jc w:val="center"/>
        <w:rPr>
          <w:b w:val="1"/>
          <w:sz w:val="28"/>
          <w:szCs w:val="28"/>
        </w:rPr>
      </w:pPr>
      <w:r w:rsidDel="00000000" w:rsidR="00000000" w:rsidRPr="00000000">
        <w:rPr>
          <w:b w:val="1"/>
          <w:sz w:val="28"/>
          <w:szCs w:val="28"/>
          <w:rtl w:val="0"/>
        </w:rPr>
        <w:t xml:space="preserve">Faculty of Engineering and Technology</w:t>
      </w:r>
    </w:p>
    <w:p w:rsidR="00000000" w:rsidDel="00000000" w:rsidP="00000000" w:rsidRDefault="00000000" w:rsidRPr="00000000" w14:paraId="00000013">
      <w:pPr>
        <w:jc w:val="center"/>
        <w:rPr>
          <w:b w:val="1"/>
          <w:sz w:val="28"/>
          <w:szCs w:val="28"/>
        </w:rPr>
      </w:pPr>
      <w:r w:rsidDel="00000000" w:rsidR="00000000" w:rsidRPr="00000000">
        <w:rPr>
          <w:b w:val="1"/>
          <w:sz w:val="28"/>
          <w:szCs w:val="28"/>
          <w:rtl w:val="0"/>
        </w:rPr>
        <w:t xml:space="preserve">Sampoerna University</w:t>
      </w:r>
    </w:p>
    <w:p w:rsidR="00000000" w:rsidDel="00000000" w:rsidP="00000000" w:rsidRDefault="00000000" w:rsidRPr="00000000" w14:paraId="00000014">
      <w:pPr>
        <w:jc w:val="center"/>
        <w:rPr>
          <w:b w:val="1"/>
          <w:sz w:val="28"/>
          <w:szCs w:val="28"/>
        </w:rPr>
        <w:sectPr>
          <w:pgSz w:h="16838" w:w="11906" w:orient="portrait"/>
          <w:pgMar w:bottom="1440" w:top="1440" w:left="1440" w:right="1440" w:header="720" w:footer="720"/>
          <w:pgNumType w:start="1"/>
        </w:sectPr>
      </w:pPr>
      <w:r w:rsidDel="00000000" w:rsidR="00000000" w:rsidRPr="00000000">
        <w:rPr>
          <w:b w:val="1"/>
          <w:sz w:val="28"/>
          <w:szCs w:val="28"/>
          <w:rtl w:val="0"/>
        </w:rPr>
        <w:t xml:space="preserve">[Year]</w:t>
      </w:r>
    </w:p>
    <w:p w:rsidR="00000000" w:rsidDel="00000000" w:rsidP="00000000" w:rsidRDefault="00000000" w:rsidRPr="00000000" w14:paraId="00000015">
      <w:pPr>
        <w:spacing w:line="360" w:lineRule="auto"/>
        <w:rPr>
          <w:b w:val="1"/>
          <w:sz w:val="28"/>
          <w:szCs w:val="28"/>
        </w:rPr>
      </w:pPr>
      <w:r w:rsidDel="00000000" w:rsidR="00000000" w:rsidRPr="00000000">
        <w:rPr>
          <w:b w:val="1"/>
          <w:sz w:val="28"/>
          <w:szCs w:val="28"/>
          <w:rtl w:val="0"/>
        </w:rPr>
        <w:t xml:space="preserve">Chapter 1. INTRODUCTION</w:t>
      </w:r>
    </w:p>
    <w:p>
      <w:pPr>
        <w:keepNext w:val="1"/>
        <w:spacing w:before="240" w:after="120" w:line="360" w:lineRule="auto"/>
        <w:jc w:val="left"/>
      </w:pPr>
      <w:r>
        <w:rPr>
          <w:b w:val="1"/>
          <w:sz w:val="24"/>
          <w:szCs w:val="24"/>
        </w:rPr>
        <w:t xml:space="preserve">1.1 Background</w:t>
      </w:r>
    </w:p>
    <w:p>
      <w:pPr>
        <w:spacing w:before="0" w:after="120" w:line="360" w:lineRule="auto"/>
        <w:jc w:val="both"/>
      </w:pPr>
      <w:r>
        <w:rPr>
          <w:sz w:val="24"/>
          <w:szCs w:val="24"/>
        </w:rPr>
        <w:t xml:space="preserve">PT Bank Rakyat Indonesia (Persero) Tbk (BRI) manages its branch network in Indonesia through regional offices (Kantor Wilayah). Each regional office supervises, supports, and controls the bank's operations in its region. Region 13, Regional Office Malang, covers the bank's operations in Malang and the surrounding cities of East Java. It is based at Menara BRI Malang, where I carried out my internship.</w:t>
      </w:r>
    </w:p>
    <w:p>
      <w:pPr>
        <w:spacing w:before="0" w:after="120" w:line="360" w:lineRule="auto"/>
        <w:jc w:val="both"/>
      </w:pPr>
      <w:r>
        <w:rPr>
          <w:sz w:val="24"/>
          <w:szCs w:val="24"/>
        </w:rPr>
        <w:t xml:space="preserve">Regional Office Malang is organised into 24 regional units that report to the head of the region. Table 1.1 groups them by function. Six Area offices, namely Jember, Kediri, Madiun, Malang Soekarno Hatta, Probolinggo, and Tulungagung, also report to the region. These run day-to-day banking operations in their own areas and are not part of the regional office itself.</w:t>
      </w:r>
    </w:p>
    <w:p>
      <w:pPr>
        <w:keepNext w:val="1"/>
        <w:spacing w:before="120" w:after="60" w:line="240" w:lineRule="auto"/>
        <w:jc w:val="center"/>
      </w:pPr>
      <w:r>
        <w:rPr>
          <w:b w:val="1"/>
          <w:sz w:val="20"/>
          <w:szCs w:val="20"/>
        </w:rPr>
        <w:t xml:space="preserve">Table 1.1 Units of Regional Office Malang, grouped by function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400"/>
        <w:gridCol w:w="6626"/>
      </w:tblGrid>
      <w:tr>
        <w:trPr>
          <w:tblHeader w:val="1"/>
        </w:trPr>
        <w:tc>
          <w:tcPr>
            <w:tcW w:w="2400" w:type="dxa"/>
            <w:shd w:val="clear" w:color="auto" w:fill="D9D9D9"/>
            <w:vAlign w:val="top"/>
          </w:tcPr>
          <w:p>
            <w:pPr>
              <w:spacing w:before="0" w:after="0" w:line="240" w:lineRule="auto"/>
              <w:jc w:val="left"/>
            </w:pPr>
            <w:r>
              <w:rPr>
                <w:b w:val="1"/>
                <w:sz w:val="20"/>
                <w:szCs w:val="20"/>
              </w:rPr>
              <w:t xml:space="preserve">Function</w:t>
            </w:r>
          </w:p>
        </w:tc>
        <w:tc>
          <w:tcPr>
            <w:tcW w:w="6626" w:type="dxa"/>
            <w:shd w:val="clear" w:color="auto" w:fill="D9D9D9"/>
            <w:vAlign w:val="top"/>
          </w:tcPr>
          <w:p>
            <w:pPr>
              <w:spacing w:before="0" w:after="0" w:line="240" w:lineRule="auto"/>
              <w:jc w:val="left"/>
            </w:pPr>
            <w:r>
              <w:rPr>
                <w:b w:val="1"/>
                <w:sz w:val="20"/>
                <w:szCs w:val="20"/>
              </w:rPr>
              <w:t xml:space="preserve">Units</w:t>
            </w:r>
          </w:p>
        </w:tc>
      </w:tr>
      <w:tr>
        <w:tc>
          <w:tcPr>
            <w:tcW w:w="2400" w:type="dxa"/>
            <w:vAlign w:val="top"/>
          </w:tcPr>
          <w:p>
            <w:pPr>
              <w:spacing w:before="0" w:after="0" w:line="240" w:lineRule="auto"/>
              <w:jc w:val="left"/>
            </w:pPr>
            <w:r>
              <w:rPr>
                <w:sz w:val="20"/>
                <w:szCs w:val="20"/>
              </w:rPr>
              <w:t xml:space="preserve">Business and sales</w:t>
            </w:r>
          </w:p>
        </w:tc>
        <w:tc>
          <w:tcPr>
            <w:tcW w:w="6626" w:type="dxa"/>
            <w:vAlign w:val="top"/>
          </w:tcPr>
          <w:p>
            <w:pPr>
              <w:spacing w:before="0" w:after="0" w:line="240" w:lineRule="auto"/>
              <w:jc w:val="left"/>
            </w:pPr>
            <w:r>
              <w:rPr>
                <w:sz w:val="20"/>
                <w:szCs w:val="20"/>
              </w:rPr>
              <w:t xml:space="preserve">Regional Micro Banking; Regional Consumer Banking; Regional SME Banking; Regional Funding &amp; Retail Transaction Banking; Regional Transaction Banking Department; Commercial Banking Center</w:t>
            </w:r>
          </w:p>
        </w:tc>
      </w:tr>
      <w:tr>
        <w:tc>
          <w:tcPr>
            <w:tcW w:w="2400" w:type="dxa"/>
            <w:vAlign w:val="top"/>
          </w:tcPr>
          <w:p>
            <w:pPr>
              <w:spacing w:before="0" w:after="0" w:line="240" w:lineRule="auto"/>
              <w:jc w:val="left"/>
            </w:pPr>
            <w:r>
              <w:rPr>
                <w:sz w:val="20"/>
                <w:szCs w:val="20"/>
              </w:rPr>
              <w:t xml:space="preserve">Credit operations</w:t>
            </w:r>
          </w:p>
        </w:tc>
        <w:tc>
          <w:tcPr>
            <w:tcW w:w="6626" w:type="dxa"/>
            <w:vAlign w:val="top"/>
          </w:tcPr>
          <w:p>
            <w:pPr>
              <w:spacing w:before="0" w:after="0" w:line="240" w:lineRule="auto"/>
              <w:jc w:val="left"/>
            </w:pPr>
            <w:r>
              <w:rPr>
                <w:sz w:val="20"/>
                <w:szCs w:val="20"/>
              </w:rPr>
              <w:t xml:space="preserve">Regional Retail Credit Operation Department; Regional Commercial Credit Operation Department; Regional Consumer Loan Factory Team</w:t>
            </w:r>
          </w:p>
        </w:tc>
      </w:tr>
      <w:tr>
        <w:tc>
          <w:tcPr>
            <w:tcW w:w="2400" w:type="dxa"/>
            <w:vAlign w:val="top"/>
          </w:tcPr>
          <w:p>
            <w:pPr>
              <w:spacing w:before="0" w:after="0" w:line="240" w:lineRule="auto"/>
              <w:jc w:val="left"/>
            </w:pPr>
            <w:r>
              <w:rPr>
                <w:sz w:val="20"/>
                <w:szCs w:val="20"/>
              </w:rPr>
              <w:t xml:space="preserve">Risk, compliance, and legal</w:t>
            </w:r>
          </w:p>
        </w:tc>
        <w:tc>
          <w:tcPr>
            <w:tcW w:w="6626" w:type="dxa"/>
            <w:vAlign w:val="top"/>
          </w:tcPr>
          <w:p>
            <w:pPr>
              <w:spacing w:before="0" w:after="0" w:line="240" w:lineRule="auto"/>
              <w:jc w:val="left"/>
            </w:pPr>
            <w:r>
              <w:rPr>
                <w:sz w:val="20"/>
                <w:szCs w:val="20"/>
              </w:rPr>
              <w:t xml:space="preserve">Regional Risk Management Department; Regional Operational Risk &amp; Compliance Team; Regional Operational Risk Team; Regional AML &amp; Compliance Team; Commercial Credit Risk; Regional Legal Team</w:t>
            </w:r>
          </w:p>
        </w:tc>
      </w:tr>
      <w:tr>
        <w:tc>
          <w:tcPr>
            <w:tcW w:w="2400" w:type="dxa"/>
            <w:vAlign w:val="top"/>
          </w:tcPr>
          <w:p>
            <w:pPr>
              <w:spacing w:before="0" w:after="0" w:line="240" w:lineRule="auto"/>
              <w:jc w:val="left"/>
            </w:pPr>
            <w:r>
              <w:rPr>
                <w:sz w:val="20"/>
                <w:szCs w:val="20"/>
              </w:rPr>
              <w:t xml:space="preserve">Collection and recovery</w:t>
            </w:r>
          </w:p>
        </w:tc>
        <w:tc>
          <w:tcPr>
            <w:tcW w:w="6626" w:type="dxa"/>
            <w:vAlign w:val="top"/>
          </w:tcPr>
          <w:p>
            <w:pPr>
              <w:spacing w:before="0" w:after="0" w:line="240" w:lineRule="auto"/>
              <w:jc w:val="left"/>
            </w:pPr>
            <w:r>
              <w:rPr>
                <w:sz w:val="20"/>
                <w:szCs w:val="20"/>
              </w:rPr>
              <w:t xml:space="preserve">Regional Retail Recovery Team; Regional Micro &amp; Consumer Collection Department; Regional SME Recovery Department; Regional Retail Collection &amp; Recovery Department</w:t>
            </w:r>
          </w:p>
        </w:tc>
      </w:tr>
      <w:tr>
        <w:tc>
          <w:tcPr>
            <w:tcW w:w="2400" w:type="dxa"/>
            <w:vAlign w:val="top"/>
          </w:tcPr>
          <w:p>
            <w:pPr>
              <w:spacing w:before="0" w:after="0" w:line="240" w:lineRule="auto"/>
              <w:jc w:val="left"/>
            </w:pPr>
            <w:r>
              <w:rPr>
                <w:sz w:val="20"/>
                <w:szCs w:val="20"/>
              </w:rPr>
              <w:t xml:space="preserve">Support and operations</w:t>
            </w:r>
          </w:p>
        </w:tc>
        <w:tc>
          <w:tcPr>
            <w:tcW w:w="6626" w:type="dxa"/>
            <w:vAlign w:val="top"/>
          </w:tcPr>
          <w:p>
            <w:pPr>
              <w:spacing w:before="0" w:after="0" w:line="240" w:lineRule="auto"/>
              <w:jc w:val="left"/>
            </w:pPr>
            <w:r>
              <w:rPr>
                <w:sz w:val="20"/>
                <w:szCs w:val="20"/>
              </w:rPr>
              <w:t xml:space="preserve">Regional Business Support; Regional Decision Support Team; Regional Strategy &amp; Finance; Operation, Service &amp; E-Channel Department; Information Technology Department</w:t>
            </w:r>
          </w:p>
        </w:tc>
      </w:tr>
    </w:tbl>
    <w:p>
      <w:pPr>
        <w:spacing w:before="0" w:after="60" w:line="240" w:lineRule="auto"/>
        <w:jc w:val="both"/>
      </w:pPr>
    </w:p>
    <w:p>
      <w:pPr>
        <w:spacing w:before="0" w:after="120" w:line="360" w:lineRule="auto"/>
        <w:jc w:val="both"/>
      </w:pPr>
      <w:r>
        <w:rPr>
          <w:sz w:val="24"/>
          <w:szCs w:val="24"/>
        </w:rPr>
        <w:t xml:space="preserve">My internship was split between two of these units. The first was the Information Technology Department, referred to in this report as the IT division. It looks after the regional office's IT devices, such as PCs, laptops, and printers, along with its servers, databases, and the internal applications and shared files that staff use every day. The second was the Regional Funding &amp; Retail Transaction Banking group, referred to in this report as the Retail Transaction Banking (RTB) division. It grows the region's funding and transaction banking business. Its products include Qlola, BRI's cash management platform for business customers, the BRIVA virtual account service, and current (giro) accounts and their programs, such as Giro Rewards and Edupay Growth. RTB also onboards business customers to Qlola and monitors how they use it, and prepares regular reports on these products for the region's branches.</w:t>
      </w:r>
    </w:p>
    <w:p>
      <w:pPr>
        <w:spacing w:before="0" w:after="120" w:line="360" w:lineRule="auto"/>
        <w:jc w:val="both"/>
      </w:pPr>
      <w:r>
        <w:rPr>
          <w:sz w:val="24"/>
          <w:szCs w:val="24"/>
        </w:rPr>
        <w:t xml:space="preserve">Both divisions depend on accurate records and recurring reports. In practice, much of this work was still done by hand: device records in the IT division, and spreadsheet reports built from system extracts in the RTB division. Work like this is where an Information Systems student can contribute, and it shaped the tasks described in this report.</w:t>
      </w:r>
    </w:p>
    <w:p>
      <w:pPr>
        <w:keepNext w:val="1"/>
        <w:spacing w:before="240" w:after="120" w:line="360" w:lineRule="auto"/>
        <w:jc w:val="left"/>
      </w:pPr>
      <w:r>
        <w:rPr>
          <w:b w:val="1"/>
          <w:sz w:val="24"/>
          <w:szCs w:val="24"/>
        </w:rPr>
        <w:t xml:space="preserve">1.2 Objectives</w:t>
      </w:r>
    </w:p>
    <w:p>
      <w:pPr>
        <w:spacing w:before="0" w:after="120" w:line="360" w:lineRule="auto"/>
        <w:jc w:val="both"/>
      </w:pPr>
      <w:r>
        <w:rPr>
          <w:sz w:val="24"/>
          <w:szCs w:val="24"/>
        </w:rPr>
        <w:t xml:space="preserve">The internship was carried out as part of the internship course (STEM4301) of the Information Systems study program, Faculty of Engineering and Technology, Sampoerna University. Its objectives were:</w:t>
      </w:r>
    </w:p>
    <w:p>
      <w:pPr>
        <w:numPr>
          <w:ilvl w:val="0"/>
          <w:numId w:val="4"/>
        </w:numPr>
        <w:spacing w:before="0" w:after="60" w:line="360" w:lineRule="auto"/>
        <w:jc w:val="both"/>
      </w:pPr>
      <w:r>
        <w:rPr>
          <w:sz w:val="24"/>
          <w:szCs w:val="24"/>
        </w:rPr>
        <w:t xml:space="preserve">To apply what I learned in Information Systems, such as systems analysis, web development, databases, and data processing, to real problems in a banking workplace.</w:t>
      </w:r>
    </w:p>
    <w:p>
      <w:pPr>
        <w:numPr>
          <w:ilvl w:val="0"/>
          <w:numId w:val="4"/>
        </w:numPr>
        <w:spacing w:before="0" w:after="60" w:line="360" w:lineRule="auto"/>
        <w:jc w:val="both"/>
      </w:pPr>
      <w:r>
        <w:rPr>
          <w:sz w:val="24"/>
          <w:szCs w:val="24"/>
        </w:rPr>
        <w:t xml:space="preserve">To understand how a regional office of a state-owned bank works, in particular how the IT division looks after the office's devices and internal systems, and how the RTB division serves business customers through products such as Qlola, current (giro) accounts, and BRIVA.</w:t>
      </w:r>
    </w:p>
    <w:p>
      <w:pPr>
        <w:numPr>
          <w:ilvl w:val="0"/>
          <w:numId w:val="4"/>
        </w:numPr>
        <w:spacing w:before="0" w:after="60" w:line="360" w:lineRule="auto"/>
        <w:jc w:val="both"/>
      </w:pPr>
      <w:r>
        <w:rPr>
          <w:sz w:val="24"/>
          <w:szCs w:val="24"/>
        </w:rPr>
        <w:t xml:space="preserve">To design, build, and hand over working software that meets an actual operational need of the divisions I was placed in.</w:t>
      </w:r>
    </w:p>
    <w:p>
      <w:pPr>
        <w:numPr>
          <w:ilvl w:val="0"/>
          <w:numId w:val="4"/>
        </w:numPr>
        <w:spacing w:before="0" w:after="60" w:line="360" w:lineRule="auto"/>
        <w:jc w:val="both"/>
      </w:pPr>
      <w:r>
        <w:rPr>
          <w:sz w:val="24"/>
          <w:szCs w:val="24"/>
        </w:rPr>
        <w:t xml:space="preserve">To develop professional skills: communicating with supervisors, staff, and customers, working to deadlines, documenting my work, and taking part in internal and customer meetings.</w:t>
      </w:r>
    </w:p>
    <w:p>
      <w:pPr>
        <w:numPr>
          <w:ilvl w:val="0"/>
          <w:numId w:val="4"/>
        </w:numPr>
        <w:spacing w:before="0" w:after="60" w:line="360" w:lineRule="auto"/>
        <w:jc w:val="both"/>
      </w:pPr>
      <w:r>
        <w:rPr>
          <w:sz w:val="24"/>
          <w:szCs w:val="24"/>
        </w:rPr>
        <w:t xml:space="preserve">To gain work experience that prepares me for a career in information systems after graduation.</w:t>
      </w:r>
    </w:p>
    <w:p>
      <w:pPr>
        <w:keepNext w:val="1"/>
        <w:spacing w:before="240" w:after="120" w:line="360" w:lineRule="auto"/>
        <w:jc w:val="left"/>
      </w:pPr>
      <w:r>
        <w:rPr>
          <w:b w:val="1"/>
          <w:sz w:val="24"/>
          <w:szCs w:val="24"/>
        </w:rPr>
        <w:t xml:space="preserve">1.3 Benefits</w:t>
      </w:r>
    </w:p>
    <w:p>
      <w:pPr>
        <w:spacing w:before="0" w:after="120" w:line="360" w:lineRule="auto"/>
        <w:jc w:val="both"/>
      </w:pPr>
      <w:r>
        <w:rPr>
          <w:sz w:val="24"/>
          <w:szCs w:val="24"/>
        </w:rPr>
        <w:t xml:space="preserve">The internship benefits three parties: the student, the company, and the university.</w:t>
      </w:r>
    </w:p>
    <w:p>
      <w:pPr>
        <w:spacing w:before="0" w:after="120" w:line="360" w:lineRule="auto"/>
        <w:jc w:val="both"/>
      </w:pPr>
      <w:r>
        <w:rPr>
          <w:b w:val="1"/>
          <w:sz w:val="24"/>
          <w:szCs w:val="24"/>
        </w:rPr>
        <w:t xml:space="preserve">For the student. </w:t>
      </w:r>
      <w:r>
        <w:rPr>
          <w:sz w:val="24"/>
          <w:szCs w:val="24"/>
        </w:rPr>
        <w:t xml:space="preserve">I gained hands-on experience across the whole life of a software system, from analysing requirements to building, testing, and deploying it. This covered web development with React, Node.js, and PostgreSQL, server work with Ubuntu Server and phpMyAdmin for MariaDB and MySQL, data processing with Python and Excel, and running a locally hosted AI agent (OpenClaw with Ollama) on spreadsheet data. I also learned how banking products such as Qlola, giro accounts, and BRIVA work from the bank's side, and how a regional office handles customer data, reports, and official correspondence.</w:t>
      </w:r>
    </w:p>
    <w:p>
      <w:pPr>
        <w:spacing w:before="0" w:after="120" w:line="360" w:lineRule="auto"/>
        <w:jc w:val="both"/>
      </w:pPr>
      <w:r>
        <w:rPr>
          <w:b w:val="1"/>
          <w:sz w:val="24"/>
          <w:szCs w:val="24"/>
        </w:rPr>
        <w:t xml:space="preserve">For Bank BRI Regional Office Malang. </w:t>
      </w:r>
      <w:r>
        <w:rPr>
          <w:sz w:val="24"/>
          <w:szCs w:val="24"/>
        </w:rPr>
        <w:t xml:space="preserve">The IT division received an inventory system for its IT devices, deployed on an Ubuntu server for internal use. The RTB division received the Excel Workflow Processor, which turns its recurring Qlola reports into a one-click process. Both divisions also had extra help with day-to-day work, including data processing and mapping, standardising customer group categories, infographics for the marketing team, maintenance reports, and drafting a Digital Office (DiO) letter.</w:t>
      </w:r>
    </w:p>
    <w:p>
      <w:pPr>
        <w:spacing w:before="0" w:after="120" w:line="360" w:lineRule="auto"/>
        <w:jc w:val="both"/>
      </w:pPr>
      <w:r>
        <w:rPr>
          <w:b w:val="1"/>
          <w:sz w:val="24"/>
          <w:szCs w:val="24"/>
        </w:rPr>
        <w:t xml:space="preserve">For Sampoerna University. </w:t>
      </w:r>
      <w:r>
        <w:rPr>
          <w:sz w:val="24"/>
          <w:szCs w:val="24"/>
        </w:rPr>
        <w:t xml:space="preserve">The internship gives the university feedback on how well the Information Systems curriculum matches the skills a large bank needs. It also strengthens the relationship between the university and Bank BRI, which can open placements for future students.</w:t>
      </w:r>
    </w:p>
    <w:p>
      <w:pPr>
        <w:keepNext w:val="1"/>
        <w:spacing w:before="240" w:after="120" w:line="360" w:lineRule="auto"/>
        <w:jc w:val="left"/>
      </w:pPr>
      <w:r>
        <w:rPr>
          <w:b w:val="1"/>
          <w:sz w:val="24"/>
          <w:szCs w:val="24"/>
        </w:rPr>
        <w:t xml:space="preserve">1.4 Scope of Work</w:t>
      </w:r>
    </w:p>
    <w:p>
      <w:pPr>
        <w:spacing w:before="0" w:after="120" w:line="360" w:lineRule="auto"/>
        <w:jc w:val="both"/>
      </w:pPr>
      <w:r>
        <w:rPr>
          <w:sz w:val="24"/>
          <w:szCs w:val="24"/>
        </w:rPr>
        <w:t xml:space="preserve">The internship took place at Bank BRI Regional Office Malang, Menara BRI Malang, Jalan Laksamana Martadinata No. 80, Kelurahan Sukoharjo, Kecamatan Klojen, Kota Malang, East Java, from 5 June to 21 August 2026. It was split into two placements, one in each division, as shown in Table 1.2.</w:t>
      </w:r>
    </w:p>
    <w:p>
      <w:pPr>
        <w:keepNext w:val="1"/>
        <w:spacing w:before="120" w:after="60" w:line="240" w:lineRule="auto"/>
        <w:jc w:val="center"/>
      </w:pPr>
      <w:r>
        <w:rPr>
          <w:b w:val="1"/>
          <w:sz w:val="20"/>
          <w:szCs w:val="20"/>
        </w:rPr>
        <w:t xml:space="preserve">Table 1.2 Internship placements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3600"/>
        <w:gridCol w:w="2800"/>
        <w:gridCol w:w="2626"/>
      </w:tblGrid>
      <w:tr>
        <w:trPr>
          <w:tblHeader w:val="1"/>
        </w:trPr>
        <w:tc>
          <w:tcPr>
            <w:tcW w:w="3600" w:type="dxa"/>
            <w:shd w:val="clear" w:color="auto" w:fill="D9D9D9"/>
            <w:vAlign w:val="top"/>
          </w:tcPr>
          <w:p>
            <w:pPr>
              <w:spacing w:before="0" w:after="0" w:line="240" w:lineRule="auto"/>
              <w:jc w:val="left"/>
            </w:pPr>
            <w:r>
              <w:rPr>
                <w:b w:val="1"/>
                <w:sz w:val="20"/>
                <w:szCs w:val="20"/>
              </w:rPr>
              <w:t xml:space="preserve">Division</w:t>
            </w:r>
          </w:p>
        </w:tc>
        <w:tc>
          <w:tcPr>
            <w:tcW w:w="2800" w:type="dxa"/>
            <w:shd w:val="clear" w:color="auto" w:fill="D9D9D9"/>
            <w:vAlign w:val="top"/>
          </w:tcPr>
          <w:p>
            <w:pPr>
              <w:spacing w:before="0" w:after="0" w:line="240" w:lineRule="auto"/>
              <w:jc w:val="left"/>
            </w:pPr>
            <w:r>
              <w:rPr>
                <w:b w:val="1"/>
                <w:sz w:val="20"/>
                <w:szCs w:val="20"/>
              </w:rPr>
              <w:t xml:space="preserve">Period</w:t>
            </w:r>
          </w:p>
        </w:tc>
        <w:tc>
          <w:tcPr>
            <w:tcW w:w="2626" w:type="dxa"/>
            <w:shd w:val="clear" w:color="auto" w:fill="D9D9D9"/>
            <w:vAlign w:val="top"/>
          </w:tcPr>
          <w:p>
            <w:pPr>
              <w:spacing w:before="0" w:after="0" w:line="240" w:lineRule="auto"/>
              <w:jc w:val="left"/>
            </w:pPr>
            <w:r>
              <w:rPr>
                <w:b w:val="1"/>
                <w:sz w:val="20"/>
                <w:szCs w:val="20"/>
              </w:rPr>
              <w:t xml:space="preserve">Supervisor</w:t>
            </w:r>
          </w:p>
        </w:tc>
      </w:tr>
      <w:tr>
        <w:tc>
          <w:tcPr>
            <w:tcW w:w="3600" w:type="dxa"/>
            <w:vAlign w:val="top"/>
          </w:tcPr>
          <w:p>
            <w:pPr>
              <w:spacing w:before="0" w:after="0" w:line="240" w:lineRule="auto"/>
              <w:jc w:val="left"/>
            </w:pPr>
            <w:r>
              <w:rPr>
                <w:sz w:val="20"/>
                <w:szCs w:val="20"/>
              </w:rPr>
              <w:t xml:space="preserve">Information Technology (IT)</w:t>
            </w:r>
          </w:p>
        </w:tc>
        <w:tc>
          <w:tcPr>
            <w:tcW w:w="2800" w:type="dxa"/>
            <w:vAlign w:val="top"/>
          </w:tcPr>
          <w:p>
            <w:pPr>
              <w:spacing w:before="0" w:after="0" w:line="240" w:lineRule="auto"/>
              <w:jc w:val="left"/>
            </w:pPr>
            <w:r>
              <w:rPr>
                <w:sz w:val="20"/>
                <w:szCs w:val="20"/>
              </w:rPr>
              <w:t xml:space="preserve">5 June – 7 July 2026</w:t>
            </w:r>
          </w:p>
        </w:tc>
        <w:tc>
          <w:tcPr>
            <w:tcW w:w="2626" w:type="dxa"/>
            <w:vAlign w:val="top"/>
          </w:tcPr>
          <w:p>
            <w:pPr>
              <w:spacing w:before="0" w:after="0" w:line="240" w:lineRule="auto"/>
              <w:jc w:val="left"/>
            </w:pPr>
            <w:r>
              <w:rPr>
                <w:sz w:val="20"/>
                <w:szCs w:val="20"/>
              </w:rPr>
              <w:t xml:space="preserve">Ugro Wiseno</w:t>
            </w:r>
          </w:p>
        </w:tc>
      </w:tr>
      <w:tr>
        <w:tc>
          <w:tcPr>
            <w:tcW w:w="3600" w:type="dxa"/>
            <w:vAlign w:val="top"/>
          </w:tcPr>
          <w:p>
            <w:pPr>
              <w:spacing w:before="0" w:after="0" w:line="240" w:lineRule="auto"/>
              <w:jc w:val="left"/>
            </w:pPr>
            <w:r>
              <w:rPr>
                <w:sz w:val="20"/>
                <w:szCs w:val="20"/>
              </w:rPr>
              <w:t xml:space="preserve">Retail Transaction Banking (RTB)</w:t>
            </w:r>
          </w:p>
        </w:tc>
        <w:tc>
          <w:tcPr>
            <w:tcW w:w="2800" w:type="dxa"/>
            <w:vAlign w:val="top"/>
          </w:tcPr>
          <w:p>
            <w:pPr>
              <w:spacing w:before="0" w:after="0" w:line="240" w:lineRule="auto"/>
              <w:jc w:val="left"/>
            </w:pPr>
            <w:r>
              <w:rPr>
                <w:sz w:val="20"/>
                <w:szCs w:val="20"/>
              </w:rPr>
              <w:t xml:space="preserve">8 July – 21 August 2026</w:t>
            </w:r>
          </w:p>
        </w:tc>
        <w:tc>
          <w:tcPr>
            <w:tcW w:w="2626" w:type="dxa"/>
            <w:vAlign w:val="top"/>
          </w:tcPr>
          <w:p>
            <w:pPr>
              <w:spacing w:before="0" w:after="0" w:line="240" w:lineRule="auto"/>
              <w:jc w:val="left"/>
            </w:pPr>
            <w:r>
              <w:rPr>
                <w:sz w:val="20"/>
                <w:szCs w:val="20"/>
              </w:rPr>
              <w:t xml:space="preserve">Mochamad Denny Julianto</w:t>
            </w:r>
          </w:p>
        </w:tc>
      </w:tr>
    </w:tbl>
    <w:p>
      <w:pPr>
        <w:spacing w:before="0" w:after="60" w:line="240" w:lineRule="auto"/>
        <w:jc w:val="both"/>
      </w:pPr>
    </w:p>
    <w:p>
      <w:pPr>
        <w:spacing w:before="0" w:after="120" w:line="360" w:lineRule="auto"/>
        <w:jc w:val="both"/>
      </w:pPr>
      <w:r>
        <w:rPr>
          <w:sz w:val="24"/>
          <w:szCs w:val="24"/>
        </w:rPr>
        <w:t xml:space="preserve">Table 1.3 lists the tasks I carried out in the IT division, as recorded on the internship completion form signed by my supervisor.</w:t>
      </w:r>
    </w:p>
    <w:p>
      <w:pPr>
        <w:keepNext w:val="1"/>
        <w:spacing w:before="120" w:after="60" w:line="240" w:lineRule="auto"/>
        <w:jc w:val="center"/>
      </w:pPr>
      <w:r>
        <w:rPr>
          <w:b w:val="1"/>
          <w:sz w:val="20"/>
          <w:szCs w:val="20"/>
        </w:rPr>
        <w:t xml:space="preserve">Table 1.3 Tasks carried out in the IT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800"/>
        <w:gridCol w:w="8226"/>
      </w:tblGrid>
      <w:tr>
        <w:trPr>
          <w:tblHeader w:val="1"/>
        </w:trPr>
        <w:tc>
          <w:tcPr>
            <w:tcW w:w="800" w:type="dxa"/>
            <w:shd w:val="clear" w:color="auto" w:fill="D9D9D9"/>
            <w:vAlign w:val="top"/>
          </w:tcPr>
          <w:p>
            <w:pPr>
              <w:spacing w:before="0" w:after="0" w:line="240" w:lineRule="auto"/>
              <w:jc w:val="left"/>
            </w:pPr>
            <w:r>
              <w:rPr>
                <w:b w:val="1"/>
                <w:sz w:val="20"/>
                <w:szCs w:val="20"/>
              </w:rPr>
              <w:t xml:space="preserve">No.</w:t>
            </w:r>
          </w:p>
        </w:tc>
        <w:tc>
          <w:tcPr>
            <w:tcW w:w="8226" w:type="dxa"/>
            <w:shd w:val="clear" w:color="auto" w:fill="D9D9D9"/>
            <w:vAlign w:val="top"/>
          </w:tcPr>
          <w:p>
            <w:pPr>
              <w:spacing w:before="0" w:after="0" w:line="240" w:lineRule="auto"/>
              <w:jc w:val="left"/>
            </w:pPr>
            <w:r>
              <w:rPr>
                <w:b w:val="1"/>
                <w:sz w:val="20"/>
                <w:szCs w:val="20"/>
              </w:rPr>
              <w:t xml:space="preserve">Task</w:t>
            </w:r>
          </w:p>
        </w:tc>
      </w:tr>
      <w:tr>
        <w:tc>
          <w:tcPr>
            <w:tcW w:w="800" w:type="dxa"/>
            <w:vAlign w:val="top"/>
          </w:tcPr>
          <w:p>
            <w:pPr>
              <w:spacing w:before="0" w:after="0" w:line="240" w:lineRule="auto"/>
              <w:jc w:val="left"/>
            </w:pPr>
            <w:r>
              <w:rPr>
                <w:sz w:val="20"/>
                <w:szCs w:val="20"/>
              </w:rPr>
              <w:t xml:space="preserve">1</w:t>
            </w:r>
          </w:p>
        </w:tc>
        <w:tc>
          <w:tcPr>
            <w:tcW w:w="8226" w:type="dxa"/>
            <w:vAlign w:val="top"/>
          </w:tcPr>
          <w:p>
            <w:pPr>
              <w:spacing w:before="0" w:after="0" w:line="240" w:lineRule="auto"/>
              <w:jc w:val="left"/>
            </w:pPr>
            <w:r>
              <w:rPr>
                <w:sz w:val="20"/>
                <w:szCs w:val="20"/>
              </w:rPr>
              <w:t xml:space="preserve">Organising the availability of document access within a spreadsheet</w:t>
            </w:r>
          </w:p>
        </w:tc>
      </w:tr>
      <w:tr>
        <w:tc>
          <w:tcPr>
            <w:tcW w:w="800" w:type="dxa"/>
            <w:vAlign w:val="top"/>
          </w:tcPr>
          <w:p>
            <w:pPr>
              <w:spacing w:before="0" w:after="0" w:line="240" w:lineRule="auto"/>
              <w:jc w:val="left"/>
            </w:pPr>
            <w:r>
              <w:rPr>
                <w:sz w:val="20"/>
                <w:szCs w:val="20"/>
              </w:rPr>
              <w:t xml:space="preserve">2</w:t>
            </w:r>
          </w:p>
        </w:tc>
        <w:tc>
          <w:tcPr>
            <w:tcW w:w="8226" w:type="dxa"/>
            <w:vAlign w:val="top"/>
          </w:tcPr>
          <w:p>
            <w:pPr>
              <w:spacing w:before="0" w:after="0" w:line="240" w:lineRule="auto"/>
              <w:jc w:val="left"/>
            </w:pPr>
            <w:r>
              <w:rPr>
                <w:sz w:val="20"/>
                <w:szCs w:val="20"/>
              </w:rPr>
              <w:t xml:space="preserve">Developing the inventory system website for IT devices (Perangkat IT)</w:t>
            </w:r>
          </w:p>
        </w:tc>
      </w:tr>
      <w:tr>
        <w:tc>
          <w:tcPr>
            <w:tcW w:w="800" w:type="dxa"/>
            <w:vAlign w:val="top"/>
          </w:tcPr>
          <w:p>
            <w:pPr>
              <w:spacing w:before="0" w:after="0" w:line="240" w:lineRule="auto"/>
              <w:jc w:val="left"/>
            </w:pPr>
            <w:r>
              <w:rPr>
                <w:sz w:val="20"/>
                <w:szCs w:val="20"/>
              </w:rPr>
              <w:t xml:space="preserve">3</w:t>
            </w:r>
          </w:p>
        </w:tc>
        <w:tc>
          <w:tcPr>
            <w:tcW w:w="8226" w:type="dxa"/>
            <w:vAlign w:val="top"/>
          </w:tcPr>
          <w:p>
            <w:pPr>
              <w:spacing w:before="0" w:after="0" w:line="240" w:lineRule="auto"/>
              <w:jc w:val="left"/>
            </w:pPr>
            <w:r>
              <w:rPr>
                <w:sz w:val="20"/>
                <w:szCs w:val="20"/>
              </w:rPr>
              <w:t xml:space="preserve">Installing an Ubuntu server to deploy the finished inventory system website</w:t>
            </w:r>
          </w:p>
        </w:tc>
      </w:tr>
      <w:tr>
        <w:tc>
          <w:tcPr>
            <w:tcW w:w="800" w:type="dxa"/>
            <w:vAlign w:val="top"/>
          </w:tcPr>
          <w:p>
            <w:pPr>
              <w:spacing w:before="0" w:after="0" w:line="240" w:lineRule="auto"/>
              <w:jc w:val="left"/>
            </w:pPr>
            <w:r>
              <w:rPr>
                <w:sz w:val="20"/>
                <w:szCs w:val="20"/>
              </w:rPr>
              <w:t xml:space="preserve">4</w:t>
            </w:r>
          </w:p>
        </w:tc>
        <w:tc>
          <w:tcPr>
            <w:tcW w:w="8226" w:type="dxa"/>
            <w:vAlign w:val="top"/>
          </w:tcPr>
          <w:p>
            <w:pPr>
              <w:spacing w:before="0" w:after="0" w:line="240" w:lineRule="auto"/>
              <w:jc w:val="left"/>
            </w:pPr>
            <w:r>
              <w:rPr>
                <w:sz w:val="20"/>
                <w:szCs w:val="20"/>
              </w:rPr>
              <w:t xml:space="preserve">Installing and managing phpMyAdmin for the database servers (MariaDB and MySQL)</w:t>
            </w:r>
          </w:p>
        </w:tc>
      </w:tr>
      <w:tr>
        <w:tc>
          <w:tcPr>
            <w:tcW w:w="800" w:type="dxa"/>
            <w:vAlign w:val="top"/>
          </w:tcPr>
          <w:p>
            <w:pPr>
              <w:spacing w:before="0" w:after="0" w:line="240" w:lineRule="auto"/>
              <w:jc w:val="left"/>
            </w:pPr>
            <w:r>
              <w:rPr>
                <w:sz w:val="20"/>
                <w:szCs w:val="20"/>
              </w:rPr>
              <w:t xml:space="preserve">5</w:t>
            </w:r>
          </w:p>
        </w:tc>
        <w:tc>
          <w:tcPr>
            <w:tcW w:w="8226" w:type="dxa"/>
            <w:vAlign w:val="top"/>
          </w:tcPr>
          <w:p>
            <w:pPr>
              <w:spacing w:before="0" w:after="0" w:line="240" w:lineRule="auto"/>
              <w:jc w:val="left"/>
            </w:pPr>
            <w:r>
              <w:rPr>
                <w:sz w:val="20"/>
                <w:szCs w:val="20"/>
              </w:rPr>
              <w:t xml:space="preserve">Installing and setting up the OpenClaw AI agent with the Ollama framework for processing spreadsheets</w:t>
            </w:r>
          </w:p>
        </w:tc>
      </w:tr>
      <w:tr>
        <w:tc>
          <w:tcPr>
            <w:tcW w:w="800" w:type="dxa"/>
            <w:vAlign w:val="top"/>
          </w:tcPr>
          <w:p>
            <w:pPr>
              <w:spacing w:before="0" w:after="0" w:line="240" w:lineRule="auto"/>
              <w:jc w:val="left"/>
            </w:pPr>
            <w:r>
              <w:rPr>
                <w:sz w:val="20"/>
                <w:szCs w:val="20"/>
              </w:rPr>
              <w:t xml:space="preserve">6</w:t>
            </w:r>
          </w:p>
        </w:tc>
        <w:tc>
          <w:tcPr>
            <w:tcW w:w="8226" w:type="dxa"/>
            <w:vAlign w:val="top"/>
          </w:tcPr>
          <w:p>
            <w:pPr>
              <w:spacing w:before="0" w:after="0" w:line="240" w:lineRule="auto"/>
              <w:jc w:val="left"/>
            </w:pPr>
            <w:r>
              <w:rPr>
                <w:sz w:val="20"/>
                <w:szCs w:val="20"/>
              </w:rPr>
              <w:t xml:space="preserve">Editing and processing data in spreadsheets with the OpenClaw AI agent</w:t>
            </w:r>
          </w:p>
        </w:tc>
      </w:tr>
    </w:tbl>
    <w:p>
      <w:pPr>
        <w:spacing w:before="0" w:after="60" w:line="240" w:lineRule="auto"/>
        <w:jc w:val="both"/>
      </w:pPr>
    </w:p>
    <w:p>
      <w:pPr>
        <w:spacing w:before="0" w:after="120" w:line="360" w:lineRule="auto"/>
        <w:jc w:val="both"/>
      </w:pPr>
      <w:r>
        <w:rPr>
          <w:sz w:val="24"/>
          <w:szCs w:val="24"/>
        </w:rPr>
        <w:t xml:space="preserve">Table 1.4 lists the tasks I carried out in the RTB division, as recorded on the internship completion form signed by my supervisor.</w:t>
      </w:r>
    </w:p>
    <w:p>
      <w:pPr>
        <w:keepNext w:val="1"/>
        <w:spacing w:before="120" w:after="60" w:line="240" w:lineRule="auto"/>
        <w:jc w:val="center"/>
      </w:pPr>
      <w:r>
        <w:rPr>
          <w:b w:val="1"/>
          <w:sz w:val="20"/>
          <w:szCs w:val="20"/>
        </w:rPr>
        <w:t xml:space="preserve">Table 1.4 Tasks carried out in the RTB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800"/>
        <w:gridCol w:w="8226"/>
      </w:tblGrid>
      <w:tr>
        <w:trPr>
          <w:tblHeader w:val="1"/>
        </w:trPr>
        <w:tc>
          <w:tcPr>
            <w:tcW w:w="800" w:type="dxa"/>
            <w:shd w:val="clear" w:color="auto" w:fill="D9D9D9"/>
            <w:vAlign w:val="top"/>
          </w:tcPr>
          <w:p>
            <w:pPr>
              <w:spacing w:before="0" w:after="0" w:line="240" w:lineRule="auto"/>
              <w:jc w:val="left"/>
            </w:pPr>
            <w:r>
              <w:rPr>
                <w:b w:val="1"/>
                <w:sz w:val="20"/>
                <w:szCs w:val="20"/>
              </w:rPr>
              <w:t xml:space="preserve">No.</w:t>
            </w:r>
          </w:p>
        </w:tc>
        <w:tc>
          <w:tcPr>
            <w:tcW w:w="8226" w:type="dxa"/>
            <w:shd w:val="clear" w:color="auto" w:fill="D9D9D9"/>
            <w:vAlign w:val="top"/>
          </w:tcPr>
          <w:p>
            <w:pPr>
              <w:spacing w:before="0" w:after="0" w:line="240" w:lineRule="auto"/>
              <w:jc w:val="left"/>
            </w:pPr>
            <w:r>
              <w:rPr>
                <w:b w:val="1"/>
                <w:sz w:val="20"/>
                <w:szCs w:val="20"/>
              </w:rPr>
              <w:t xml:space="preserve">Task</w:t>
            </w:r>
          </w:p>
        </w:tc>
      </w:tr>
      <w:tr>
        <w:tc>
          <w:tcPr>
            <w:tcW w:w="800" w:type="dxa"/>
            <w:vAlign w:val="top"/>
          </w:tcPr>
          <w:p>
            <w:pPr>
              <w:spacing w:before="0" w:after="0" w:line="240" w:lineRule="auto"/>
              <w:jc w:val="left"/>
            </w:pPr>
            <w:r>
              <w:rPr>
                <w:sz w:val="20"/>
                <w:szCs w:val="20"/>
              </w:rPr>
              <w:t xml:space="preserve">1</w:t>
            </w:r>
          </w:p>
        </w:tc>
        <w:tc>
          <w:tcPr>
            <w:tcW w:w="8226" w:type="dxa"/>
            <w:vAlign w:val="top"/>
          </w:tcPr>
          <w:p>
            <w:pPr>
              <w:spacing w:before="0" w:after="0" w:line="240" w:lineRule="auto"/>
              <w:jc w:val="left"/>
            </w:pPr>
            <w:r>
              <w:rPr>
                <w:sz w:val="20"/>
                <w:szCs w:val="20"/>
              </w:rPr>
              <w:t xml:space="preserve">Editing and processing Qlola data (Static Data Report, Accumulated Summary Report, Monthly Summary Report, BG Portal Details, and TF Volume Details) in spreadsheets using Excel and the Excel Workflow Processor system</w:t>
            </w:r>
          </w:p>
        </w:tc>
      </w:tr>
      <w:tr>
        <w:tc>
          <w:tcPr>
            <w:tcW w:w="800" w:type="dxa"/>
            <w:vAlign w:val="top"/>
          </w:tcPr>
          <w:p>
            <w:pPr>
              <w:spacing w:before="0" w:after="0" w:line="240" w:lineRule="auto"/>
              <w:jc w:val="left"/>
            </w:pPr>
            <w:r>
              <w:rPr>
                <w:sz w:val="20"/>
                <w:szCs w:val="20"/>
              </w:rPr>
              <w:t xml:space="preserve">2</w:t>
            </w:r>
          </w:p>
        </w:tc>
        <w:tc>
          <w:tcPr>
            <w:tcW w:w="8226" w:type="dxa"/>
            <w:vAlign w:val="top"/>
          </w:tcPr>
          <w:p>
            <w:pPr>
              <w:spacing w:before="0" w:after="0" w:line="240" w:lineRule="auto"/>
              <w:jc w:val="left"/>
            </w:pPr>
            <w:r>
              <w:rPr>
                <w:sz w:val="20"/>
                <w:szCs w:val="20"/>
              </w:rPr>
              <w:t xml:space="preserve">Registering a new business, together with its Admin and SysAdmin users, in the Qlola system</w:t>
            </w:r>
          </w:p>
        </w:tc>
      </w:tr>
      <w:tr>
        <w:tc>
          <w:tcPr>
            <w:tcW w:w="800" w:type="dxa"/>
            <w:vAlign w:val="top"/>
          </w:tcPr>
          <w:p>
            <w:pPr>
              <w:spacing w:before="0" w:after="0" w:line="240" w:lineRule="auto"/>
              <w:jc w:val="left"/>
            </w:pPr>
            <w:r>
              <w:rPr>
                <w:sz w:val="20"/>
                <w:szCs w:val="20"/>
              </w:rPr>
              <w:t xml:space="preserve">3</w:t>
            </w:r>
          </w:p>
        </w:tc>
        <w:tc>
          <w:tcPr>
            <w:tcW w:w="8226" w:type="dxa"/>
            <w:vAlign w:val="top"/>
          </w:tcPr>
          <w:p>
            <w:pPr>
              <w:spacing w:before="0" w:after="0" w:line="240" w:lineRule="auto"/>
              <w:jc w:val="left"/>
            </w:pPr>
            <w:r>
              <w:rPr>
                <w:sz w:val="20"/>
                <w:szCs w:val="20"/>
              </w:rPr>
              <w:t xml:space="preserve">Creating digital infographics for bank customers and the marketing team that explain the features and benefits of the Giro Rewards Program and the Edupay Growth Program</w:t>
            </w:r>
          </w:p>
        </w:tc>
      </w:tr>
      <w:tr>
        <w:tc>
          <w:tcPr>
            <w:tcW w:w="800" w:type="dxa"/>
            <w:vAlign w:val="top"/>
          </w:tcPr>
          <w:p>
            <w:pPr>
              <w:spacing w:before="0" w:after="0" w:line="240" w:lineRule="auto"/>
              <w:jc w:val="left"/>
            </w:pPr>
            <w:r>
              <w:rPr>
                <w:sz w:val="20"/>
                <w:szCs w:val="20"/>
              </w:rPr>
              <w:t xml:space="preserve">4</w:t>
            </w:r>
          </w:p>
        </w:tc>
        <w:tc>
          <w:tcPr>
            <w:tcW w:w="8226" w:type="dxa"/>
            <w:vAlign w:val="top"/>
          </w:tcPr>
          <w:p>
            <w:pPr>
              <w:spacing w:before="0" w:after="0" w:line="240" w:lineRule="auto"/>
              <w:jc w:val="left"/>
            </w:pPr>
            <w:r>
              <w:rPr>
                <w:sz w:val="20"/>
                <w:szCs w:val="20"/>
              </w:rPr>
              <w:t xml:space="preserve">Attending a company-wide Microsoft Teams meeting on the Qlola Token app update and the switch to the new Qlola login URL, and studying the new Qlola version through the New Qlola by BRI PDF</w:t>
            </w:r>
          </w:p>
        </w:tc>
      </w:tr>
      <w:tr>
        <w:tc>
          <w:tcPr>
            <w:tcW w:w="800" w:type="dxa"/>
            <w:vAlign w:val="top"/>
          </w:tcPr>
          <w:p>
            <w:pPr>
              <w:spacing w:before="0" w:after="0" w:line="240" w:lineRule="auto"/>
              <w:jc w:val="left"/>
            </w:pPr>
            <w:r>
              <w:rPr>
                <w:sz w:val="20"/>
                <w:szCs w:val="20"/>
              </w:rPr>
              <w:t xml:space="preserve">5</w:t>
            </w:r>
          </w:p>
        </w:tc>
        <w:tc>
          <w:tcPr>
            <w:tcW w:w="8226" w:type="dxa"/>
            <w:vAlign w:val="top"/>
          </w:tcPr>
          <w:p>
            <w:pPr>
              <w:spacing w:before="0" w:after="0" w:line="240" w:lineRule="auto"/>
              <w:jc w:val="left"/>
            </w:pPr>
            <w:r>
              <w:rPr>
                <w:sz w:val="20"/>
                <w:szCs w:val="20"/>
              </w:rPr>
              <w:t xml:space="preserve">Studying the Online Update Administrator PDF for Qlola</w:t>
            </w:r>
          </w:p>
        </w:tc>
      </w:tr>
      <w:tr>
        <w:tc>
          <w:tcPr>
            <w:tcW w:w="800" w:type="dxa"/>
            <w:vAlign w:val="top"/>
          </w:tcPr>
          <w:p>
            <w:pPr>
              <w:spacing w:before="0" w:after="0" w:line="240" w:lineRule="auto"/>
              <w:jc w:val="left"/>
            </w:pPr>
            <w:r>
              <w:rPr>
                <w:sz w:val="20"/>
                <w:szCs w:val="20"/>
              </w:rPr>
              <w:t xml:space="preserve">6</w:t>
            </w:r>
          </w:p>
        </w:tc>
        <w:tc>
          <w:tcPr>
            <w:tcW w:w="8226" w:type="dxa"/>
            <w:vAlign w:val="top"/>
          </w:tcPr>
          <w:p>
            <w:pPr>
              <w:spacing w:before="0" w:after="0" w:line="240" w:lineRule="auto"/>
              <w:jc w:val="left"/>
            </w:pPr>
            <w:r>
              <w:rPr>
                <w:sz w:val="20"/>
                <w:szCs w:val="20"/>
              </w:rPr>
              <w:t xml:space="preserve">Printing maintenance reports for the Malang Regional Office</w:t>
            </w:r>
          </w:p>
        </w:tc>
      </w:tr>
      <w:tr>
        <w:tc>
          <w:tcPr>
            <w:tcW w:w="800" w:type="dxa"/>
            <w:vAlign w:val="top"/>
          </w:tcPr>
          <w:p>
            <w:pPr>
              <w:spacing w:before="0" w:after="0" w:line="240" w:lineRule="auto"/>
              <w:jc w:val="left"/>
            </w:pPr>
            <w:r>
              <w:rPr>
                <w:sz w:val="20"/>
                <w:szCs w:val="20"/>
              </w:rPr>
              <w:t xml:space="preserve">7</w:t>
            </w:r>
          </w:p>
        </w:tc>
        <w:tc>
          <w:tcPr>
            <w:tcW w:w="8226" w:type="dxa"/>
            <w:vAlign w:val="top"/>
          </w:tcPr>
          <w:p>
            <w:pPr>
              <w:spacing w:before="0" w:after="0" w:line="240" w:lineRule="auto"/>
              <w:jc w:val="left"/>
            </w:pPr>
            <w:r>
              <w:rPr>
                <w:sz w:val="20"/>
                <w:szCs w:val="20"/>
              </w:rPr>
              <w:t xml:space="preserve">Classifying and standardising group categories for Malang Regional Office customers in the Excel file for BRI's nationwide customer list</w:t>
            </w:r>
          </w:p>
        </w:tc>
      </w:tr>
      <w:tr>
        <w:tc>
          <w:tcPr>
            <w:tcW w:w="800" w:type="dxa"/>
            <w:vAlign w:val="top"/>
          </w:tcPr>
          <w:p>
            <w:pPr>
              <w:spacing w:before="0" w:after="0" w:line="240" w:lineRule="auto"/>
              <w:jc w:val="left"/>
            </w:pPr>
            <w:r>
              <w:rPr>
                <w:sz w:val="20"/>
                <w:szCs w:val="20"/>
              </w:rPr>
              <w:t xml:space="preserve">8</w:t>
            </w:r>
          </w:p>
        </w:tc>
        <w:tc>
          <w:tcPr>
            <w:tcW w:w="8226" w:type="dxa"/>
            <w:vAlign w:val="top"/>
          </w:tcPr>
          <w:p>
            <w:pPr>
              <w:spacing w:before="0" w:after="0" w:line="240" w:lineRule="auto"/>
              <w:jc w:val="left"/>
            </w:pPr>
            <w:r>
              <w:rPr>
                <w:sz w:val="20"/>
                <w:szCs w:val="20"/>
              </w:rPr>
              <w:t xml:space="preserve">Mapping currently registered Qlola customers and active users' transaction frequency and volume as of June 2026</w:t>
            </w:r>
          </w:p>
        </w:tc>
      </w:tr>
      <w:tr>
        <w:tc>
          <w:tcPr>
            <w:tcW w:w="800" w:type="dxa"/>
            <w:vAlign w:val="top"/>
          </w:tcPr>
          <w:p>
            <w:pPr>
              <w:spacing w:before="0" w:after="0" w:line="240" w:lineRule="auto"/>
              <w:jc w:val="left"/>
            </w:pPr>
            <w:r>
              <w:rPr>
                <w:sz w:val="20"/>
                <w:szCs w:val="20"/>
              </w:rPr>
              <w:t xml:space="preserve">9</w:t>
            </w:r>
          </w:p>
        </w:tc>
        <w:tc>
          <w:tcPr>
            <w:tcW w:w="8226" w:type="dxa"/>
            <w:vAlign w:val="top"/>
          </w:tcPr>
          <w:p>
            <w:pPr>
              <w:spacing w:before="0" w:after="0" w:line="240" w:lineRule="auto"/>
              <w:jc w:val="left"/>
            </w:pPr>
            <w:r>
              <w:rPr>
                <w:sz w:val="20"/>
                <w:szCs w:val="20"/>
              </w:rPr>
              <w:t xml:space="preserve">Building the Excel Workflow Processor system</w:t>
            </w:r>
          </w:p>
        </w:tc>
      </w:tr>
      <w:tr>
        <w:tc>
          <w:tcPr>
            <w:tcW w:w="800" w:type="dxa"/>
            <w:vAlign w:val="top"/>
          </w:tcPr>
          <w:p>
            <w:pPr>
              <w:spacing w:before="0" w:after="0" w:line="240" w:lineRule="auto"/>
              <w:jc w:val="left"/>
            </w:pPr>
            <w:r>
              <w:rPr>
                <w:sz w:val="20"/>
                <w:szCs w:val="20"/>
              </w:rPr>
              <w:t xml:space="preserve">10</w:t>
            </w:r>
          </w:p>
        </w:tc>
        <w:tc>
          <w:tcPr>
            <w:tcW w:w="8226" w:type="dxa"/>
            <w:vAlign w:val="top"/>
          </w:tcPr>
          <w:p>
            <w:pPr>
              <w:spacing w:before="0" w:after="0" w:line="240" w:lineRule="auto"/>
              <w:jc w:val="left"/>
            </w:pPr>
            <w:r>
              <w:rPr>
                <w:sz w:val="20"/>
                <w:szCs w:val="20"/>
              </w:rPr>
              <w:t xml:space="preserve">Assisting with maintenance work in the RTB division</w:t>
            </w:r>
          </w:p>
        </w:tc>
      </w:tr>
      <w:tr>
        <w:tc>
          <w:tcPr>
            <w:tcW w:w="800" w:type="dxa"/>
            <w:vAlign w:val="top"/>
          </w:tcPr>
          <w:p>
            <w:pPr>
              <w:spacing w:before="0" w:after="0" w:line="240" w:lineRule="auto"/>
              <w:jc w:val="left"/>
            </w:pPr>
            <w:r>
              <w:rPr>
                <w:sz w:val="20"/>
                <w:szCs w:val="20"/>
              </w:rPr>
              <w:t xml:space="preserve">11</w:t>
            </w:r>
          </w:p>
        </w:tc>
        <w:tc>
          <w:tcPr>
            <w:tcW w:w="8226" w:type="dxa"/>
            <w:vAlign w:val="top"/>
          </w:tcPr>
          <w:p>
            <w:pPr>
              <w:spacing w:before="0" w:after="0" w:line="240" w:lineRule="auto"/>
              <w:jc w:val="left"/>
            </w:pPr>
            <w:r>
              <w:rPr>
                <w:sz w:val="20"/>
                <w:szCs w:val="20"/>
              </w:rPr>
              <w:t xml:space="preserve">Editing and processing the customer pipeline recapitulation for current (giro) accounts at the Malang Regional Office</w:t>
            </w:r>
          </w:p>
        </w:tc>
      </w:tr>
      <w:tr>
        <w:tc>
          <w:tcPr>
            <w:tcW w:w="800" w:type="dxa"/>
            <w:vAlign w:val="top"/>
          </w:tcPr>
          <w:p>
            <w:pPr>
              <w:spacing w:before="0" w:after="0" w:line="240" w:lineRule="auto"/>
              <w:jc w:val="left"/>
            </w:pPr>
            <w:r>
              <w:rPr>
                <w:sz w:val="20"/>
                <w:szCs w:val="20"/>
              </w:rPr>
              <w:t xml:space="preserve">12</w:t>
            </w:r>
          </w:p>
        </w:tc>
        <w:tc>
          <w:tcPr>
            <w:tcW w:w="8226" w:type="dxa"/>
            <w:vAlign w:val="top"/>
          </w:tcPr>
          <w:p>
            <w:pPr>
              <w:spacing w:before="0" w:after="0" w:line="240" w:lineRule="auto"/>
              <w:jc w:val="left"/>
            </w:pPr>
            <w:r>
              <w:rPr>
                <w:sz w:val="20"/>
                <w:szCs w:val="20"/>
              </w:rPr>
              <w:t xml:space="preserve">Editing and processing data for the TSPM current account list report as of 30 June 2026</w:t>
            </w:r>
          </w:p>
        </w:tc>
      </w:tr>
      <w:tr>
        <w:tc>
          <w:tcPr>
            <w:tcW w:w="800" w:type="dxa"/>
            <w:vAlign w:val="top"/>
          </w:tcPr>
          <w:p>
            <w:pPr>
              <w:spacing w:before="0" w:after="0" w:line="240" w:lineRule="auto"/>
              <w:jc w:val="left"/>
            </w:pPr>
            <w:r>
              <w:rPr>
                <w:sz w:val="20"/>
                <w:szCs w:val="20"/>
              </w:rPr>
              <w:t xml:space="preserve">13</w:t>
            </w:r>
          </w:p>
        </w:tc>
        <w:tc>
          <w:tcPr>
            <w:tcW w:w="8226" w:type="dxa"/>
            <w:vAlign w:val="top"/>
          </w:tcPr>
          <w:p>
            <w:pPr>
              <w:spacing w:before="0" w:after="0" w:line="240" w:lineRule="auto"/>
              <w:jc w:val="left"/>
            </w:pPr>
            <w:r>
              <w:rPr>
                <w:sz w:val="20"/>
                <w:szCs w:val="20"/>
              </w:rPr>
              <w:t xml:space="preserve">Attending a Microsoft Teams meeting with customers on the BRIVA API and New Qlola by BRI for a ministry work unit</w:t>
            </w:r>
          </w:p>
        </w:tc>
      </w:tr>
      <w:tr>
        <w:tc>
          <w:tcPr>
            <w:tcW w:w="800" w:type="dxa"/>
            <w:vAlign w:val="top"/>
          </w:tcPr>
          <w:p>
            <w:pPr>
              <w:spacing w:before="0" w:after="0" w:line="240" w:lineRule="auto"/>
              <w:jc w:val="left"/>
            </w:pPr>
            <w:r>
              <w:rPr>
                <w:sz w:val="20"/>
                <w:szCs w:val="20"/>
              </w:rPr>
              <w:t xml:space="preserve">14</w:t>
            </w:r>
          </w:p>
        </w:tc>
        <w:tc>
          <w:tcPr>
            <w:tcW w:w="8226" w:type="dxa"/>
            <w:vAlign w:val="top"/>
          </w:tcPr>
          <w:p>
            <w:pPr>
              <w:spacing w:before="0" w:after="0" w:line="240" w:lineRule="auto"/>
              <w:jc w:val="left"/>
            </w:pPr>
            <w:r>
              <w:rPr>
                <w:sz w:val="20"/>
                <w:szCs w:val="20"/>
              </w:rPr>
              <w:t xml:space="preserve">Drafting a Digital Office (DiO) letter of approval in principle to follow up on a customer's request for reduced BRIVA fees</w:t>
            </w:r>
          </w:p>
        </w:tc>
      </w:tr>
    </w:tbl>
    <w:p>
      <w:pPr>
        <w:spacing w:before="0" w:after="60" w:line="240" w:lineRule="auto"/>
        <w:jc w:val="both"/>
      </w:pPr>
    </w:p>
    <w:p>
      <w:pPr>
        <w:spacing w:before="0" w:after="120" w:line="360" w:lineRule="auto"/>
        <w:jc w:val="both"/>
      </w:pPr>
      <w:r>
        <w:rPr>
          <w:sz w:val="24"/>
          <w:szCs w:val="24"/>
        </w:rPr>
        <w:t xml:space="preserve">The two largest tasks were software projects: the inventory system website for the IT division (Perangkat IT) and the Excel Workflow Processor for the RTB division, referred to in this report as the Tongkat Gaib Excel tool. Chapter 3 describes these two projects, Chapter 4 analyses them, and Chapter 5 covers their technical design.</w:t>
      </w:r>
    </w:p>
    <w:p w:rsidR="00000000" w:rsidDel="00000000" w:rsidP="00000000" w:rsidRDefault="00000000" w:rsidRPr="00000000" w14:paraId="00000017">
      <w:pPr>
        <w:spacing w:line="360" w:lineRule="auto"/>
        <w:rPr>
          <w:b w:val="1"/>
          <w:sz w:val="24"/>
          <w:szCs w:val="24"/>
        </w:rPr>
      </w:pPr>
      <w:bookmarkStart w:colFirst="0" w:colLast="0" w:name="_heading=h.gjdgxs" w:id="0"/>
      <w:bookmarkEnd w:id="0"/>
      <w:r w:rsidDel="00000000" w:rsidR="00000000" w:rsidRPr="00000000">
        <w:rPr>
          <w:rtl w:val="0"/>
        </w:rPr>
      </w:r>
    </w:p>
    <w:p w:rsidR="00000000" w:rsidDel="00000000" w:rsidP="00000000" w:rsidRDefault="00000000" w:rsidRPr="00000000" w14:paraId="00000018">
      <w:pPr>
        <w:spacing w:line="360" w:lineRule="auto"/>
        <w:rPr>
          <w:b w:val="1"/>
          <w:sz w:val="28"/>
          <w:szCs w:val="28"/>
        </w:rPr>
      </w:pPr>
      <w:r w:rsidDel="00000000" w:rsidR="00000000" w:rsidRPr="00000000">
        <w:rPr>
          <w:b w:val="1"/>
          <w:sz w:val="28"/>
          <w:szCs w:val="28"/>
          <w:rtl w:val="0"/>
        </w:rPr>
        <w:t xml:space="preserve">Chapter 2. COMPANY PROFILE</w:t>
      </w:r>
    </w:p>
    <w:p>
      <w:pPr>
        <w:spacing w:before="0" w:after="120" w:line="360" w:lineRule="auto"/>
        <w:jc w:val="both"/>
      </w:pPr>
      <w:r>
        <w:rPr>
          <w:sz w:val="24"/>
          <w:szCs w:val="24"/>
        </w:rPr>
        <w:t xml:space="preserve">This chapter describes PT Bank Rakyat Indonesia (Persero) Tbk (BRI), the company where the internship took place. It covers the company's business, vision and values, history, organizational structure, and the regional office where the internship was carried out. The information is taken from BRI's official website (bri.co.id) and from the BRI 2025 Sustainability Report published there.</w:t>
      </w:r>
    </w:p>
    <w:p>
      <w:pPr>
        <w:keepNext w:val="1"/>
        <w:spacing w:before="240" w:after="120" w:line="360" w:lineRule="auto"/>
        <w:jc w:val="left"/>
      </w:pPr>
      <w:r>
        <w:rPr>
          <w:b w:val="1"/>
          <w:sz w:val="24"/>
          <w:szCs w:val="24"/>
        </w:rPr>
        <w:t xml:space="preserve">2.1 Company Overview</w:t>
      </w:r>
    </w:p>
    <w:p>
      <w:pPr>
        <w:spacing w:before="0" w:after="120" w:line="360" w:lineRule="auto"/>
        <w:jc w:val="both"/>
      </w:pPr>
      <w:r>
        <w:rPr>
          <w:sz w:val="24"/>
          <w:szCs w:val="24"/>
        </w:rPr>
        <w:t xml:space="preserve">Bank Rakyat Indonesia (BRI) is a state-owned bank and one of the largest banks in Indonesia. It was established on 16 December 1895 in Purwokerto, Central Java, by Raden Bei Aria Wirjaatmadja, and has served customers for more than 130 years. BRI is registered with and supervised by the Financial Services Authority (Otoritas Jasa Keuangan, OJK) and is a participant in the Indonesia Deposit Insurance Corporation (Lembaga Penjamin Simpanan, LPS) guarantee scheme. Its corporate tagline is "Melayani Dengan Setulus Hati" (serving with sincerity). Table 2.1 summarises the company's general information.</w:t>
      </w:r>
    </w:p>
    <w:p>
      <w:pPr>
        <w:keepNext w:val="1"/>
        <w:spacing w:before="120" w:after="60" w:line="240" w:lineRule="auto"/>
        <w:jc w:val="center"/>
      </w:pPr>
      <w:r>
        <w:rPr>
          <w:b w:val="1"/>
          <w:sz w:val="20"/>
          <w:szCs w:val="20"/>
        </w:rPr>
        <w:t xml:space="preserve">Table 2.1 General information of BRI</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400"/>
        <w:gridCol w:w="6626"/>
      </w:tblGrid>
      <w:tr>
        <w:trPr>
          <w:tblHeader w:val="1"/>
        </w:trPr>
        <w:tc>
          <w:tcPr>
            <w:tcW w:w="2400" w:type="dxa"/>
            <w:shd w:val="clear" w:color="auto" w:fill="D9D9D9"/>
            <w:vAlign w:val="top"/>
          </w:tcPr>
          <w:p>
            <w:pPr>
              <w:spacing w:before="0" w:after="0" w:line="240" w:lineRule="auto"/>
              <w:jc w:val="left"/>
            </w:pPr>
            <w:r>
              <w:rPr>
                <w:b w:val="1"/>
                <w:sz w:val="20"/>
                <w:szCs w:val="20"/>
              </w:rPr>
              <w:t xml:space="preserve">Item</w:t>
            </w:r>
          </w:p>
        </w:tc>
        <w:tc>
          <w:tcPr>
            <w:tcW w:w="6626" w:type="dxa"/>
            <w:shd w:val="clear" w:color="auto" w:fill="D9D9D9"/>
            <w:vAlign w:val="top"/>
          </w:tcPr>
          <w:p>
            <w:pPr>
              <w:spacing w:before="0" w:after="0" w:line="240" w:lineRule="auto"/>
              <w:jc w:val="left"/>
            </w:pPr>
            <w:r>
              <w:rPr>
                <w:b w:val="1"/>
                <w:sz w:val="20"/>
                <w:szCs w:val="20"/>
              </w:rPr>
              <w:t xml:space="preserve">Description</w:t>
            </w:r>
          </w:p>
        </w:tc>
      </w:tr>
      <w:tr>
        <w:tc>
          <w:tcPr>
            <w:tcW w:w="2400" w:type="dxa"/>
            <w:vAlign w:val="top"/>
          </w:tcPr>
          <w:p>
            <w:pPr>
              <w:spacing w:before="0" w:after="0" w:line="240" w:lineRule="auto"/>
              <w:jc w:val="left"/>
            </w:pPr>
            <w:r>
              <w:rPr>
                <w:sz w:val="20"/>
                <w:szCs w:val="20"/>
              </w:rPr>
              <w:t xml:space="preserve">Company name</w:t>
            </w:r>
          </w:p>
        </w:tc>
        <w:tc>
          <w:tcPr>
            <w:tcW w:w="6626" w:type="dxa"/>
            <w:vAlign w:val="top"/>
          </w:tcPr>
          <w:p>
            <w:pPr>
              <w:spacing w:before="0" w:after="0" w:line="240" w:lineRule="auto"/>
              <w:jc w:val="left"/>
            </w:pPr>
            <w:r>
              <w:rPr>
                <w:sz w:val="20"/>
                <w:szCs w:val="20"/>
              </w:rPr>
              <w:t xml:space="preserve">PT Bank Rakyat Indonesia (Persero) Tbk</w:t>
            </w:r>
          </w:p>
        </w:tc>
      </w:tr>
      <w:tr>
        <w:tc>
          <w:tcPr>
            <w:tcW w:w="2400" w:type="dxa"/>
            <w:vAlign w:val="top"/>
          </w:tcPr>
          <w:p>
            <w:pPr>
              <w:spacing w:before="0" w:after="0" w:line="240" w:lineRule="auto"/>
              <w:jc w:val="left"/>
            </w:pPr>
            <w:r>
              <w:rPr>
                <w:sz w:val="20"/>
                <w:szCs w:val="20"/>
              </w:rPr>
              <w:t xml:space="preserve">Legal entity</w:t>
            </w:r>
          </w:p>
        </w:tc>
        <w:tc>
          <w:tcPr>
            <w:tcW w:w="6626" w:type="dxa"/>
            <w:vAlign w:val="top"/>
          </w:tcPr>
          <w:p>
            <w:pPr>
              <w:spacing w:before="0" w:after="0" w:line="240" w:lineRule="auto"/>
              <w:jc w:val="left"/>
            </w:pPr>
            <w:r>
              <w:rPr>
                <w:sz w:val="20"/>
                <w:szCs w:val="20"/>
              </w:rPr>
              <w:t xml:space="preserve">Limited liability company, publicly listed</w:t>
            </w:r>
          </w:p>
        </w:tc>
      </w:tr>
      <w:tr>
        <w:tc>
          <w:tcPr>
            <w:tcW w:w="2400" w:type="dxa"/>
            <w:vAlign w:val="top"/>
          </w:tcPr>
          <w:p>
            <w:pPr>
              <w:spacing w:before="0" w:after="0" w:line="240" w:lineRule="auto"/>
              <w:jc w:val="left"/>
            </w:pPr>
            <w:r>
              <w:rPr>
                <w:sz w:val="20"/>
                <w:szCs w:val="20"/>
              </w:rPr>
              <w:t xml:space="preserve">Founded</w:t>
            </w:r>
          </w:p>
        </w:tc>
        <w:tc>
          <w:tcPr>
            <w:tcW w:w="6626" w:type="dxa"/>
            <w:vAlign w:val="top"/>
          </w:tcPr>
          <w:p>
            <w:pPr>
              <w:spacing w:before="0" w:after="0" w:line="240" w:lineRule="auto"/>
              <w:jc w:val="left"/>
            </w:pPr>
            <w:r>
              <w:rPr>
                <w:sz w:val="20"/>
                <w:szCs w:val="20"/>
              </w:rPr>
              <w:t xml:space="preserve">16 December 1895, Purwokerto, Central Java</w:t>
            </w:r>
          </w:p>
        </w:tc>
      </w:tr>
      <w:tr>
        <w:tc>
          <w:tcPr>
            <w:tcW w:w="2400" w:type="dxa"/>
            <w:vAlign w:val="top"/>
          </w:tcPr>
          <w:p>
            <w:pPr>
              <w:spacing w:before="0" w:after="0" w:line="240" w:lineRule="auto"/>
              <w:jc w:val="left"/>
            </w:pPr>
            <w:r>
              <w:rPr>
                <w:sz w:val="20"/>
                <w:szCs w:val="20"/>
              </w:rPr>
              <w:t xml:space="preserve">Head office</w:t>
            </w:r>
          </w:p>
        </w:tc>
        <w:tc>
          <w:tcPr>
            <w:tcW w:w="6626" w:type="dxa"/>
            <w:vAlign w:val="top"/>
          </w:tcPr>
          <w:p>
            <w:pPr>
              <w:spacing w:before="0" w:after="0" w:line="240" w:lineRule="auto"/>
              <w:jc w:val="left"/>
            </w:pPr>
            <w:r>
              <w:rPr>
                <w:sz w:val="20"/>
                <w:szCs w:val="20"/>
              </w:rPr>
              <w:t xml:space="preserve">BRI Building I, Jl. Jenderal Sudirman Kav. 44-46, Jakarta 10210</w:t>
            </w:r>
          </w:p>
        </w:tc>
      </w:tr>
      <w:tr>
        <w:tc>
          <w:tcPr>
            <w:tcW w:w="2400" w:type="dxa"/>
            <w:vAlign w:val="top"/>
          </w:tcPr>
          <w:p>
            <w:pPr>
              <w:spacing w:before="0" w:after="0" w:line="240" w:lineRule="auto"/>
              <w:jc w:val="left"/>
            </w:pPr>
            <w:r>
              <w:rPr>
                <w:sz w:val="20"/>
                <w:szCs w:val="20"/>
              </w:rPr>
              <w:t xml:space="preserve">Employees</w:t>
            </w:r>
          </w:p>
        </w:tc>
        <w:tc>
          <w:tcPr>
            <w:tcW w:w="6626" w:type="dxa"/>
            <w:vAlign w:val="top"/>
          </w:tcPr>
          <w:p>
            <w:pPr>
              <w:spacing w:before="0" w:after="0" w:line="240" w:lineRule="auto"/>
              <w:jc w:val="left"/>
            </w:pPr>
            <w:r>
              <w:rPr>
                <w:sz w:val="20"/>
                <w:szCs w:val="20"/>
              </w:rPr>
              <w:t xml:space="preserve">84,949 (end of 2025)</w:t>
            </w:r>
          </w:p>
        </w:tc>
      </w:tr>
      <w:tr>
        <w:tc>
          <w:tcPr>
            <w:tcW w:w="2400" w:type="dxa"/>
            <w:vAlign w:val="top"/>
          </w:tcPr>
          <w:p>
            <w:pPr>
              <w:spacing w:before="0" w:after="0" w:line="240" w:lineRule="auto"/>
              <w:jc w:val="left"/>
            </w:pPr>
            <w:r>
              <w:rPr>
                <w:sz w:val="20"/>
                <w:szCs w:val="20"/>
              </w:rPr>
              <w:t xml:space="preserve">Total assets</w:t>
            </w:r>
          </w:p>
        </w:tc>
        <w:tc>
          <w:tcPr>
            <w:tcW w:w="6626" w:type="dxa"/>
            <w:vAlign w:val="top"/>
          </w:tcPr>
          <w:p>
            <w:pPr>
              <w:spacing w:before="0" w:after="0" w:line="240" w:lineRule="auto"/>
              <w:jc w:val="left"/>
            </w:pPr>
            <w:r>
              <w:rPr>
                <w:sz w:val="20"/>
                <w:szCs w:val="20"/>
              </w:rPr>
              <w:t xml:space="preserve">IDR 1,931.54 trillion (bank only, 31 December 2025)</w:t>
            </w:r>
          </w:p>
        </w:tc>
      </w:tr>
      <w:tr>
        <w:tc>
          <w:tcPr>
            <w:tcW w:w="2400" w:type="dxa"/>
            <w:vAlign w:val="top"/>
          </w:tcPr>
          <w:p>
            <w:pPr>
              <w:spacing w:before="0" w:after="0" w:line="240" w:lineRule="auto"/>
              <w:jc w:val="left"/>
            </w:pPr>
            <w:r>
              <w:rPr>
                <w:sz w:val="20"/>
                <w:szCs w:val="20"/>
              </w:rPr>
              <w:t xml:space="preserve">Shareholders</w:t>
            </w:r>
          </w:p>
        </w:tc>
        <w:tc>
          <w:tcPr>
            <w:tcW w:w="6626" w:type="dxa"/>
            <w:vAlign w:val="top"/>
          </w:tcPr>
          <w:p>
            <w:pPr>
              <w:spacing w:before="0" w:after="0" w:line="240" w:lineRule="auto"/>
              <w:jc w:val="left"/>
            </w:pPr>
            <w:r>
              <w:rPr>
                <w:sz w:val="20"/>
                <w:szCs w:val="20"/>
              </w:rPr>
              <w:t xml:space="preserve">PT Danantara Asset Management (Persero) 53.19%; public 46.81%; the Government of Indonesia holds one Series A Dwiwarna share</w:t>
            </w:r>
          </w:p>
        </w:tc>
      </w:tr>
      <w:tr>
        <w:tc>
          <w:tcPr>
            <w:tcW w:w="2400" w:type="dxa"/>
            <w:vAlign w:val="top"/>
          </w:tcPr>
          <w:p>
            <w:pPr>
              <w:spacing w:before="0" w:after="0" w:line="240" w:lineRule="auto"/>
              <w:jc w:val="left"/>
            </w:pPr>
            <w:r>
              <w:rPr>
                <w:sz w:val="20"/>
                <w:szCs w:val="20"/>
              </w:rPr>
              <w:t xml:space="preserve">Website</w:t>
            </w:r>
          </w:p>
        </w:tc>
        <w:tc>
          <w:tcPr>
            <w:tcW w:w="6626" w:type="dxa"/>
            <w:vAlign w:val="top"/>
          </w:tcPr>
          <w:p>
            <w:pPr>
              <w:spacing w:before="0" w:after="0" w:line="240" w:lineRule="auto"/>
              <w:jc w:val="left"/>
            </w:pPr>
            <w:r>
              <w:rPr>
                <w:sz w:val="20"/>
                <w:szCs w:val="20"/>
              </w:rPr>
              <w:t xml:space="preserve">https://bri.co.id</w:t>
            </w:r>
          </w:p>
        </w:tc>
      </w:tr>
    </w:tbl>
    <w:p>
      <w:pPr>
        <w:spacing w:before="0" w:after="60" w:line="240" w:lineRule="auto"/>
        <w:jc w:val="both"/>
      </w:pPr>
    </w:p>
    <w:p>
      <w:pPr>
        <w:keepNext w:val="1"/>
        <w:spacing w:before="240" w:after="120" w:line="360" w:lineRule="auto"/>
        <w:jc w:val="left"/>
      </w:pPr>
      <w:r>
        <w:rPr>
          <w:b w:val="1"/>
          <w:sz w:val="24"/>
          <w:szCs w:val="24"/>
        </w:rPr>
        <w:t xml:space="preserve">2.2 Type of Business</w:t>
      </w:r>
    </w:p>
    <w:p>
      <w:pPr>
        <w:spacing w:before="0" w:after="120" w:line="360" w:lineRule="auto"/>
        <w:jc w:val="both"/>
      </w:pPr>
      <w:r>
        <w:rPr>
          <w:sz w:val="24"/>
          <w:szCs w:val="24"/>
        </w:rPr>
        <w:t xml:space="preserve">BRI is a commercial bank. It provides deposit-taking, lending, and other financial services to individuals, corporations, and micro, small, and medium enterprises (MSMEs), with a strategic focus on the MSME segment. Alongside its financial services, BRI runs training and advisory programmes that help MSMEs grow. Its main business areas are:</w:t>
      </w:r>
    </w:p>
    <w:p>
      <w:pPr>
        <w:numPr>
          <w:ilvl w:val="0"/>
          <w:numId w:val="3"/>
        </w:numPr>
        <w:spacing w:before="0" w:after="60" w:line="360" w:lineRule="auto"/>
        <w:jc w:val="both"/>
      </w:pPr>
      <w:r>
        <w:rPr>
          <w:sz w:val="24"/>
          <w:szCs w:val="24"/>
        </w:rPr>
        <w:t xml:space="preserve">Individual banking: savings, time deposits, giro (current) accounts, home loans (KPR), vehicle loans (KKB), salary-based loans (BRIguna), credit cards, and the BRIZZI electronic money card.</w:t>
      </w:r>
    </w:p>
    <w:p>
      <w:pPr>
        <w:numPr>
          <w:ilvl w:val="0"/>
          <w:numId w:val="3"/>
        </w:numPr>
        <w:spacing w:before="0" w:after="60" w:line="360" w:lineRule="auto"/>
        <w:jc w:val="both"/>
      </w:pPr>
      <w:r>
        <w:rPr>
          <w:sz w:val="24"/>
          <w:szCs w:val="24"/>
        </w:rPr>
        <w:t xml:space="preserve">MSME banking: micro and small business loans such as KUPEDES, supported by the micro-segment ecosystem the bank shares with its subsidiaries Pegadaian and PNM under the Ultra Micro (UMi) Holding.</w:t>
      </w:r>
    </w:p>
    <w:p>
      <w:pPr>
        <w:numPr>
          <w:ilvl w:val="0"/>
          <w:numId w:val="3"/>
        </w:numPr>
        <w:spacing w:before="0" w:after="60" w:line="360" w:lineRule="auto"/>
        <w:jc w:val="both"/>
      </w:pPr>
      <w:r>
        <w:rPr>
          <w:sz w:val="24"/>
          <w:szCs w:val="24"/>
        </w:rPr>
        <w:t xml:space="preserve">Corporate and commercial banking: financing, cash management, and transaction services for businesses, including the QLola corporate banking platform.</w:t>
      </w:r>
    </w:p>
    <w:p>
      <w:pPr>
        <w:numPr>
          <w:ilvl w:val="0"/>
          <w:numId w:val="3"/>
        </w:numPr>
        <w:spacing w:before="0" w:after="60" w:line="360" w:lineRule="auto"/>
        <w:jc w:val="both"/>
      </w:pPr>
      <w:r>
        <w:rPr>
          <w:sz w:val="24"/>
          <w:szCs w:val="24"/>
        </w:rPr>
        <w:t xml:space="preserve">Wealth management, treasury, and international banking services.</w:t>
      </w:r>
    </w:p>
    <w:p>
      <w:pPr>
        <w:numPr>
          <w:ilvl w:val="0"/>
          <w:numId w:val="3"/>
        </w:numPr>
        <w:spacing w:before="0" w:after="60" w:line="360" w:lineRule="auto"/>
        <w:jc w:val="both"/>
      </w:pPr>
      <w:r>
        <w:rPr>
          <w:sz w:val="24"/>
          <w:szCs w:val="24"/>
        </w:rPr>
        <w:t xml:space="preserve">Digital banking: the BRImo mobile banking application and internet banking.</w:t>
      </w:r>
    </w:p>
    <w:p>
      <w:pPr>
        <w:spacing w:before="0" w:after="120" w:line="360" w:lineRule="auto"/>
        <w:jc w:val="both"/>
      </w:pPr>
      <w:r>
        <w:rPr>
          <w:sz w:val="24"/>
          <w:szCs w:val="24"/>
        </w:rPr>
        <w:t xml:space="preserve">BRI has one of the widest service networks in Indonesia: 7,377 operational work units, 627,679 e-channels, and 1,193,835 BRILink agents (individual agents who provide basic banking services in their communities). It also operates six overseas networks, in the Cayman Islands, New York, Hong Kong, Taiwan, Singapore, and Timor Leste. Table 2.2 shows the domestic office network by region.</w:t>
      </w:r>
    </w:p>
    <w:p>
      <w:pPr>
        <w:keepNext w:val="1"/>
        <w:spacing w:before="120" w:after="60" w:line="240" w:lineRule="auto"/>
        <w:jc w:val="center"/>
      </w:pPr>
      <w:r>
        <w:rPr>
          <w:b w:val="1"/>
          <w:sz w:val="20"/>
          <w:szCs w:val="20"/>
        </w:rPr>
        <w:t xml:space="preserve">Table 2.2 BRI domestic office network by region (2025)</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026"/>
        <w:gridCol w:w="1400"/>
        <w:gridCol w:w="1400"/>
        <w:gridCol w:w="1400"/>
        <w:gridCol w:w="1400"/>
        <w:gridCol w:w="1400"/>
      </w:tblGrid>
      <w:tr>
        <w:trPr>
          <w:tblHeader w:val="1"/>
        </w:trPr>
        <w:tc>
          <w:tcPr>
            <w:tcW w:w="2026" w:type="dxa"/>
            <w:shd w:val="clear" w:color="auto" w:fill="D9D9D9"/>
            <w:vAlign w:val="top"/>
          </w:tcPr>
          <w:p>
            <w:pPr>
              <w:spacing w:before="0" w:after="0" w:line="240" w:lineRule="auto"/>
              <w:jc w:val="left"/>
            </w:pPr>
            <w:r>
              <w:rPr>
                <w:b w:val="1"/>
                <w:sz w:val="20"/>
                <w:szCs w:val="20"/>
              </w:rPr>
              <w:t xml:space="preserve">Region</w:t>
            </w:r>
          </w:p>
        </w:tc>
        <w:tc>
          <w:tcPr>
            <w:tcW w:w="1400" w:type="dxa"/>
            <w:shd w:val="clear" w:color="auto" w:fill="D9D9D9"/>
            <w:vAlign w:val="top"/>
          </w:tcPr>
          <w:p>
            <w:pPr>
              <w:spacing w:before="0" w:after="0" w:line="240" w:lineRule="auto"/>
              <w:jc w:val="left"/>
            </w:pPr>
            <w:r>
              <w:rPr>
                <w:b w:val="1"/>
                <w:sz w:val="20"/>
                <w:szCs w:val="20"/>
              </w:rPr>
              <w:t xml:space="preserve">Regional Offices</w:t>
            </w:r>
          </w:p>
        </w:tc>
        <w:tc>
          <w:tcPr>
            <w:tcW w:w="1400" w:type="dxa"/>
            <w:shd w:val="clear" w:color="auto" w:fill="D9D9D9"/>
            <w:vAlign w:val="top"/>
          </w:tcPr>
          <w:p>
            <w:pPr>
              <w:spacing w:before="0" w:after="0" w:line="240" w:lineRule="auto"/>
              <w:jc w:val="left"/>
            </w:pPr>
            <w:r>
              <w:rPr>
                <w:b w:val="1"/>
                <w:sz w:val="20"/>
                <w:szCs w:val="20"/>
              </w:rPr>
              <w:t xml:space="preserve">Branch Offices</w:t>
            </w:r>
          </w:p>
        </w:tc>
        <w:tc>
          <w:tcPr>
            <w:tcW w:w="1400" w:type="dxa"/>
            <w:shd w:val="clear" w:color="auto" w:fill="D9D9D9"/>
            <w:vAlign w:val="top"/>
          </w:tcPr>
          <w:p>
            <w:pPr>
              <w:spacing w:before="0" w:after="0" w:line="240" w:lineRule="auto"/>
              <w:jc w:val="left"/>
            </w:pPr>
            <w:r>
              <w:rPr>
                <w:b w:val="1"/>
                <w:sz w:val="20"/>
                <w:szCs w:val="20"/>
              </w:rPr>
              <w:t xml:space="preserve">Sub-Branch Offices</w:t>
            </w:r>
          </w:p>
        </w:tc>
        <w:tc>
          <w:tcPr>
            <w:tcW w:w="1400" w:type="dxa"/>
            <w:shd w:val="clear" w:color="auto" w:fill="D9D9D9"/>
            <w:vAlign w:val="top"/>
          </w:tcPr>
          <w:p>
            <w:pPr>
              <w:spacing w:before="0" w:after="0" w:line="240" w:lineRule="auto"/>
              <w:jc w:val="left"/>
            </w:pPr>
            <w:r>
              <w:rPr>
                <w:b w:val="1"/>
                <w:sz w:val="20"/>
                <w:szCs w:val="20"/>
              </w:rPr>
              <w:t xml:space="preserve">BRI Units</w:t>
            </w:r>
          </w:p>
        </w:tc>
        <w:tc>
          <w:tcPr>
            <w:tcW w:w="1400" w:type="dxa"/>
            <w:shd w:val="clear" w:color="auto" w:fill="D9D9D9"/>
            <w:vAlign w:val="top"/>
          </w:tcPr>
          <w:p>
            <w:pPr>
              <w:spacing w:before="0" w:after="0" w:line="240" w:lineRule="auto"/>
              <w:jc w:val="left"/>
            </w:pPr>
            <w:r>
              <w:rPr>
                <w:b w:val="1"/>
                <w:sz w:val="20"/>
                <w:szCs w:val="20"/>
              </w:rPr>
              <w:t xml:space="preserve">BRILink Agents</w:t>
            </w:r>
          </w:p>
        </w:tc>
      </w:tr>
      <w:tr>
        <w:tc>
          <w:tcPr>
            <w:tcW w:w="2026" w:type="dxa"/>
            <w:vAlign w:val="top"/>
          </w:tcPr>
          <w:p>
            <w:pPr>
              <w:spacing w:before="0" w:after="0" w:line="240" w:lineRule="auto"/>
              <w:jc w:val="left"/>
            </w:pPr>
            <w:r>
              <w:rPr>
                <w:sz w:val="20"/>
                <w:szCs w:val="20"/>
              </w:rPr>
              <w:t xml:space="preserve">Sumatera</w:t>
            </w:r>
          </w:p>
        </w:tc>
        <w:tc>
          <w:tcPr>
            <w:tcW w:w="1400" w:type="dxa"/>
            <w:vAlign w:val="top"/>
          </w:tcPr>
          <w:p>
            <w:pPr>
              <w:spacing w:before="0" w:after="0" w:line="240" w:lineRule="auto"/>
              <w:jc w:val="left"/>
            </w:pPr>
            <w:r>
              <w:rPr>
                <w:sz w:val="20"/>
                <w:szCs w:val="20"/>
              </w:rPr>
              <w:t xml:space="preserve">5</w:t>
            </w:r>
          </w:p>
        </w:tc>
        <w:tc>
          <w:tcPr>
            <w:tcW w:w="1400" w:type="dxa"/>
            <w:vAlign w:val="top"/>
          </w:tcPr>
          <w:p>
            <w:pPr>
              <w:spacing w:before="0" w:after="0" w:line="240" w:lineRule="auto"/>
              <w:jc w:val="left"/>
            </w:pPr>
            <w:r>
              <w:rPr>
                <w:sz w:val="20"/>
                <w:szCs w:val="20"/>
              </w:rPr>
              <w:t xml:space="preserve">95</w:t>
            </w:r>
          </w:p>
        </w:tc>
        <w:tc>
          <w:tcPr>
            <w:tcW w:w="1400" w:type="dxa"/>
            <w:vAlign w:val="top"/>
          </w:tcPr>
          <w:p>
            <w:pPr>
              <w:spacing w:before="0" w:after="0" w:line="240" w:lineRule="auto"/>
              <w:jc w:val="left"/>
            </w:pPr>
            <w:r>
              <w:rPr>
                <w:sz w:val="20"/>
                <w:szCs w:val="20"/>
              </w:rPr>
              <w:t xml:space="preserve">105</w:t>
            </w:r>
          </w:p>
        </w:tc>
        <w:tc>
          <w:tcPr>
            <w:tcW w:w="1400" w:type="dxa"/>
            <w:vAlign w:val="top"/>
          </w:tcPr>
          <w:p>
            <w:pPr>
              <w:spacing w:before="0" w:after="0" w:line="240" w:lineRule="auto"/>
              <w:jc w:val="left"/>
            </w:pPr>
            <w:r>
              <w:rPr>
                <w:sz w:val="20"/>
                <w:szCs w:val="20"/>
              </w:rPr>
              <w:t xml:space="preserve">990</w:t>
            </w:r>
          </w:p>
        </w:tc>
        <w:tc>
          <w:tcPr>
            <w:tcW w:w="1400" w:type="dxa"/>
            <w:vAlign w:val="top"/>
          </w:tcPr>
          <w:p>
            <w:pPr>
              <w:spacing w:before="0" w:after="0" w:line="240" w:lineRule="auto"/>
              <w:jc w:val="left"/>
            </w:pPr>
            <w:r>
              <w:rPr>
                <w:sz w:val="20"/>
                <w:szCs w:val="20"/>
              </w:rPr>
              <w:t xml:space="preserve">273,100</w:t>
            </w:r>
          </w:p>
        </w:tc>
      </w:tr>
      <w:tr>
        <w:tc>
          <w:tcPr>
            <w:tcW w:w="2026" w:type="dxa"/>
            <w:vAlign w:val="top"/>
          </w:tcPr>
          <w:p>
            <w:pPr>
              <w:spacing w:before="0" w:after="0" w:line="240" w:lineRule="auto"/>
              <w:jc w:val="left"/>
            </w:pPr>
            <w:r>
              <w:rPr>
                <w:sz w:val="20"/>
                <w:szCs w:val="20"/>
              </w:rPr>
              <w:t xml:space="preserve">Java</w:t>
            </w:r>
          </w:p>
        </w:tc>
        <w:tc>
          <w:tcPr>
            <w:tcW w:w="1400" w:type="dxa"/>
            <w:vAlign w:val="top"/>
          </w:tcPr>
          <w:p>
            <w:pPr>
              <w:spacing w:before="0" w:after="0" w:line="240" w:lineRule="auto"/>
              <w:jc w:val="left"/>
            </w:pPr>
            <w:r>
              <w:rPr>
                <w:sz w:val="20"/>
                <w:szCs w:val="20"/>
              </w:rPr>
              <w:t xml:space="preserve">8</w:t>
            </w:r>
          </w:p>
        </w:tc>
        <w:tc>
          <w:tcPr>
            <w:tcW w:w="1400" w:type="dxa"/>
            <w:vAlign w:val="top"/>
          </w:tcPr>
          <w:p>
            <w:pPr>
              <w:spacing w:before="0" w:after="0" w:line="240" w:lineRule="auto"/>
              <w:jc w:val="left"/>
            </w:pPr>
            <w:r>
              <w:rPr>
                <w:sz w:val="20"/>
                <w:szCs w:val="20"/>
              </w:rPr>
              <w:t xml:space="preserve">271</w:t>
            </w:r>
          </w:p>
        </w:tc>
        <w:tc>
          <w:tcPr>
            <w:tcW w:w="1400" w:type="dxa"/>
            <w:vAlign w:val="top"/>
          </w:tcPr>
          <w:p>
            <w:pPr>
              <w:spacing w:before="0" w:after="0" w:line="240" w:lineRule="auto"/>
              <w:jc w:val="left"/>
            </w:pPr>
            <w:r>
              <w:rPr>
                <w:sz w:val="20"/>
                <w:szCs w:val="20"/>
              </w:rPr>
              <w:t xml:space="preserve">326</w:t>
            </w:r>
          </w:p>
        </w:tc>
        <w:tc>
          <w:tcPr>
            <w:tcW w:w="1400" w:type="dxa"/>
            <w:vAlign w:val="top"/>
          </w:tcPr>
          <w:p>
            <w:pPr>
              <w:spacing w:before="0" w:after="0" w:line="240" w:lineRule="auto"/>
              <w:jc w:val="left"/>
            </w:pPr>
            <w:r>
              <w:rPr>
                <w:sz w:val="20"/>
                <w:szCs w:val="20"/>
              </w:rPr>
              <w:t xml:space="preserve">2,786</w:t>
            </w:r>
          </w:p>
        </w:tc>
        <w:tc>
          <w:tcPr>
            <w:tcW w:w="1400" w:type="dxa"/>
            <w:vAlign w:val="top"/>
          </w:tcPr>
          <w:p>
            <w:pPr>
              <w:spacing w:before="0" w:after="0" w:line="240" w:lineRule="auto"/>
              <w:jc w:val="left"/>
            </w:pPr>
            <w:r>
              <w:rPr>
                <w:sz w:val="20"/>
                <w:szCs w:val="20"/>
              </w:rPr>
              <w:t xml:space="preserve">653,256</w:t>
            </w:r>
          </w:p>
        </w:tc>
      </w:tr>
      <w:tr>
        <w:tc>
          <w:tcPr>
            <w:tcW w:w="2026" w:type="dxa"/>
            <w:vAlign w:val="top"/>
          </w:tcPr>
          <w:p>
            <w:pPr>
              <w:spacing w:before="0" w:after="0" w:line="240" w:lineRule="auto"/>
              <w:jc w:val="left"/>
            </w:pPr>
            <w:r>
              <w:rPr>
                <w:sz w:val="20"/>
                <w:szCs w:val="20"/>
              </w:rPr>
              <w:t xml:space="preserve">Kalimantan</w:t>
            </w:r>
          </w:p>
        </w:tc>
        <w:tc>
          <w:tcPr>
            <w:tcW w:w="1400" w:type="dxa"/>
            <w:vAlign w:val="top"/>
          </w:tcPr>
          <w:p>
            <w:pPr>
              <w:spacing w:before="0" w:after="0" w:line="240" w:lineRule="auto"/>
              <w:jc w:val="left"/>
            </w:pPr>
            <w:r>
              <w:rPr>
                <w:sz w:val="20"/>
                <w:szCs w:val="20"/>
              </w:rPr>
              <w:t xml:space="preserve">1</w:t>
            </w:r>
          </w:p>
        </w:tc>
        <w:tc>
          <w:tcPr>
            <w:tcW w:w="1400" w:type="dxa"/>
            <w:vAlign w:val="top"/>
          </w:tcPr>
          <w:p>
            <w:pPr>
              <w:spacing w:before="0" w:after="0" w:line="240" w:lineRule="auto"/>
              <w:jc w:val="left"/>
            </w:pPr>
            <w:r>
              <w:rPr>
                <w:sz w:val="20"/>
                <w:szCs w:val="20"/>
              </w:rPr>
              <w:t xml:space="preserve">40</w:t>
            </w:r>
          </w:p>
        </w:tc>
        <w:tc>
          <w:tcPr>
            <w:tcW w:w="1400" w:type="dxa"/>
            <w:vAlign w:val="top"/>
          </w:tcPr>
          <w:p>
            <w:pPr>
              <w:spacing w:before="0" w:after="0" w:line="240" w:lineRule="auto"/>
              <w:jc w:val="left"/>
            </w:pPr>
            <w:r>
              <w:rPr>
                <w:sz w:val="20"/>
                <w:szCs w:val="20"/>
              </w:rPr>
              <w:t xml:space="preserve">42</w:t>
            </w:r>
          </w:p>
        </w:tc>
        <w:tc>
          <w:tcPr>
            <w:tcW w:w="1400" w:type="dxa"/>
            <w:vAlign w:val="top"/>
          </w:tcPr>
          <w:p>
            <w:pPr>
              <w:spacing w:before="0" w:after="0" w:line="240" w:lineRule="auto"/>
              <w:jc w:val="left"/>
            </w:pPr>
            <w:r>
              <w:rPr>
                <w:sz w:val="20"/>
                <w:szCs w:val="20"/>
              </w:rPr>
              <w:t xml:space="preserve">372</w:t>
            </w:r>
          </w:p>
        </w:tc>
        <w:tc>
          <w:tcPr>
            <w:tcW w:w="1400" w:type="dxa"/>
            <w:vAlign w:val="top"/>
          </w:tcPr>
          <w:p>
            <w:pPr>
              <w:spacing w:before="0" w:after="0" w:line="240" w:lineRule="auto"/>
              <w:jc w:val="left"/>
            </w:pPr>
            <w:r>
              <w:rPr>
                <w:sz w:val="20"/>
                <w:szCs w:val="20"/>
              </w:rPr>
              <w:t xml:space="preserve">75,220</w:t>
            </w:r>
          </w:p>
        </w:tc>
      </w:tr>
      <w:tr>
        <w:tc>
          <w:tcPr>
            <w:tcW w:w="2026" w:type="dxa"/>
            <w:vAlign w:val="top"/>
          </w:tcPr>
          <w:p>
            <w:pPr>
              <w:spacing w:before="0" w:after="0" w:line="240" w:lineRule="auto"/>
              <w:jc w:val="left"/>
            </w:pPr>
            <w:r>
              <w:rPr>
                <w:sz w:val="20"/>
                <w:szCs w:val="20"/>
              </w:rPr>
              <w:t xml:space="preserve">Sulawesi &amp; Maluku</w:t>
            </w:r>
          </w:p>
        </w:tc>
        <w:tc>
          <w:tcPr>
            <w:tcW w:w="1400" w:type="dxa"/>
            <w:vAlign w:val="top"/>
          </w:tcPr>
          <w:p>
            <w:pPr>
              <w:spacing w:before="0" w:after="0" w:line="240" w:lineRule="auto"/>
              <w:jc w:val="left"/>
            </w:pPr>
            <w:r>
              <w:rPr>
                <w:sz w:val="20"/>
                <w:szCs w:val="20"/>
              </w:rPr>
              <w:t xml:space="preserve">2</w:t>
            </w:r>
          </w:p>
        </w:tc>
        <w:tc>
          <w:tcPr>
            <w:tcW w:w="1400" w:type="dxa"/>
            <w:vAlign w:val="top"/>
          </w:tcPr>
          <w:p>
            <w:pPr>
              <w:spacing w:before="0" w:after="0" w:line="240" w:lineRule="auto"/>
              <w:jc w:val="left"/>
            </w:pPr>
            <w:r>
              <w:rPr>
                <w:sz w:val="20"/>
                <w:szCs w:val="20"/>
              </w:rPr>
              <w:t xml:space="preserve">57</w:t>
            </w:r>
          </w:p>
        </w:tc>
        <w:tc>
          <w:tcPr>
            <w:tcW w:w="1400" w:type="dxa"/>
            <w:vAlign w:val="top"/>
          </w:tcPr>
          <w:p>
            <w:pPr>
              <w:spacing w:before="0" w:after="0" w:line="240" w:lineRule="auto"/>
              <w:jc w:val="left"/>
            </w:pPr>
            <w:r>
              <w:rPr>
                <w:sz w:val="20"/>
                <w:szCs w:val="20"/>
              </w:rPr>
              <w:t xml:space="preserve">43</w:t>
            </w:r>
          </w:p>
        </w:tc>
        <w:tc>
          <w:tcPr>
            <w:tcW w:w="1400" w:type="dxa"/>
            <w:vAlign w:val="top"/>
          </w:tcPr>
          <w:p>
            <w:pPr>
              <w:spacing w:before="0" w:after="0" w:line="240" w:lineRule="auto"/>
              <w:jc w:val="left"/>
            </w:pPr>
            <w:r>
              <w:rPr>
                <w:sz w:val="20"/>
                <w:szCs w:val="20"/>
              </w:rPr>
              <w:t xml:space="preserve">551</w:t>
            </w:r>
          </w:p>
        </w:tc>
        <w:tc>
          <w:tcPr>
            <w:tcW w:w="1400" w:type="dxa"/>
            <w:vAlign w:val="top"/>
          </w:tcPr>
          <w:p>
            <w:pPr>
              <w:spacing w:before="0" w:after="0" w:line="240" w:lineRule="auto"/>
              <w:jc w:val="left"/>
            </w:pPr>
            <w:r>
              <w:rPr>
                <w:sz w:val="20"/>
                <w:szCs w:val="20"/>
              </w:rPr>
              <w:t xml:space="preserve">113,622</w:t>
            </w:r>
          </w:p>
        </w:tc>
      </w:tr>
      <w:tr>
        <w:tc>
          <w:tcPr>
            <w:tcW w:w="2026" w:type="dxa"/>
            <w:vAlign w:val="top"/>
          </w:tcPr>
          <w:p>
            <w:pPr>
              <w:spacing w:before="0" w:after="0" w:line="240" w:lineRule="auto"/>
              <w:jc w:val="left"/>
            </w:pPr>
            <w:r>
              <w:rPr>
                <w:sz w:val="20"/>
                <w:szCs w:val="20"/>
              </w:rPr>
              <w:t xml:space="preserve">Bali &amp; Nusa Tenggara</w:t>
            </w:r>
          </w:p>
        </w:tc>
        <w:tc>
          <w:tcPr>
            <w:tcW w:w="1400" w:type="dxa"/>
            <w:vAlign w:val="top"/>
          </w:tcPr>
          <w:p>
            <w:pPr>
              <w:spacing w:before="0" w:after="0" w:line="240" w:lineRule="auto"/>
              <w:jc w:val="left"/>
            </w:pPr>
            <w:r>
              <w:rPr>
                <w:sz w:val="20"/>
                <w:szCs w:val="20"/>
              </w:rPr>
              <w:t xml:space="preserve">1</w:t>
            </w:r>
          </w:p>
        </w:tc>
        <w:tc>
          <w:tcPr>
            <w:tcW w:w="1400" w:type="dxa"/>
            <w:vAlign w:val="top"/>
          </w:tcPr>
          <w:p>
            <w:pPr>
              <w:spacing w:before="0" w:after="0" w:line="240" w:lineRule="auto"/>
              <w:jc w:val="left"/>
            </w:pPr>
            <w:r>
              <w:rPr>
                <w:sz w:val="20"/>
                <w:szCs w:val="20"/>
              </w:rPr>
              <w:t xml:space="preserve">32</w:t>
            </w:r>
          </w:p>
        </w:tc>
        <w:tc>
          <w:tcPr>
            <w:tcW w:w="1400" w:type="dxa"/>
            <w:vAlign w:val="top"/>
          </w:tcPr>
          <w:p>
            <w:pPr>
              <w:spacing w:before="0" w:after="0" w:line="240" w:lineRule="auto"/>
              <w:jc w:val="left"/>
            </w:pPr>
            <w:r>
              <w:rPr>
                <w:sz w:val="20"/>
                <w:szCs w:val="20"/>
              </w:rPr>
              <w:t xml:space="preserve">26</w:t>
            </w:r>
          </w:p>
        </w:tc>
        <w:tc>
          <w:tcPr>
            <w:tcW w:w="1400" w:type="dxa"/>
            <w:vAlign w:val="top"/>
          </w:tcPr>
          <w:p>
            <w:pPr>
              <w:spacing w:before="0" w:after="0" w:line="240" w:lineRule="auto"/>
              <w:jc w:val="left"/>
            </w:pPr>
            <w:r>
              <w:rPr>
                <w:sz w:val="20"/>
                <w:szCs w:val="20"/>
              </w:rPr>
              <w:t xml:space="preserve">295</w:t>
            </w:r>
          </w:p>
        </w:tc>
        <w:tc>
          <w:tcPr>
            <w:tcW w:w="1400" w:type="dxa"/>
            <w:vAlign w:val="top"/>
          </w:tcPr>
          <w:p>
            <w:pPr>
              <w:spacing w:before="0" w:after="0" w:line="240" w:lineRule="auto"/>
              <w:jc w:val="left"/>
            </w:pPr>
            <w:r>
              <w:rPr>
                <w:sz w:val="20"/>
                <w:szCs w:val="20"/>
              </w:rPr>
              <w:t xml:space="preserve">65,007</w:t>
            </w:r>
          </w:p>
        </w:tc>
      </w:tr>
      <w:tr>
        <w:tc>
          <w:tcPr>
            <w:tcW w:w="2026" w:type="dxa"/>
            <w:vAlign w:val="top"/>
          </w:tcPr>
          <w:p>
            <w:pPr>
              <w:spacing w:before="0" w:after="0" w:line="240" w:lineRule="auto"/>
              <w:jc w:val="left"/>
            </w:pPr>
            <w:r>
              <w:rPr>
                <w:sz w:val="20"/>
                <w:szCs w:val="20"/>
              </w:rPr>
              <w:t xml:space="preserve">Papua</w:t>
            </w:r>
          </w:p>
        </w:tc>
        <w:tc>
          <w:tcPr>
            <w:tcW w:w="1400" w:type="dxa"/>
            <w:vAlign w:val="top"/>
          </w:tcPr>
          <w:p>
            <w:pPr>
              <w:spacing w:before="0" w:after="0" w:line="240" w:lineRule="auto"/>
              <w:jc w:val="left"/>
            </w:pPr>
            <w:r>
              <w:rPr>
                <w:sz w:val="20"/>
                <w:szCs w:val="20"/>
              </w:rPr>
              <w:t xml:space="preserve">1</w:t>
            </w:r>
          </w:p>
        </w:tc>
        <w:tc>
          <w:tcPr>
            <w:tcW w:w="1400" w:type="dxa"/>
            <w:vAlign w:val="top"/>
          </w:tcPr>
          <w:p>
            <w:pPr>
              <w:spacing w:before="0" w:after="0" w:line="240" w:lineRule="auto"/>
              <w:jc w:val="left"/>
            </w:pPr>
            <w:r>
              <w:rPr>
                <w:sz w:val="20"/>
                <w:szCs w:val="20"/>
              </w:rPr>
              <w:t xml:space="preserve">13</w:t>
            </w:r>
          </w:p>
        </w:tc>
        <w:tc>
          <w:tcPr>
            <w:tcW w:w="1400" w:type="dxa"/>
            <w:vAlign w:val="top"/>
          </w:tcPr>
          <w:p>
            <w:pPr>
              <w:spacing w:before="0" w:after="0" w:line="240" w:lineRule="auto"/>
              <w:jc w:val="left"/>
            </w:pPr>
            <w:r>
              <w:rPr>
                <w:sz w:val="20"/>
                <w:szCs w:val="20"/>
              </w:rPr>
              <w:t xml:space="preserve">13</w:t>
            </w:r>
          </w:p>
        </w:tc>
        <w:tc>
          <w:tcPr>
            <w:tcW w:w="1400" w:type="dxa"/>
            <w:vAlign w:val="top"/>
          </w:tcPr>
          <w:p>
            <w:pPr>
              <w:spacing w:before="0" w:after="0" w:line="240" w:lineRule="auto"/>
              <w:jc w:val="left"/>
            </w:pPr>
            <w:r>
              <w:rPr>
                <w:sz w:val="20"/>
                <w:szCs w:val="20"/>
              </w:rPr>
              <w:t xml:space="preserve">88</w:t>
            </w:r>
          </w:p>
        </w:tc>
        <w:tc>
          <w:tcPr>
            <w:tcW w:w="1400" w:type="dxa"/>
            <w:vAlign w:val="top"/>
          </w:tcPr>
          <w:p>
            <w:pPr>
              <w:spacing w:before="0" w:after="0" w:line="240" w:lineRule="auto"/>
              <w:jc w:val="left"/>
            </w:pPr>
            <w:r>
              <w:rPr>
                <w:sz w:val="20"/>
                <w:szCs w:val="20"/>
              </w:rPr>
              <w:t xml:space="preserve">13,630</w:t>
            </w:r>
          </w:p>
        </w:tc>
      </w:tr>
      <w:tr>
        <w:tc>
          <w:tcPr>
            <w:tcW w:w="2026" w:type="dxa"/>
            <w:vAlign w:val="top"/>
          </w:tcPr>
          <w:p>
            <w:pPr>
              <w:spacing w:before="0" w:after="0" w:line="240" w:lineRule="auto"/>
              <w:jc w:val="left"/>
            </w:pPr>
            <w:r>
              <w:rPr>
                <w:sz w:val="20"/>
                <w:szCs w:val="20"/>
              </w:rPr>
              <w:t xml:space="preserve">Total</w:t>
            </w:r>
          </w:p>
        </w:tc>
        <w:tc>
          <w:tcPr>
            <w:tcW w:w="1400" w:type="dxa"/>
            <w:vAlign w:val="top"/>
          </w:tcPr>
          <w:p>
            <w:pPr>
              <w:spacing w:before="0" w:after="0" w:line="240" w:lineRule="auto"/>
              <w:jc w:val="left"/>
            </w:pPr>
            <w:r>
              <w:rPr>
                <w:sz w:val="20"/>
                <w:szCs w:val="20"/>
              </w:rPr>
              <w:t xml:space="preserve">18</w:t>
            </w:r>
          </w:p>
        </w:tc>
        <w:tc>
          <w:tcPr>
            <w:tcW w:w="1400" w:type="dxa"/>
            <w:vAlign w:val="top"/>
          </w:tcPr>
          <w:p>
            <w:pPr>
              <w:spacing w:before="0" w:after="0" w:line="240" w:lineRule="auto"/>
              <w:jc w:val="left"/>
            </w:pPr>
            <w:r>
              <w:rPr>
                <w:sz w:val="20"/>
                <w:szCs w:val="20"/>
              </w:rPr>
              <w:t xml:space="preserve">508</w:t>
            </w:r>
          </w:p>
        </w:tc>
        <w:tc>
          <w:tcPr>
            <w:tcW w:w="1400" w:type="dxa"/>
            <w:vAlign w:val="top"/>
          </w:tcPr>
          <w:p>
            <w:pPr>
              <w:spacing w:before="0" w:after="0" w:line="240" w:lineRule="auto"/>
              <w:jc w:val="left"/>
            </w:pPr>
            <w:r>
              <w:rPr>
                <w:sz w:val="20"/>
                <w:szCs w:val="20"/>
              </w:rPr>
              <w:t xml:space="preserve">555</w:t>
            </w:r>
          </w:p>
        </w:tc>
        <w:tc>
          <w:tcPr>
            <w:tcW w:w="1400" w:type="dxa"/>
            <w:vAlign w:val="top"/>
          </w:tcPr>
          <w:p>
            <w:pPr>
              <w:spacing w:before="0" w:after="0" w:line="240" w:lineRule="auto"/>
              <w:jc w:val="left"/>
            </w:pPr>
            <w:r>
              <w:rPr>
                <w:sz w:val="20"/>
                <w:szCs w:val="20"/>
              </w:rPr>
              <w:t xml:space="preserve">5,082</w:t>
            </w:r>
          </w:p>
        </w:tc>
        <w:tc>
          <w:tcPr>
            <w:tcW w:w="1400" w:type="dxa"/>
            <w:vAlign w:val="top"/>
          </w:tcPr>
          <w:p>
            <w:pPr>
              <w:spacing w:before="0" w:after="0" w:line="240" w:lineRule="auto"/>
              <w:jc w:val="left"/>
            </w:pPr>
            <w:r>
              <w:rPr>
                <w:sz w:val="20"/>
                <w:szCs w:val="20"/>
              </w:rPr>
              <w:t xml:space="preserve">1,193,835</w:t>
            </w:r>
          </w:p>
        </w:tc>
      </w:tr>
    </w:tbl>
    <w:p>
      <w:pPr>
        <w:spacing w:before="0" w:after="60" w:line="240" w:lineRule="auto"/>
        <w:jc w:val="both"/>
      </w:pPr>
    </w:p>
    <w:p>
      <w:pPr>
        <w:spacing w:before="0" w:after="120" w:line="360" w:lineRule="auto"/>
        <w:jc w:val="both"/>
      </w:pPr>
      <w:r>
        <w:rPr>
          <w:sz w:val="24"/>
          <w:szCs w:val="24"/>
        </w:rPr>
        <w:t xml:space="preserve">Through ten main subsidiaries, the BRI Group also provides services beyond banking, as listed in Table 2.3.</w:t>
      </w:r>
    </w:p>
    <w:p>
      <w:pPr>
        <w:keepNext w:val="1"/>
        <w:spacing w:before="120" w:after="60" w:line="240" w:lineRule="auto"/>
        <w:jc w:val="center"/>
      </w:pPr>
      <w:r>
        <w:rPr>
          <w:b w:val="1"/>
          <w:sz w:val="20"/>
          <w:szCs w:val="20"/>
        </w:rPr>
        <w:t xml:space="preserve">Table 2.3 BRI subsidiaries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4513"/>
        <w:gridCol w:w="4513"/>
      </w:tblGrid>
      <w:tr>
        <w:trPr>
          <w:tblHeader w:val="1"/>
        </w:trPr>
        <w:tc>
          <w:tcPr>
            <w:tcW w:w="4513" w:type="dxa"/>
            <w:shd w:val="clear" w:color="auto" w:fill="D9D9D9"/>
            <w:vAlign w:val="top"/>
          </w:tcPr>
          <w:p>
            <w:pPr>
              <w:spacing w:before="0" w:after="0" w:line="240" w:lineRule="auto"/>
              <w:jc w:val="left"/>
            </w:pPr>
            <w:r>
              <w:rPr>
                <w:b w:val="1"/>
                <w:sz w:val="20"/>
                <w:szCs w:val="20"/>
              </w:rPr>
              <w:t xml:space="preserve">Subsidiary</w:t>
            </w:r>
          </w:p>
        </w:tc>
        <w:tc>
          <w:tcPr>
            <w:tcW w:w="4513" w:type="dxa"/>
            <w:shd w:val="clear" w:color="auto" w:fill="D9D9D9"/>
            <w:vAlign w:val="top"/>
          </w:tcPr>
          <w:p>
            <w:pPr>
              <w:spacing w:before="0" w:after="0" w:line="240" w:lineRule="auto"/>
              <w:jc w:val="left"/>
            </w:pPr>
            <w:r>
              <w:rPr>
                <w:b w:val="1"/>
                <w:sz w:val="20"/>
                <w:szCs w:val="20"/>
              </w:rPr>
              <w:t xml:space="preserve">Business</w:t>
            </w:r>
          </w:p>
        </w:tc>
      </w:tr>
      <w:tr>
        <w:tc>
          <w:tcPr>
            <w:tcW w:w="4513" w:type="dxa"/>
            <w:vAlign w:val="top"/>
          </w:tcPr>
          <w:p>
            <w:pPr>
              <w:spacing w:before="0" w:after="0" w:line="240" w:lineRule="auto"/>
              <w:jc w:val="left"/>
            </w:pPr>
            <w:r>
              <w:rPr>
                <w:sz w:val="20"/>
                <w:szCs w:val="20"/>
              </w:rPr>
              <w:t xml:space="preserve">PT Bank Raya Indonesia Tbk</w:t>
            </w:r>
          </w:p>
        </w:tc>
        <w:tc>
          <w:tcPr>
            <w:tcW w:w="4513" w:type="dxa"/>
            <w:vAlign w:val="top"/>
          </w:tcPr>
          <w:p>
            <w:pPr>
              <w:spacing w:before="0" w:after="0" w:line="240" w:lineRule="auto"/>
              <w:jc w:val="left"/>
            </w:pPr>
            <w:r>
              <w:rPr>
                <w:sz w:val="20"/>
                <w:szCs w:val="20"/>
              </w:rPr>
              <w:t xml:space="preserve">Digital banking</w:t>
            </w:r>
          </w:p>
        </w:tc>
      </w:tr>
      <w:tr>
        <w:tc>
          <w:tcPr>
            <w:tcW w:w="4513" w:type="dxa"/>
            <w:vAlign w:val="top"/>
          </w:tcPr>
          <w:p>
            <w:pPr>
              <w:spacing w:before="0" w:after="0" w:line="240" w:lineRule="auto"/>
              <w:jc w:val="left"/>
            </w:pPr>
            <w:r>
              <w:rPr>
                <w:sz w:val="20"/>
                <w:szCs w:val="20"/>
              </w:rPr>
              <w:t xml:space="preserve">BRI Global Financial Services Ltd</w:t>
            </w:r>
          </w:p>
        </w:tc>
        <w:tc>
          <w:tcPr>
            <w:tcW w:w="4513" w:type="dxa"/>
            <w:vAlign w:val="top"/>
          </w:tcPr>
          <w:p>
            <w:pPr>
              <w:spacing w:before="0" w:after="0" w:line="240" w:lineRule="auto"/>
              <w:jc w:val="left"/>
            </w:pPr>
            <w:r>
              <w:rPr>
                <w:sz w:val="20"/>
                <w:szCs w:val="20"/>
              </w:rPr>
              <w:t xml:space="preserve">Remittance and financing</w:t>
            </w:r>
          </w:p>
        </w:tc>
      </w:tr>
      <w:tr>
        <w:tc>
          <w:tcPr>
            <w:tcW w:w="4513" w:type="dxa"/>
            <w:vAlign w:val="top"/>
          </w:tcPr>
          <w:p>
            <w:pPr>
              <w:spacing w:before="0" w:after="0" w:line="240" w:lineRule="auto"/>
              <w:jc w:val="left"/>
            </w:pPr>
            <w:r>
              <w:rPr>
                <w:sz w:val="20"/>
                <w:szCs w:val="20"/>
              </w:rPr>
              <w:t xml:space="preserve">PT Asuransi BRI Life</w:t>
            </w:r>
          </w:p>
        </w:tc>
        <w:tc>
          <w:tcPr>
            <w:tcW w:w="4513" w:type="dxa"/>
            <w:vAlign w:val="top"/>
          </w:tcPr>
          <w:p>
            <w:pPr>
              <w:spacing w:before="0" w:after="0" w:line="240" w:lineRule="auto"/>
              <w:jc w:val="left"/>
            </w:pPr>
            <w:r>
              <w:rPr>
                <w:sz w:val="20"/>
                <w:szCs w:val="20"/>
              </w:rPr>
              <w:t xml:space="preserve">Life insurance</w:t>
            </w:r>
          </w:p>
        </w:tc>
      </w:tr>
      <w:tr>
        <w:tc>
          <w:tcPr>
            <w:tcW w:w="4513" w:type="dxa"/>
            <w:vAlign w:val="top"/>
          </w:tcPr>
          <w:p>
            <w:pPr>
              <w:spacing w:before="0" w:after="0" w:line="240" w:lineRule="auto"/>
              <w:jc w:val="left"/>
            </w:pPr>
            <w:r>
              <w:rPr>
                <w:sz w:val="20"/>
                <w:szCs w:val="20"/>
              </w:rPr>
              <w:t xml:space="preserve">PT BRI Multifinance Indonesia (BRI Finance)</w:t>
            </w:r>
          </w:p>
        </w:tc>
        <w:tc>
          <w:tcPr>
            <w:tcW w:w="4513" w:type="dxa"/>
            <w:vAlign w:val="top"/>
          </w:tcPr>
          <w:p>
            <w:pPr>
              <w:spacing w:before="0" w:after="0" w:line="240" w:lineRule="auto"/>
              <w:jc w:val="left"/>
            </w:pPr>
            <w:r>
              <w:rPr>
                <w:sz w:val="20"/>
                <w:szCs w:val="20"/>
              </w:rPr>
              <w:t xml:space="preserve">Financing</w:t>
            </w:r>
          </w:p>
        </w:tc>
      </w:tr>
      <w:tr>
        <w:tc>
          <w:tcPr>
            <w:tcW w:w="4513" w:type="dxa"/>
            <w:vAlign w:val="top"/>
          </w:tcPr>
          <w:p>
            <w:pPr>
              <w:spacing w:before="0" w:after="0" w:line="240" w:lineRule="auto"/>
              <w:jc w:val="left"/>
            </w:pPr>
            <w:r>
              <w:rPr>
                <w:sz w:val="20"/>
                <w:szCs w:val="20"/>
              </w:rPr>
              <w:t xml:space="preserve">PT BRI Danareksa Sekuritas</w:t>
            </w:r>
          </w:p>
        </w:tc>
        <w:tc>
          <w:tcPr>
            <w:tcW w:w="4513" w:type="dxa"/>
            <w:vAlign w:val="top"/>
          </w:tcPr>
          <w:p>
            <w:pPr>
              <w:spacing w:before="0" w:after="0" w:line="240" w:lineRule="auto"/>
              <w:jc w:val="left"/>
            </w:pPr>
            <w:r>
              <w:rPr>
                <w:sz w:val="20"/>
                <w:szCs w:val="20"/>
              </w:rPr>
              <w:t xml:space="preserve">Securities services</w:t>
            </w:r>
          </w:p>
        </w:tc>
      </w:tr>
      <w:tr>
        <w:tc>
          <w:tcPr>
            <w:tcW w:w="4513" w:type="dxa"/>
            <w:vAlign w:val="top"/>
          </w:tcPr>
          <w:p>
            <w:pPr>
              <w:spacing w:before="0" w:after="0" w:line="240" w:lineRule="auto"/>
              <w:jc w:val="left"/>
            </w:pPr>
            <w:r>
              <w:rPr>
                <w:sz w:val="20"/>
                <w:szCs w:val="20"/>
              </w:rPr>
              <w:t xml:space="preserve">PT BRI Ventura Investama (BRI Ventures)</w:t>
            </w:r>
          </w:p>
        </w:tc>
        <w:tc>
          <w:tcPr>
            <w:tcW w:w="4513" w:type="dxa"/>
            <w:vAlign w:val="top"/>
          </w:tcPr>
          <w:p>
            <w:pPr>
              <w:spacing w:before="0" w:after="0" w:line="240" w:lineRule="auto"/>
              <w:jc w:val="left"/>
            </w:pPr>
            <w:r>
              <w:rPr>
                <w:sz w:val="20"/>
                <w:szCs w:val="20"/>
              </w:rPr>
              <w:t xml:space="preserve">Venture capital</w:t>
            </w:r>
          </w:p>
        </w:tc>
      </w:tr>
      <w:tr>
        <w:tc>
          <w:tcPr>
            <w:tcW w:w="4513" w:type="dxa"/>
            <w:vAlign w:val="top"/>
          </w:tcPr>
          <w:p>
            <w:pPr>
              <w:spacing w:before="0" w:after="0" w:line="240" w:lineRule="auto"/>
              <w:jc w:val="left"/>
            </w:pPr>
            <w:r>
              <w:rPr>
                <w:sz w:val="20"/>
                <w:szCs w:val="20"/>
              </w:rPr>
              <w:t xml:space="preserve">PT BRI Asuransi Indonesia (BRI Insurance)</w:t>
            </w:r>
          </w:p>
        </w:tc>
        <w:tc>
          <w:tcPr>
            <w:tcW w:w="4513" w:type="dxa"/>
            <w:vAlign w:val="top"/>
          </w:tcPr>
          <w:p>
            <w:pPr>
              <w:spacing w:before="0" w:after="0" w:line="240" w:lineRule="auto"/>
              <w:jc w:val="left"/>
            </w:pPr>
            <w:r>
              <w:rPr>
                <w:sz w:val="20"/>
                <w:szCs w:val="20"/>
              </w:rPr>
              <w:t xml:space="preserve">General insurance</w:t>
            </w:r>
          </w:p>
        </w:tc>
      </w:tr>
      <w:tr>
        <w:tc>
          <w:tcPr>
            <w:tcW w:w="4513" w:type="dxa"/>
            <w:vAlign w:val="top"/>
          </w:tcPr>
          <w:p>
            <w:pPr>
              <w:spacing w:before="0" w:after="0" w:line="240" w:lineRule="auto"/>
              <w:jc w:val="left"/>
            </w:pPr>
            <w:r>
              <w:rPr>
                <w:sz w:val="20"/>
                <w:szCs w:val="20"/>
              </w:rPr>
              <w:t xml:space="preserve">PT Pegadaian</w:t>
            </w:r>
          </w:p>
        </w:tc>
        <w:tc>
          <w:tcPr>
            <w:tcW w:w="4513" w:type="dxa"/>
            <w:vAlign w:val="top"/>
          </w:tcPr>
          <w:p>
            <w:pPr>
              <w:spacing w:before="0" w:after="0" w:line="240" w:lineRule="auto"/>
              <w:jc w:val="left"/>
            </w:pPr>
            <w:r>
              <w:rPr>
                <w:sz w:val="20"/>
                <w:szCs w:val="20"/>
              </w:rPr>
              <w:t xml:space="preserve">Pawn-based and other financing</w:t>
            </w:r>
          </w:p>
        </w:tc>
      </w:tr>
      <w:tr>
        <w:tc>
          <w:tcPr>
            <w:tcW w:w="4513" w:type="dxa"/>
            <w:vAlign w:val="top"/>
          </w:tcPr>
          <w:p>
            <w:pPr>
              <w:spacing w:before="0" w:after="0" w:line="240" w:lineRule="auto"/>
              <w:jc w:val="left"/>
            </w:pPr>
            <w:r>
              <w:rPr>
                <w:sz w:val="20"/>
                <w:szCs w:val="20"/>
              </w:rPr>
              <w:t xml:space="preserve">PT Permodalan Nasional Madani (PNM)</w:t>
            </w:r>
          </w:p>
        </w:tc>
        <w:tc>
          <w:tcPr>
            <w:tcW w:w="4513" w:type="dxa"/>
            <w:vAlign w:val="top"/>
          </w:tcPr>
          <w:p>
            <w:pPr>
              <w:spacing w:before="0" w:after="0" w:line="240" w:lineRule="auto"/>
              <w:jc w:val="left"/>
            </w:pPr>
            <w:r>
              <w:rPr>
                <w:sz w:val="20"/>
                <w:szCs w:val="20"/>
              </w:rPr>
              <w:t xml:space="preserve">Financing and mentoring for micro enterprises</w:t>
            </w:r>
          </w:p>
        </w:tc>
      </w:tr>
      <w:tr>
        <w:tc>
          <w:tcPr>
            <w:tcW w:w="4513" w:type="dxa"/>
            <w:vAlign w:val="top"/>
          </w:tcPr>
          <w:p>
            <w:pPr>
              <w:spacing w:before="0" w:after="0" w:line="240" w:lineRule="auto"/>
              <w:jc w:val="left"/>
            </w:pPr>
            <w:r>
              <w:rPr>
                <w:sz w:val="20"/>
                <w:szCs w:val="20"/>
              </w:rPr>
              <w:t xml:space="preserve">PT BRI Manajemen Investasi</w:t>
            </w:r>
          </w:p>
        </w:tc>
        <w:tc>
          <w:tcPr>
            <w:tcW w:w="4513" w:type="dxa"/>
            <w:vAlign w:val="top"/>
          </w:tcPr>
          <w:p>
            <w:pPr>
              <w:spacing w:before="0" w:after="0" w:line="240" w:lineRule="auto"/>
              <w:jc w:val="left"/>
            </w:pPr>
            <w:r>
              <w:rPr>
                <w:sz w:val="20"/>
                <w:szCs w:val="20"/>
              </w:rPr>
              <w:t xml:space="preserve">Investment management</w:t>
            </w:r>
          </w:p>
        </w:tc>
      </w:tr>
    </w:tbl>
    <w:p>
      <w:pPr>
        <w:spacing w:before="0" w:after="60" w:line="240" w:lineRule="auto"/>
        <w:jc w:val="both"/>
      </w:pPr>
    </w:p>
    <w:p>
      <w:pPr>
        <w:keepNext w:val="1"/>
        <w:spacing w:before="240" w:after="120" w:line="360" w:lineRule="auto"/>
        <w:jc w:val="left"/>
      </w:pPr>
      <w:r>
        <w:rPr>
          <w:b w:val="1"/>
          <w:sz w:val="24"/>
          <w:szCs w:val="24"/>
        </w:rPr>
        <w:t xml:space="preserve">2.3 Vision, Strategy, and Corporate Values</w:t>
      </w:r>
    </w:p>
    <w:p>
      <w:pPr>
        <w:spacing w:before="0" w:after="120" w:line="360" w:lineRule="auto"/>
        <w:jc w:val="both"/>
      </w:pPr>
      <w:r>
        <w:rPr>
          <w:b w:val="1"/>
          <w:sz w:val="24"/>
          <w:szCs w:val="24"/>
        </w:rPr>
        <w:t xml:space="preserve">Vision. </w:t>
      </w:r>
      <w:r>
        <w:rPr>
          <w:sz w:val="24"/>
          <w:szCs w:val="24"/>
        </w:rPr>
        <w:t xml:space="preserve">"Deliver Sustainable Values and Integrated Solutions to Achieve Indonesia's Aspiration."</w:t>
      </w:r>
    </w:p>
    <w:p>
      <w:pPr>
        <w:spacing w:before="0" w:after="120" w:line="360" w:lineRule="auto"/>
        <w:jc w:val="both"/>
      </w:pPr>
      <w:r>
        <w:rPr>
          <w:sz w:val="24"/>
          <w:szCs w:val="24"/>
        </w:rPr>
        <w:t xml:space="preserve">BRI pursues this vision through its transformation programme, BRIvolution Reignite, under the positioning "One Bank for All": an inclusive universal bank serving every segment of Indonesian society. The programme rests on two main pillars, Transform the Funding Franchise, and Revamp Existing Core and Build New Core. These are supported by six enablers: Human Capital, Risk Management, IT &amp; Digital, Distribution, Operational Excellence, and Rebranding. In practice, this means growing low-cost funding and transaction banking, strengthening the micro segment as the core business, building new income sources in the consumer segment, and improving digital capability, risk management, and human resources.</w:t>
      </w:r>
    </w:p>
    <w:p>
      <w:pPr>
        <w:spacing w:before="0" w:after="120" w:line="360" w:lineRule="auto"/>
        <w:jc w:val="both"/>
      </w:pPr>
      <w:r>
        <w:rPr>
          <w:sz w:val="24"/>
          <w:szCs w:val="24"/>
        </w:rPr>
        <w:t xml:space="preserve">On 14 July 2025, BRI adopted the BRILiaN Way as its corporate culture. It sets out five core values that guide the behaviour of every employee, shown in Table 2.4.</w:t>
      </w:r>
    </w:p>
    <w:p>
      <w:pPr>
        <w:keepNext w:val="1"/>
        <w:spacing w:before="120" w:after="60" w:line="240" w:lineRule="auto"/>
        <w:jc w:val="center"/>
      </w:pPr>
      <w:r>
        <w:rPr>
          <w:b w:val="1"/>
          <w:sz w:val="20"/>
          <w:szCs w:val="20"/>
        </w:rPr>
        <w:t xml:space="preserve">Table 2.4 BRI core values (the BRILiaN Way)</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400"/>
        <w:gridCol w:w="6626"/>
      </w:tblGrid>
      <w:tr>
        <w:trPr>
          <w:tblHeader w:val="1"/>
        </w:trPr>
        <w:tc>
          <w:tcPr>
            <w:tcW w:w="2400" w:type="dxa"/>
            <w:shd w:val="clear" w:color="auto" w:fill="D9D9D9"/>
            <w:vAlign w:val="top"/>
          </w:tcPr>
          <w:p>
            <w:pPr>
              <w:spacing w:before="0" w:after="0" w:line="240" w:lineRule="auto"/>
              <w:jc w:val="left"/>
            </w:pPr>
            <w:r>
              <w:rPr>
                <w:b w:val="1"/>
                <w:sz w:val="20"/>
                <w:szCs w:val="20"/>
              </w:rPr>
              <w:t xml:space="preserve">Core value</w:t>
            </w:r>
          </w:p>
        </w:tc>
        <w:tc>
          <w:tcPr>
            <w:tcW w:w="6626" w:type="dxa"/>
            <w:shd w:val="clear" w:color="auto" w:fill="D9D9D9"/>
            <w:vAlign w:val="top"/>
          </w:tcPr>
          <w:p>
            <w:pPr>
              <w:spacing w:before="0" w:after="0" w:line="240" w:lineRule="auto"/>
              <w:jc w:val="left"/>
            </w:pPr>
            <w:r>
              <w:rPr>
                <w:b w:val="1"/>
                <w:sz w:val="20"/>
                <w:szCs w:val="20"/>
              </w:rPr>
              <w:t xml:space="preserve">Definition</w:t>
            </w:r>
          </w:p>
        </w:tc>
      </w:tr>
      <w:tr>
        <w:tc>
          <w:tcPr>
            <w:tcW w:w="2400" w:type="dxa"/>
            <w:vAlign w:val="top"/>
          </w:tcPr>
          <w:p>
            <w:pPr>
              <w:spacing w:before="0" w:after="0" w:line="240" w:lineRule="auto"/>
              <w:jc w:val="left"/>
            </w:pPr>
            <w:r>
              <w:rPr>
                <w:sz w:val="20"/>
                <w:szCs w:val="20"/>
              </w:rPr>
              <w:t xml:space="preserve">Integrity</w:t>
            </w:r>
          </w:p>
        </w:tc>
        <w:tc>
          <w:tcPr>
            <w:tcW w:w="6626" w:type="dxa"/>
            <w:vAlign w:val="top"/>
          </w:tcPr>
          <w:p>
            <w:pPr>
              <w:spacing w:before="0" w:after="0" w:line="240" w:lineRule="auto"/>
              <w:jc w:val="left"/>
            </w:pPr>
            <w:r>
              <w:rPr>
                <w:sz w:val="20"/>
                <w:szCs w:val="20"/>
              </w:rPr>
              <w:t xml:space="preserve">Upholding professionalism, ethics, and honesty by considering risks in every action.</w:t>
            </w:r>
          </w:p>
        </w:tc>
      </w:tr>
      <w:tr>
        <w:tc>
          <w:tcPr>
            <w:tcW w:w="2400" w:type="dxa"/>
            <w:vAlign w:val="top"/>
          </w:tcPr>
          <w:p>
            <w:pPr>
              <w:spacing w:before="0" w:after="0" w:line="240" w:lineRule="auto"/>
              <w:jc w:val="left"/>
            </w:pPr>
            <w:r>
              <w:rPr>
                <w:sz w:val="20"/>
                <w:szCs w:val="20"/>
              </w:rPr>
              <w:t xml:space="preserve">Collaboration</w:t>
            </w:r>
          </w:p>
        </w:tc>
        <w:tc>
          <w:tcPr>
            <w:tcW w:w="6626" w:type="dxa"/>
            <w:vAlign w:val="top"/>
          </w:tcPr>
          <w:p>
            <w:pPr>
              <w:spacing w:before="0" w:after="0" w:line="240" w:lineRule="auto"/>
              <w:jc w:val="left"/>
            </w:pPr>
            <w:r>
              <w:rPr>
                <w:sz w:val="20"/>
                <w:szCs w:val="20"/>
              </w:rPr>
              <w:t xml:space="preserve">Working in synergy and contributing actively to achieve shared objectives.</w:t>
            </w:r>
          </w:p>
        </w:tc>
      </w:tr>
      <w:tr>
        <w:tc>
          <w:tcPr>
            <w:tcW w:w="2400" w:type="dxa"/>
            <w:vAlign w:val="top"/>
          </w:tcPr>
          <w:p>
            <w:pPr>
              <w:spacing w:before="0" w:after="0" w:line="240" w:lineRule="auto"/>
              <w:jc w:val="left"/>
            </w:pPr>
            <w:r>
              <w:rPr>
                <w:sz w:val="20"/>
                <w:szCs w:val="20"/>
              </w:rPr>
              <w:t xml:space="preserve">Accountability</w:t>
            </w:r>
          </w:p>
        </w:tc>
        <w:tc>
          <w:tcPr>
            <w:tcW w:w="6626" w:type="dxa"/>
            <w:vAlign w:val="top"/>
          </w:tcPr>
          <w:p>
            <w:pPr>
              <w:spacing w:before="0" w:after="0" w:line="240" w:lineRule="auto"/>
              <w:jc w:val="left"/>
            </w:pPr>
            <w:r>
              <w:rPr>
                <w:sz w:val="20"/>
                <w:szCs w:val="20"/>
              </w:rPr>
              <w:t xml:space="preserve">Taking full responsibility for people development and exercising disciplined execution to achieve optimal results.</w:t>
            </w:r>
          </w:p>
        </w:tc>
      </w:tr>
      <w:tr>
        <w:tc>
          <w:tcPr>
            <w:tcW w:w="2400" w:type="dxa"/>
            <w:vAlign w:val="top"/>
          </w:tcPr>
          <w:p>
            <w:pPr>
              <w:spacing w:before="0" w:after="0" w:line="240" w:lineRule="auto"/>
              <w:jc w:val="left"/>
            </w:pPr>
            <w:r>
              <w:rPr>
                <w:sz w:val="20"/>
                <w:szCs w:val="20"/>
              </w:rPr>
              <w:t xml:space="preserve">Growth Mindset</w:t>
            </w:r>
          </w:p>
        </w:tc>
        <w:tc>
          <w:tcPr>
            <w:tcW w:w="6626" w:type="dxa"/>
            <w:vAlign w:val="top"/>
          </w:tcPr>
          <w:p>
            <w:pPr>
              <w:spacing w:before="0" w:after="0" w:line="240" w:lineRule="auto"/>
              <w:jc w:val="left"/>
            </w:pPr>
            <w:r>
              <w:rPr>
                <w:sz w:val="20"/>
                <w:szCs w:val="20"/>
              </w:rPr>
              <w:t xml:space="preserve">Being adaptive, innovative, and open to continuous learning through every stage of change.</w:t>
            </w:r>
          </w:p>
        </w:tc>
      </w:tr>
      <w:tr>
        <w:tc>
          <w:tcPr>
            <w:tcW w:w="2400" w:type="dxa"/>
            <w:vAlign w:val="top"/>
          </w:tcPr>
          <w:p>
            <w:pPr>
              <w:spacing w:before="0" w:after="0" w:line="240" w:lineRule="auto"/>
              <w:jc w:val="left"/>
            </w:pPr>
            <w:r>
              <w:rPr>
                <w:sz w:val="20"/>
                <w:szCs w:val="20"/>
              </w:rPr>
              <w:t xml:space="preserve">Customer Focus</w:t>
            </w:r>
          </w:p>
        </w:tc>
        <w:tc>
          <w:tcPr>
            <w:tcW w:w="6626" w:type="dxa"/>
            <w:vAlign w:val="top"/>
          </w:tcPr>
          <w:p>
            <w:pPr>
              <w:spacing w:before="0" w:after="0" w:line="240" w:lineRule="auto"/>
              <w:jc w:val="left"/>
            </w:pPr>
            <w:r>
              <w:rPr>
                <w:sz w:val="20"/>
                <w:szCs w:val="20"/>
              </w:rPr>
              <w:t xml:space="preserve">Delivering empathetic services and solutions aligned with customer needs.</w:t>
            </w:r>
          </w:p>
        </w:tc>
      </w:tr>
    </w:tbl>
    <w:p>
      <w:pPr>
        <w:spacing w:before="0" w:after="60" w:line="240" w:lineRule="auto"/>
        <w:jc w:val="both"/>
      </w:pPr>
    </w:p>
    <w:p>
      <w:pPr>
        <w:keepNext w:val="1"/>
        <w:spacing w:before="240" w:after="120" w:line="360" w:lineRule="auto"/>
        <w:jc w:val="left"/>
      </w:pPr>
      <w:r>
        <w:rPr>
          <w:b w:val="1"/>
          <w:sz w:val="24"/>
          <w:szCs w:val="24"/>
        </w:rPr>
        <w:t xml:space="preserve">2.4 Company History</w:t>
      </w:r>
    </w:p>
    <w:p>
      <w:pPr>
        <w:spacing w:before="0" w:after="120" w:line="360" w:lineRule="auto"/>
        <w:jc w:val="both"/>
      </w:pPr>
      <w:r>
        <w:rPr>
          <w:sz w:val="24"/>
          <w:szCs w:val="24"/>
        </w:rPr>
        <w:t xml:space="preserve">BRI began in 1895 as De Poerwokertosche Hulp en Spaarbank der Inlandsche Hoofden, a savings and loan bank in Purwokerto intended to serve Indonesian people. Since then it has gone through several changes of name and legal status. Table 2.5 lists the main milestones.</w:t>
      </w:r>
    </w:p>
    <w:p>
      <w:pPr>
        <w:keepNext w:val="1"/>
        <w:spacing w:before="120" w:after="60" w:line="240" w:lineRule="auto"/>
        <w:jc w:val="center"/>
      </w:pPr>
      <w:r>
        <w:rPr>
          <w:b w:val="1"/>
          <w:sz w:val="20"/>
          <w:szCs w:val="20"/>
        </w:rPr>
        <w:t xml:space="preserve">Table 2.5 Milestones in BRI's history</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600"/>
        <w:gridCol w:w="7426"/>
      </w:tblGrid>
      <w:tr>
        <w:trPr>
          <w:tblHeader w:val="1"/>
        </w:trPr>
        <w:tc>
          <w:tcPr>
            <w:tcW w:w="1600" w:type="dxa"/>
            <w:shd w:val="clear" w:color="auto" w:fill="D9D9D9"/>
            <w:vAlign w:val="top"/>
          </w:tcPr>
          <w:p>
            <w:pPr>
              <w:spacing w:before="0" w:after="0" w:line="240" w:lineRule="auto"/>
              <w:jc w:val="left"/>
            </w:pPr>
            <w:r>
              <w:rPr>
                <w:b w:val="1"/>
                <w:sz w:val="20"/>
                <w:szCs w:val="20"/>
              </w:rPr>
              <w:t xml:space="preserve">Year</w:t>
            </w:r>
          </w:p>
        </w:tc>
        <w:tc>
          <w:tcPr>
            <w:tcW w:w="7426" w:type="dxa"/>
            <w:shd w:val="clear" w:color="auto" w:fill="D9D9D9"/>
            <w:vAlign w:val="top"/>
          </w:tcPr>
          <w:p>
            <w:pPr>
              <w:spacing w:before="0" w:after="0" w:line="240" w:lineRule="auto"/>
              <w:jc w:val="left"/>
            </w:pPr>
            <w:r>
              <w:rPr>
                <w:b w:val="1"/>
                <w:sz w:val="20"/>
                <w:szCs w:val="20"/>
              </w:rPr>
              <w:t xml:space="preserve">Milestone</w:t>
            </w:r>
          </w:p>
        </w:tc>
      </w:tr>
      <w:tr>
        <w:tc>
          <w:tcPr>
            <w:tcW w:w="1600" w:type="dxa"/>
            <w:vAlign w:val="top"/>
          </w:tcPr>
          <w:p>
            <w:pPr>
              <w:spacing w:before="0" w:after="0" w:line="240" w:lineRule="auto"/>
              <w:jc w:val="left"/>
            </w:pPr>
            <w:r>
              <w:rPr>
                <w:sz w:val="20"/>
                <w:szCs w:val="20"/>
              </w:rPr>
              <w:t xml:space="preserve">1895</w:t>
            </w:r>
          </w:p>
        </w:tc>
        <w:tc>
          <w:tcPr>
            <w:tcW w:w="7426" w:type="dxa"/>
            <w:vAlign w:val="top"/>
          </w:tcPr>
          <w:p>
            <w:pPr>
              <w:spacing w:before="0" w:after="0" w:line="240" w:lineRule="auto"/>
              <w:jc w:val="left"/>
            </w:pPr>
            <w:r>
              <w:rPr>
                <w:sz w:val="20"/>
                <w:szCs w:val="20"/>
              </w:rPr>
              <w:t xml:space="preserve">Established on 16 December in Purwokerto, Central Java, by Raden Bei Aria Wirjaatmadja as De Poerwokertosche Hulp en Spaarbank der Inlandsche Hoofden.</w:t>
            </w:r>
          </w:p>
        </w:tc>
      </w:tr>
      <w:tr>
        <w:tc>
          <w:tcPr>
            <w:tcW w:w="1600" w:type="dxa"/>
            <w:vAlign w:val="top"/>
          </w:tcPr>
          <w:p>
            <w:pPr>
              <w:spacing w:before="0" w:after="0" w:line="240" w:lineRule="auto"/>
              <w:jc w:val="left"/>
            </w:pPr>
            <w:r>
              <w:rPr>
                <w:sz w:val="20"/>
                <w:szCs w:val="20"/>
              </w:rPr>
              <w:t xml:space="preserve">1946</w:t>
            </w:r>
          </w:p>
        </w:tc>
        <w:tc>
          <w:tcPr>
            <w:tcW w:w="7426" w:type="dxa"/>
            <w:vAlign w:val="top"/>
          </w:tcPr>
          <w:p>
            <w:pPr>
              <w:spacing w:before="0" w:after="0" w:line="240" w:lineRule="auto"/>
              <w:jc w:val="left"/>
            </w:pPr>
            <w:r>
              <w:rPr>
                <w:sz w:val="20"/>
                <w:szCs w:val="20"/>
              </w:rPr>
              <w:t xml:space="preserve">Became the first state-owned bank of the Republic of Indonesia under Article 1 of Government Regulation No. 1 of 1946.</w:t>
            </w:r>
          </w:p>
        </w:tc>
      </w:tr>
      <w:tr>
        <w:tc>
          <w:tcPr>
            <w:tcW w:w="1600" w:type="dxa"/>
            <w:vAlign w:val="top"/>
          </w:tcPr>
          <w:p>
            <w:pPr>
              <w:spacing w:before="0" w:after="0" w:line="240" w:lineRule="auto"/>
              <w:jc w:val="left"/>
            </w:pPr>
            <w:r>
              <w:rPr>
                <w:sz w:val="20"/>
                <w:szCs w:val="20"/>
              </w:rPr>
              <w:t xml:space="preserve">1948 to 1949</w:t>
            </w:r>
          </w:p>
        </w:tc>
        <w:tc>
          <w:tcPr>
            <w:tcW w:w="7426" w:type="dxa"/>
            <w:vAlign w:val="top"/>
          </w:tcPr>
          <w:p>
            <w:pPr>
              <w:spacing w:before="0" w:after="0" w:line="240" w:lineRule="auto"/>
              <w:jc w:val="left"/>
            </w:pPr>
            <w:r>
              <w:rPr>
                <w:sz w:val="20"/>
                <w:szCs w:val="20"/>
              </w:rPr>
              <w:t xml:space="preserve">Operations were suspended during the revolutionary war and resumed after the Renville Agreement, under the name Bank Rakyat Indonesia Serikat.</w:t>
            </w:r>
          </w:p>
        </w:tc>
      </w:tr>
      <w:tr>
        <w:tc>
          <w:tcPr>
            <w:tcW w:w="1600" w:type="dxa"/>
            <w:vAlign w:val="top"/>
          </w:tcPr>
          <w:p>
            <w:pPr>
              <w:spacing w:before="0" w:after="0" w:line="240" w:lineRule="auto"/>
              <w:jc w:val="left"/>
            </w:pPr>
            <w:r>
              <w:rPr>
                <w:sz w:val="20"/>
                <w:szCs w:val="20"/>
              </w:rPr>
              <w:t xml:space="preserve">1960</w:t>
            </w:r>
          </w:p>
        </w:tc>
        <w:tc>
          <w:tcPr>
            <w:tcW w:w="7426" w:type="dxa"/>
            <w:vAlign w:val="top"/>
          </w:tcPr>
          <w:p>
            <w:pPr>
              <w:spacing w:before="0" w:after="0" w:line="240" w:lineRule="auto"/>
              <w:jc w:val="left"/>
            </w:pPr>
            <w:r>
              <w:rPr>
                <w:sz w:val="20"/>
                <w:szCs w:val="20"/>
              </w:rPr>
              <w:t xml:space="preserve">Merged with Bank Tani Nelayan and Nederlandsche Handel-Maatschappij (NHM) into Bank Koperasi Tani dan Nelayan (BKTN) under PERPU No. 41 of 1960.</w:t>
            </w:r>
          </w:p>
        </w:tc>
      </w:tr>
      <w:tr>
        <w:tc>
          <w:tcPr>
            <w:tcW w:w="1600" w:type="dxa"/>
            <w:vAlign w:val="top"/>
          </w:tcPr>
          <w:p>
            <w:pPr>
              <w:spacing w:before="0" w:after="0" w:line="240" w:lineRule="auto"/>
              <w:jc w:val="left"/>
            </w:pPr>
            <w:r>
              <w:rPr>
                <w:sz w:val="20"/>
                <w:szCs w:val="20"/>
              </w:rPr>
              <w:t xml:space="preserve">1965</w:t>
            </w:r>
          </w:p>
        </w:tc>
        <w:tc>
          <w:tcPr>
            <w:tcW w:w="7426" w:type="dxa"/>
            <w:vAlign w:val="top"/>
          </w:tcPr>
          <w:p>
            <w:pPr>
              <w:spacing w:before="0" w:after="0" w:line="240" w:lineRule="auto"/>
              <w:jc w:val="left"/>
            </w:pPr>
            <w:r>
              <w:rPr>
                <w:sz w:val="20"/>
                <w:szCs w:val="20"/>
              </w:rPr>
              <w:t xml:space="preserve">BKTN was integrated into Bank Indonesia and then into Bank Negara Indonesia Unit II (Rural Sector) under Presidential Decrees No. 9 and No. 17 of 1965.</w:t>
            </w:r>
          </w:p>
        </w:tc>
      </w:tr>
      <w:tr>
        <w:tc>
          <w:tcPr>
            <w:tcW w:w="1600" w:type="dxa"/>
            <w:vAlign w:val="top"/>
          </w:tcPr>
          <w:p>
            <w:pPr>
              <w:spacing w:before="0" w:after="0" w:line="240" w:lineRule="auto"/>
              <w:jc w:val="left"/>
            </w:pPr>
            <w:r>
              <w:rPr>
                <w:sz w:val="20"/>
                <w:szCs w:val="20"/>
              </w:rPr>
              <w:t xml:space="preserve">1992</w:t>
            </w:r>
          </w:p>
        </w:tc>
        <w:tc>
          <w:tcPr>
            <w:tcW w:w="7426" w:type="dxa"/>
            <w:vAlign w:val="top"/>
          </w:tcPr>
          <w:p>
            <w:pPr>
              <w:spacing w:before="0" w:after="0" w:line="240" w:lineRule="auto"/>
              <w:jc w:val="left"/>
            </w:pPr>
            <w:r>
              <w:rPr>
                <w:sz w:val="20"/>
                <w:szCs w:val="20"/>
              </w:rPr>
              <w:t xml:space="preserve">Became a limited liability company (Persero) on 1 August 1992 under Banking Law No. 7 of 1992 and Government Regulation No. 21 of 1992, wholly owned by the Government.</w:t>
            </w:r>
          </w:p>
        </w:tc>
      </w:tr>
      <w:tr>
        <w:tc>
          <w:tcPr>
            <w:tcW w:w="1600" w:type="dxa"/>
            <w:vAlign w:val="top"/>
          </w:tcPr>
          <w:p>
            <w:pPr>
              <w:spacing w:before="0" w:after="0" w:line="240" w:lineRule="auto"/>
              <w:jc w:val="left"/>
            </w:pPr>
            <w:r>
              <w:rPr>
                <w:sz w:val="20"/>
                <w:szCs w:val="20"/>
              </w:rPr>
              <w:t xml:space="preserve">2003</w:t>
            </w:r>
          </w:p>
        </w:tc>
        <w:tc>
          <w:tcPr>
            <w:tcW w:w="7426" w:type="dxa"/>
            <w:vAlign w:val="top"/>
          </w:tcPr>
          <w:p>
            <w:pPr>
              <w:spacing w:before="0" w:after="0" w:line="240" w:lineRule="auto"/>
              <w:jc w:val="left"/>
            </w:pPr>
            <w:r>
              <w:rPr>
                <w:sz w:val="20"/>
                <w:szCs w:val="20"/>
              </w:rPr>
              <w:t xml:space="preserve">The Government sold 30% of its shares to the public, and the bank became PT Bank Rakyat Indonesia (Persero) Tbk.</w:t>
            </w:r>
          </w:p>
        </w:tc>
      </w:tr>
      <w:tr>
        <w:tc>
          <w:tcPr>
            <w:tcW w:w="1600" w:type="dxa"/>
            <w:vAlign w:val="top"/>
          </w:tcPr>
          <w:p>
            <w:pPr>
              <w:spacing w:before="0" w:after="0" w:line="240" w:lineRule="auto"/>
              <w:jc w:val="left"/>
            </w:pPr>
            <w:r>
              <w:rPr>
                <w:sz w:val="20"/>
                <w:szCs w:val="20"/>
              </w:rPr>
              <w:t xml:space="preserve">2025</w:t>
            </w:r>
          </w:p>
        </w:tc>
        <w:tc>
          <w:tcPr>
            <w:tcW w:w="7426" w:type="dxa"/>
            <w:vAlign w:val="top"/>
          </w:tcPr>
          <w:p>
            <w:pPr>
              <w:spacing w:before="0" w:after="0" w:line="240" w:lineRule="auto"/>
              <w:jc w:val="left"/>
            </w:pPr>
            <w:r>
              <w:rPr>
                <w:sz w:val="20"/>
                <w:szCs w:val="20"/>
              </w:rPr>
              <w:t xml:space="preserve">Marked 130 years of operation, continued its transformation under BRIvolution Reignite, and adopted the BRILiaN Way corporate culture; the state's Series B shares are now held through PT Danantara Asset Management (Persero).</w:t>
            </w:r>
          </w:p>
        </w:tc>
      </w:tr>
    </w:tbl>
    <w:p>
      <w:pPr>
        <w:spacing w:before="0" w:after="60" w:line="240" w:lineRule="auto"/>
        <w:jc w:val="both"/>
      </w:pPr>
    </w:p>
    <w:p>
      <w:pPr>
        <w:keepNext w:val="1"/>
        <w:spacing w:before="240" w:after="120" w:line="360" w:lineRule="auto"/>
        <w:jc w:val="left"/>
      </w:pPr>
      <w:r>
        <w:rPr>
          <w:b w:val="1"/>
          <w:sz w:val="24"/>
          <w:szCs w:val="24"/>
        </w:rPr>
        <w:t xml:space="preserve">2.5 Organizational Structure</w:t>
      </w:r>
    </w:p>
    <w:p>
      <w:pPr>
        <w:spacing w:before="0" w:after="120" w:line="360" w:lineRule="auto"/>
        <w:jc w:val="both"/>
      </w:pPr>
      <w:r>
        <w:rPr>
          <w:sz w:val="24"/>
          <w:szCs w:val="24"/>
        </w:rPr>
        <w:t xml:space="preserve">Figure 2.1 shows BRI's organizational structure. The General Meeting of Shareholders (Rapat Umum Pemegang Saham) is the highest authority. The Board of Commissioners (Dewan Komisaris) supervises the Board of Directors and is supported by committees for audit, nomination and remuneration, risk monitoring, and integrated governance. The President Director (Direktur Utama) leads the Board of Directors, together with the Vice President Director (Wakil Direktur Utama).</w:t>
      </w:r>
    </w:p>
    <w:p>
      <w:pPr>
        <w:keepNext/>
        <w:jc w:val="center"/>
      </w:pPr>
      <w:r>
        <w:drawing>
          <wp:inline>
            <wp:extent cx="5669280" cy="3188970"/>
            <wp:docPr id="2" name="Picture 2"/>
            <wp:cNvGraphicFramePr>
              <a:graphicFrameLocks noChangeAspect="1"/>
            </wp:cNvGraphicFramePr>
            <a:graphic>
              <a:graphicData uri="http://schemas.openxmlformats.org/drawingml/2006/picture">
                <pic:pic>
                  <pic:nvPicPr>
                    <pic:cNvPr id="0" name="bri_org.jpg"/>
                    <pic:cNvPicPr/>
                  </pic:nvPicPr>
                  <pic:blipFill>
                    <a:blip r:embed="rId8"/>
                    <a:stretch>
                      <a:fillRect/>
                    </a:stretch>
                  </pic:blipFill>
                  <pic:spPr>
                    <a:xfrm>
                      <a:off x="0" y="0"/>
                      <a:ext cx="5669280" cy="3188970"/>
                    </a:xfrm>
                    <a:prstGeom prst="rect"/>
                  </pic:spPr>
                </pic:pic>
              </a:graphicData>
            </a:graphic>
          </wp:inline>
        </w:drawing>
      </w:r>
    </w:p>
    <w:p>
      <w:pPr>
        <w:spacing w:before="60" w:after="160" w:line="240" w:lineRule="auto"/>
        <w:jc w:val="center"/>
      </w:pPr>
      <w:r>
        <w:rPr>
          <w:b w:val="1"/>
          <w:sz w:val="20"/>
          <w:szCs w:val="20"/>
        </w:rPr>
        <w:t xml:space="preserve">Figure 2.1 Organizational structure of PT Bank Rakyat Indonesia (Persero) Tbk (source: bri.co.id)</w:t>
      </w:r>
    </w:p>
    <w:p>
      <w:pPr>
        <w:spacing w:before="0" w:after="120" w:line="360" w:lineRule="auto"/>
        <w:jc w:val="both"/>
      </w:pPr>
      <w:r>
        <w:rPr>
          <w:sz w:val="24"/>
          <w:szCs w:val="24"/>
        </w:rPr>
        <w:t xml:space="preserve">Below the President Director and Vice President Director, the bank is organized into directorates: Micro, Operations, Treasury &amp; International Banking, Corporate Banking, Commercial Banking, Consumer Banking, Network &amp; Retail Funding, Information Technology, Risk Management, Human Capital &amp; Compliance, and Finance &amp; Strategy. Senior Executive Vice President (SEVP) units handle Retail Transaction &amp; Funding, Digital, Retail Risk, Wholesale Risk, Human Capital, Corporate Transformation, and Internal Audit. Directors are further supported by committees covering asset and liability management (ALCO), capital and investment, human capital, information technology, procurement, credit and policy, products, transformation, risk management, and ESG. Table 2.6 lists the members of the Board of Commissioners and Board of Directors as published on the BRI website.</w:t>
      </w:r>
    </w:p>
    <w:p>
      <w:pPr>
        <w:keepNext w:val="1"/>
        <w:spacing w:before="120" w:after="60" w:line="240" w:lineRule="auto"/>
        <w:jc w:val="center"/>
      </w:pPr>
      <w:r>
        <w:rPr>
          <w:b w:val="1"/>
          <w:sz w:val="20"/>
          <w:szCs w:val="20"/>
        </w:rPr>
        <w:t xml:space="preserve">Table 2.6 BRI Board of Commissioners and Board of Directors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3800"/>
        <w:gridCol w:w="5226"/>
      </w:tblGrid>
      <w:tr>
        <w:trPr>
          <w:tblHeader w:val="1"/>
        </w:trPr>
        <w:tc>
          <w:tcPr>
            <w:tcW w:w="3800" w:type="dxa"/>
            <w:shd w:val="clear" w:color="auto" w:fill="D9D9D9"/>
            <w:vAlign w:val="top"/>
          </w:tcPr>
          <w:p>
            <w:pPr>
              <w:spacing w:before="0" w:after="0" w:line="240" w:lineRule="auto"/>
              <w:jc w:val="left"/>
            </w:pPr>
            <w:r>
              <w:rPr>
                <w:b w:val="1"/>
                <w:sz w:val="20"/>
                <w:szCs w:val="20"/>
              </w:rPr>
              <w:t xml:space="preserve">Name</w:t>
            </w:r>
          </w:p>
        </w:tc>
        <w:tc>
          <w:tcPr>
            <w:tcW w:w="5226" w:type="dxa"/>
            <w:shd w:val="clear" w:color="auto" w:fill="D9D9D9"/>
            <w:vAlign w:val="top"/>
          </w:tcPr>
          <w:p>
            <w:pPr>
              <w:spacing w:before="0" w:after="0" w:line="240" w:lineRule="auto"/>
              <w:jc w:val="left"/>
            </w:pPr>
            <w:r>
              <w:rPr>
                <w:b w:val="1"/>
                <w:sz w:val="20"/>
                <w:szCs w:val="20"/>
              </w:rPr>
              <w:t xml:space="preserve">Position</w:t>
            </w:r>
          </w:p>
        </w:tc>
      </w:tr>
      <w:tr>
        <w:tc>
          <w:tcPr>
            <w:tcW w:w="3800" w:type="dxa"/>
            <w:vAlign w:val="top"/>
          </w:tcPr>
          <w:p>
            <w:pPr>
              <w:spacing w:before="0" w:after="0" w:line="240" w:lineRule="auto"/>
              <w:jc w:val="left"/>
            </w:pPr>
            <w:r>
              <w:rPr>
                <w:sz w:val="20"/>
                <w:szCs w:val="20"/>
              </w:rPr>
              <w:t xml:space="preserve">Kartika Wirjoatmodjo</w:t>
            </w:r>
          </w:p>
        </w:tc>
        <w:tc>
          <w:tcPr>
            <w:tcW w:w="5226" w:type="dxa"/>
            <w:vAlign w:val="top"/>
          </w:tcPr>
          <w:p>
            <w:pPr>
              <w:spacing w:before="0" w:after="0" w:line="240" w:lineRule="auto"/>
              <w:jc w:val="left"/>
            </w:pPr>
            <w:r>
              <w:rPr>
                <w:sz w:val="20"/>
                <w:szCs w:val="20"/>
              </w:rPr>
              <w:t xml:space="preserve">President Commissioner</w:t>
            </w:r>
          </w:p>
        </w:tc>
      </w:tr>
      <w:tr>
        <w:tc>
          <w:tcPr>
            <w:tcW w:w="3800" w:type="dxa"/>
            <w:vAlign w:val="top"/>
          </w:tcPr>
          <w:p>
            <w:pPr>
              <w:spacing w:before="0" w:after="0" w:line="240" w:lineRule="auto"/>
              <w:jc w:val="left"/>
            </w:pPr>
            <w:r>
              <w:rPr>
                <w:sz w:val="20"/>
                <w:szCs w:val="20"/>
              </w:rPr>
              <w:t xml:space="preserve">Parman Nataatmadja</w:t>
            </w:r>
          </w:p>
        </w:tc>
        <w:tc>
          <w:tcPr>
            <w:tcW w:w="5226" w:type="dxa"/>
            <w:vAlign w:val="top"/>
          </w:tcPr>
          <w:p>
            <w:pPr>
              <w:spacing w:before="0" w:after="0" w:line="240" w:lineRule="auto"/>
              <w:jc w:val="left"/>
            </w:pPr>
            <w:r>
              <w:rPr>
                <w:sz w:val="20"/>
                <w:szCs w:val="20"/>
              </w:rPr>
              <w:t xml:space="preserve">Vice President Commissioner / Independent Commissioner</w:t>
            </w:r>
          </w:p>
        </w:tc>
      </w:tr>
      <w:tr>
        <w:tc>
          <w:tcPr>
            <w:tcW w:w="3800" w:type="dxa"/>
            <w:vAlign w:val="top"/>
          </w:tcPr>
          <w:p>
            <w:pPr>
              <w:spacing w:before="0" w:after="0" w:line="240" w:lineRule="auto"/>
              <w:jc w:val="left"/>
            </w:pPr>
            <w:r>
              <w:rPr>
                <w:sz w:val="20"/>
                <w:szCs w:val="20"/>
              </w:rPr>
              <w:t xml:space="preserve">Awan Nurmawan Nuh</w:t>
            </w:r>
          </w:p>
        </w:tc>
        <w:tc>
          <w:tcPr>
            <w:tcW w:w="5226" w:type="dxa"/>
            <w:vAlign w:val="top"/>
          </w:tcPr>
          <w:p>
            <w:pPr>
              <w:spacing w:before="0" w:after="0" w:line="240" w:lineRule="auto"/>
              <w:jc w:val="left"/>
            </w:pPr>
            <w:r>
              <w:rPr>
                <w:sz w:val="20"/>
                <w:szCs w:val="20"/>
              </w:rPr>
              <w:t xml:space="preserve">Commissioner</w:t>
            </w:r>
          </w:p>
        </w:tc>
      </w:tr>
      <w:tr>
        <w:tc>
          <w:tcPr>
            <w:tcW w:w="3800" w:type="dxa"/>
            <w:vAlign w:val="top"/>
          </w:tcPr>
          <w:p>
            <w:pPr>
              <w:spacing w:before="0" w:after="0" w:line="240" w:lineRule="auto"/>
              <w:jc w:val="left"/>
            </w:pPr>
            <w:r>
              <w:rPr>
                <w:sz w:val="20"/>
                <w:szCs w:val="20"/>
              </w:rPr>
              <w:t xml:space="preserve">Helvi Yuni Moraza</w:t>
            </w:r>
          </w:p>
        </w:tc>
        <w:tc>
          <w:tcPr>
            <w:tcW w:w="5226" w:type="dxa"/>
            <w:vAlign w:val="top"/>
          </w:tcPr>
          <w:p>
            <w:pPr>
              <w:spacing w:before="0" w:after="0" w:line="240" w:lineRule="auto"/>
              <w:jc w:val="left"/>
            </w:pPr>
            <w:r>
              <w:rPr>
                <w:sz w:val="20"/>
                <w:szCs w:val="20"/>
              </w:rPr>
              <w:t xml:space="preserve">Commissioner</w:t>
            </w:r>
          </w:p>
        </w:tc>
      </w:tr>
      <w:tr>
        <w:tc>
          <w:tcPr>
            <w:tcW w:w="3800" w:type="dxa"/>
            <w:vAlign w:val="top"/>
          </w:tcPr>
          <w:p>
            <w:pPr>
              <w:spacing w:before="0" w:after="0" w:line="240" w:lineRule="auto"/>
              <w:jc w:val="left"/>
            </w:pPr>
            <w:r>
              <w:rPr>
                <w:sz w:val="20"/>
                <w:szCs w:val="20"/>
              </w:rPr>
              <w:t xml:space="preserve">Edi Susianto</w:t>
            </w:r>
          </w:p>
        </w:tc>
        <w:tc>
          <w:tcPr>
            <w:tcW w:w="5226" w:type="dxa"/>
            <w:vAlign w:val="top"/>
          </w:tcPr>
          <w:p>
            <w:pPr>
              <w:spacing w:before="0" w:after="0" w:line="240" w:lineRule="auto"/>
              <w:jc w:val="left"/>
            </w:pPr>
            <w:r>
              <w:rPr>
                <w:sz w:val="20"/>
                <w:szCs w:val="20"/>
              </w:rPr>
              <w:t xml:space="preserve">Independent Commissioner</w:t>
            </w:r>
          </w:p>
        </w:tc>
      </w:tr>
      <w:tr>
        <w:tc>
          <w:tcPr>
            <w:tcW w:w="3800" w:type="dxa"/>
            <w:vAlign w:val="top"/>
          </w:tcPr>
          <w:p>
            <w:pPr>
              <w:spacing w:before="0" w:after="0" w:line="240" w:lineRule="auto"/>
              <w:jc w:val="left"/>
            </w:pPr>
            <w:r>
              <w:rPr>
                <w:sz w:val="20"/>
                <w:szCs w:val="20"/>
              </w:rPr>
              <w:t xml:space="preserve">Lukmanul Khakim</w:t>
            </w:r>
          </w:p>
        </w:tc>
        <w:tc>
          <w:tcPr>
            <w:tcW w:w="5226" w:type="dxa"/>
            <w:vAlign w:val="top"/>
          </w:tcPr>
          <w:p>
            <w:pPr>
              <w:spacing w:before="0" w:after="0" w:line="240" w:lineRule="auto"/>
              <w:jc w:val="left"/>
            </w:pPr>
            <w:r>
              <w:rPr>
                <w:sz w:val="20"/>
                <w:szCs w:val="20"/>
              </w:rPr>
              <w:t xml:space="preserve">Independent Commissioner</w:t>
            </w:r>
          </w:p>
        </w:tc>
      </w:tr>
      <w:tr>
        <w:tc>
          <w:tcPr>
            <w:tcW w:w="3800" w:type="dxa"/>
            <w:vAlign w:val="top"/>
          </w:tcPr>
          <w:p>
            <w:pPr>
              <w:spacing w:before="0" w:after="0" w:line="240" w:lineRule="auto"/>
              <w:jc w:val="left"/>
            </w:pPr>
            <w:r>
              <w:rPr>
                <w:sz w:val="20"/>
                <w:szCs w:val="20"/>
              </w:rPr>
              <w:t xml:space="preserve">Hery Gunardi</w:t>
            </w:r>
          </w:p>
        </w:tc>
        <w:tc>
          <w:tcPr>
            <w:tcW w:w="5226" w:type="dxa"/>
            <w:vAlign w:val="top"/>
          </w:tcPr>
          <w:p>
            <w:pPr>
              <w:spacing w:before="0" w:after="0" w:line="240" w:lineRule="auto"/>
              <w:jc w:val="left"/>
            </w:pPr>
            <w:r>
              <w:rPr>
                <w:sz w:val="20"/>
                <w:szCs w:val="20"/>
              </w:rPr>
              <w:t xml:space="preserve">President Director</w:t>
            </w:r>
          </w:p>
        </w:tc>
      </w:tr>
      <w:tr>
        <w:tc>
          <w:tcPr>
            <w:tcW w:w="3800" w:type="dxa"/>
            <w:vAlign w:val="top"/>
          </w:tcPr>
          <w:p>
            <w:pPr>
              <w:spacing w:before="0" w:after="0" w:line="240" w:lineRule="auto"/>
              <w:jc w:val="left"/>
            </w:pPr>
            <w:r>
              <w:rPr>
                <w:sz w:val="20"/>
                <w:szCs w:val="20"/>
              </w:rPr>
              <w:t xml:space="preserve">Viviana Dyah Ayu Retno</w:t>
            </w:r>
          </w:p>
        </w:tc>
        <w:tc>
          <w:tcPr>
            <w:tcW w:w="5226" w:type="dxa"/>
            <w:vAlign w:val="top"/>
          </w:tcPr>
          <w:p>
            <w:pPr>
              <w:spacing w:before="0" w:after="0" w:line="240" w:lineRule="auto"/>
              <w:jc w:val="left"/>
            </w:pPr>
            <w:r>
              <w:rPr>
                <w:sz w:val="20"/>
                <w:szCs w:val="20"/>
              </w:rPr>
              <w:t xml:space="preserve">Vice President Director</w:t>
            </w:r>
          </w:p>
        </w:tc>
      </w:tr>
      <w:tr>
        <w:tc>
          <w:tcPr>
            <w:tcW w:w="3800" w:type="dxa"/>
            <w:vAlign w:val="top"/>
          </w:tcPr>
          <w:p>
            <w:pPr>
              <w:spacing w:before="0" w:after="0" w:line="240" w:lineRule="auto"/>
              <w:jc w:val="left"/>
            </w:pPr>
            <w:r>
              <w:rPr>
                <w:sz w:val="20"/>
                <w:szCs w:val="20"/>
              </w:rPr>
              <w:t xml:space="preserve">Achmad Royadi</w:t>
            </w:r>
          </w:p>
        </w:tc>
        <w:tc>
          <w:tcPr>
            <w:tcW w:w="5226" w:type="dxa"/>
            <w:vAlign w:val="top"/>
          </w:tcPr>
          <w:p>
            <w:pPr>
              <w:spacing w:before="0" w:after="0" w:line="240" w:lineRule="auto"/>
              <w:jc w:val="left"/>
            </w:pPr>
            <w:r>
              <w:rPr>
                <w:sz w:val="20"/>
                <w:szCs w:val="20"/>
              </w:rPr>
              <w:t xml:space="preserve">Director of Finance &amp; Strategy</w:t>
            </w:r>
          </w:p>
        </w:tc>
      </w:tr>
      <w:tr>
        <w:tc>
          <w:tcPr>
            <w:tcW w:w="3800" w:type="dxa"/>
            <w:vAlign w:val="top"/>
          </w:tcPr>
          <w:p>
            <w:pPr>
              <w:spacing w:before="0" w:after="0" w:line="240" w:lineRule="auto"/>
              <w:jc w:val="left"/>
            </w:pPr>
            <w:r>
              <w:rPr>
                <w:sz w:val="20"/>
                <w:szCs w:val="20"/>
              </w:rPr>
              <w:t xml:space="preserve">Aquarius Rudianto</w:t>
            </w:r>
          </w:p>
        </w:tc>
        <w:tc>
          <w:tcPr>
            <w:tcW w:w="5226" w:type="dxa"/>
            <w:vAlign w:val="top"/>
          </w:tcPr>
          <w:p>
            <w:pPr>
              <w:spacing w:before="0" w:after="0" w:line="240" w:lineRule="auto"/>
              <w:jc w:val="left"/>
            </w:pPr>
            <w:r>
              <w:rPr>
                <w:sz w:val="20"/>
                <w:szCs w:val="20"/>
              </w:rPr>
              <w:t xml:space="preserve">Director of Network and Retail Funding</w:t>
            </w:r>
          </w:p>
        </w:tc>
      </w:tr>
      <w:tr>
        <w:tc>
          <w:tcPr>
            <w:tcW w:w="3800" w:type="dxa"/>
            <w:vAlign w:val="top"/>
          </w:tcPr>
          <w:p>
            <w:pPr>
              <w:spacing w:before="0" w:after="0" w:line="240" w:lineRule="auto"/>
              <w:jc w:val="left"/>
            </w:pPr>
            <w:r>
              <w:rPr>
                <w:sz w:val="20"/>
                <w:szCs w:val="20"/>
              </w:rPr>
              <w:t xml:space="preserve">Alexander Dippo Paris Y. S.</w:t>
            </w:r>
          </w:p>
        </w:tc>
        <w:tc>
          <w:tcPr>
            <w:tcW w:w="5226" w:type="dxa"/>
            <w:vAlign w:val="top"/>
          </w:tcPr>
          <w:p>
            <w:pPr>
              <w:spacing w:before="0" w:after="0" w:line="240" w:lineRule="auto"/>
              <w:jc w:val="left"/>
            </w:pPr>
            <w:r>
              <w:rPr>
                <w:sz w:val="20"/>
                <w:szCs w:val="20"/>
              </w:rPr>
              <w:t xml:space="preserve">Director of Commercial Banking</w:t>
            </w:r>
          </w:p>
        </w:tc>
      </w:tr>
      <w:tr>
        <w:tc>
          <w:tcPr>
            <w:tcW w:w="3800" w:type="dxa"/>
            <w:vAlign w:val="top"/>
          </w:tcPr>
          <w:p>
            <w:pPr>
              <w:spacing w:before="0" w:after="0" w:line="240" w:lineRule="auto"/>
              <w:jc w:val="left"/>
            </w:pPr>
            <w:r>
              <w:rPr>
                <w:sz w:val="20"/>
                <w:szCs w:val="20"/>
              </w:rPr>
              <w:t xml:space="preserve">Saladin Dharma Nugraha Effendi</w:t>
            </w:r>
          </w:p>
        </w:tc>
        <w:tc>
          <w:tcPr>
            <w:tcW w:w="5226" w:type="dxa"/>
            <w:vAlign w:val="top"/>
          </w:tcPr>
          <w:p>
            <w:pPr>
              <w:spacing w:before="0" w:after="0" w:line="240" w:lineRule="auto"/>
              <w:jc w:val="left"/>
            </w:pPr>
            <w:r>
              <w:rPr>
                <w:sz w:val="20"/>
                <w:szCs w:val="20"/>
              </w:rPr>
              <w:t xml:space="preserve">Director of Information Technology</w:t>
            </w:r>
          </w:p>
        </w:tc>
      </w:tr>
      <w:tr>
        <w:tc>
          <w:tcPr>
            <w:tcW w:w="3800" w:type="dxa"/>
            <w:vAlign w:val="top"/>
          </w:tcPr>
          <w:p>
            <w:pPr>
              <w:spacing w:before="0" w:after="0" w:line="240" w:lineRule="auto"/>
              <w:jc w:val="left"/>
            </w:pPr>
            <w:r>
              <w:rPr>
                <w:sz w:val="20"/>
                <w:szCs w:val="20"/>
              </w:rPr>
              <w:t xml:space="preserve">Riko Tasmaya</w:t>
            </w:r>
          </w:p>
        </w:tc>
        <w:tc>
          <w:tcPr>
            <w:tcW w:w="5226" w:type="dxa"/>
            <w:vAlign w:val="top"/>
          </w:tcPr>
          <w:p>
            <w:pPr>
              <w:spacing w:before="0" w:after="0" w:line="240" w:lineRule="auto"/>
              <w:jc w:val="left"/>
            </w:pPr>
            <w:r>
              <w:rPr>
                <w:sz w:val="20"/>
                <w:szCs w:val="20"/>
              </w:rPr>
              <w:t xml:space="preserve">Director of Corporate Banking</w:t>
            </w:r>
          </w:p>
        </w:tc>
      </w:tr>
      <w:tr>
        <w:tc>
          <w:tcPr>
            <w:tcW w:w="3800" w:type="dxa"/>
            <w:vAlign w:val="top"/>
          </w:tcPr>
          <w:p>
            <w:pPr>
              <w:spacing w:before="0" w:after="0" w:line="240" w:lineRule="auto"/>
              <w:jc w:val="left"/>
            </w:pPr>
            <w:r>
              <w:rPr>
                <w:sz w:val="20"/>
                <w:szCs w:val="20"/>
              </w:rPr>
              <w:t xml:space="preserve">Hakim Putratama</w:t>
            </w:r>
          </w:p>
        </w:tc>
        <w:tc>
          <w:tcPr>
            <w:tcW w:w="5226" w:type="dxa"/>
            <w:vAlign w:val="top"/>
          </w:tcPr>
          <w:p>
            <w:pPr>
              <w:spacing w:before="0" w:after="0" w:line="240" w:lineRule="auto"/>
              <w:jc w:val="left"/>
            </w:pPr>
            <w:r>
              <w:rPr>
                <w:sz w:val="20"/>
                <w:szCs w:val="20"/>
              </w:rPr>
              <w:t xml:space="preserve">Director of Operations</w:t>
            </w:r>
          </w:p>
        </w:tc>
      </w:tr>
      <w:tr>
        <w:tc>
          <w:tcPr>
            <w:tcW w:w="3800" w:type="dxa"/>
            <w:vAlign w:val="top"/>
          </w:tcPr>
          <w:p>
            <w:pPr>
              <w:spacing w:before="0" w:after="0" w:line="240" w:lineRule="auto"/>
              <w:jc w:val="left"/>
            </w:pPr>
            <w:r>
              <w:rPr>
                <w:sz w:val="20"/>
                <w:szCs w:val="20"/>
              </w:rPr>
              <w:t xml:space="preserve">Akhmad Purwakajaya</w:t>
            </w:r>
          </w:p>
        </w:tc>
        <w:tc>
          <w:tcPr>
            <w:tcW w:w="5226" w:type="dxa"/>
            <w:vAlign w:val="top"/>
          </w:tcPr>
          <w:p>
            <w:pPr>
              <w:spacing w:before="0" w:after="0" w:line="240" w:lineRule="auto"/>
              <w:jc w:val="left"/>
            </w:pPr>
            <w:r>
              <w:rPr>
                <w:sz w:val="20"/>
                <w:szCs w:val="20"/>
              </w:rPr>
              <w:t xml:space="preserve">Director of Micro</w:t>
            </w:r>
          </w:p>
        </w:tc>
      </w:tr>
      <w:tr>
        <w:tc>
          <w:tcPr>
            <w:tcW w:w="3800" w:type="dxa"/>
            <w:vAlign w:val="top"/>
          </w:tcPr>
          <w:p>
            <w:pPr>
              <w:spacing w:before="0" w:after="0" w:line="240" w:lineRule="auto"/>
              <w:jc w:val="left"/>
            </w:pPr>
            <w:r>
              <w:rPr>
                <w:sz w:val="20"/>
                <w:szCs w:val="20"/>
              </w:rPr>
              <w:t xml:space="preserve">Farida Thamrin</w:t>
            </w:r>
          </w:p>
        </w:tc>
        <w:tc>
          <w:tcPr>
            <w:tcW w:w="5226" w:type="dxa"/>
            <w:vAlign w:val="top"/>
          </w:tcPr>
          <w:p>
            <w:pPr>
              <w:spacing w:before="0" w:after="0" w:line="240" w:lineRule="auto"/>
              <w:jc w:val="left"/>
            </w:pPr>
            <w:r>
              <w:rPr>
                <w:sz w:val="20"/>
                <w:szCs w:val="20"/>
              </w:rPr>
              <w:t xml:space="preserve">Director of Treasury and International Banking</w:t>
            </w:r>
          </w:p>
        </w:tc>
      </w:tr>
      <w:tr>
        <w:tc>
          <w:tcPr>
            <w:tcW w:w="3800" w:type="dxa"/>
            <w:vAlign w:val="top"/>
          </w:tcPr>
          <w:p>
            <w:pPr>
              <w:spacing w:before="0" w:after="0" w:line="240" w:lineRule="auto"/>
              <w:jc w:val="left"/>
            </w:pPr>
            <w:r>
              <w:rPr>
                <w:sz w:val="20"/>
                <w:szCs w:val="20"/>
              </w:rPr>
              <w:t xml:space="preserve">Ety Yuniarti</w:t>
            </w:r>
          </w:p>
        </w:tc>
        <w:tc>
          <w:tcPr>
            <w:tcW w:w="5226" w:type="dxa"/>
            <w:vAlign w:val="top"/>
          </w:tcPr>
          <w:p>
            <w:pPr>
              <w:spacing w:before="0" w:after="0" w:line="240" w:lineRule="auto"/>
              <w:jc w:val="left"/>
            </w:pPr>
            <w:r>
              <w:rPr>
                <w:sz w:val="20"/>
                <w:szCs w:val="20"/>
              </w:rPr>
              <w:t xml:space="preserve">Director of Risk Management</w:t>
            </w:r>
          </w:p>
        </w:tc>
      </w:tr>
      <w:tr>
        <w:tc>
          <w:tcPr>
            <w:tcW w:w="3800" w:type="dxa"/>
            <w:vAlign w:val="top"/>
          </w:tcPr>
          <w:p>
            <w:pPr>
              <w:spacing w:before="0" w:after="0" w:line="240" w:lineRule="auto"/>
              <w:jc w:val="left"/>
            </w:pPr>
            <w:r>
              <w:rPr>
                <w:sz w:val="20"/>
                <w:szCs w:val="20"/>
              </w:rPr>
              <w:t xml:space="preserve">Aris Hartanto</w:t>
            </w:r>
          </w:p>
        </w:tc>
        <w:tc>
          <w:tcPr>
            <w:tcW w:w="5226" w:type="dxa"/>
            <w:vAlign w:val="top"/>
          </w:tcPr>
          <w:p>
            <w:pPr>
              <w:spacing w:before="0" w:after="0" w:line="240" w:lineRule="auto"/>
              <w:jc w:val="left"/>
            </w:pPr>
            <w:r>
              <w:rPr>
                <w:sz w:val="20"/>
                <w:szCs w:val="20"/>
              </w:rPr>
              <w:t xml:space="preserve">Director of Consumer Banking</w:t>
            </w:r>
          </w:p>
        </w:tc>
      </w:tr>
      <w:tr>
        <w:tc>
          <w:tcPr>
            <w:tcW w:w="3800" w:type="dxa"/>
            <w:vAlign w:val="top"/>
          </w:tcPr>
          <w:p>
            <w:pPr>
              <w:spacing w:before="0" w:after="0" w:line="240" w:lineRule="auto"/>
              <w:jc w:val="left"/>
            </w:pPr>
            <w:r>
              <w:rPr>
                <w:sz w:val="20"/>
                <w:szCs w:val="20"/>
              </w:rPr>
              <w:t xml:space="preserve">Mahdi Yusuf</w:t>
            </w:r>
          </w:p>
        </w:tc>
        <w:tc>
          <w:tcPr>
            <w:tcW w:w="5226" w:type="dxa"/>
            <w:vAlign w:val="top"/>
          </w:tcPr>
          <w:p>
            <w:pPr>
              <w:spacing w:before="0" w:after="0" w:line="240" w:lineRule="auto"/>
              <w:jc w:val="left"/>
            </w:pPr>
            <w:r>
              <w:rPr>
                <w:sz w:val="20"/>
                <w:szCs w:val="20"/>
              </w:rPr>
              <w:t xml:space="preserve">Director of Legal &amp; Compliance</w:t>
            </w:r>
          </w:p>
        </w:tc>
      </w:tr>
    </w:tbl>
    <w:p>
      <w:pPr>
        <w:spacing w:before="0" w:after="60" w:line="240" w:lineRule="auto"/>
        <w:jc w:val="both"/>
      </w:pPr>
    </w:p>
    <w:p>
      <w:pPr>
        <w:keepNext w:val="1"/>
        <w:spacing w:before="240" w:after="120" w:line="360" w:lineRule="auto"/>
        <w:jc w:val="left"/>
      </w:pPr>
      <w:r>
        <w:rPr>
          <w:b w:val="1"/>
          <w:sz w:val="24"/>
          <w:szCs w:val="24"/>
        </w:rPr>
        <w:t xml:space="preserve">2.6 Internship Placement: Regional Office Malang</w:t>
      </w:r>
    </w:p>
    <w:p>
      <w:pPr>
        <w:spacing w:before="0" w:after="120" w:line="360" w:lineRule="auto"/>
        <w:jc w:val="both"/>
      </w:pPr>
      <w:r>
        <w:rPr>
          <w:sz w:val="24"/>
          <w:szCs w:val="24"/>
        </w:rPr>
        <w:t xml:space="preserve">BRI's domestic network is managed through 18 regional offices (Kantor Wilayah), eight of them in Java. The internship took place at the Regional Office (Kantor Wilayah) Malang, which oversees 25 branch offices in East Java: Banyuwangi, Batu, Blitar, Bondowoso, Genteng, Jember, Kediri, Kepanjen, Lumajang, Madiun, Magetan, Malang Kawi, Malang Marthadinata, Malang Soekarno Hatta, Malang Sutoyo, Nganjuk, Ngawi, Pacitan, Pare, Pasuruan, Ponorogo, Probolinggo, Situbondo, Trenggalek, and Tulungagung. The regional office coordinates and monitors the performance of these branches, and relies on recurring reports and internal systems to do so. During the internship I worked with two of its divisions: the IT division, which manages the office's IT devices and systems, and the RTB division, which prepares the regional performance reports for the branch network. The work done for each division is described in Chapter 3.</w:t>
      </w:r>
    </w:p>
    <w:p w:rsidR="00000000" w:rsidDel="00000000" w:rsidP="00000000" w:rsidRDefault="00000000" w:rsidRPr="00000000" w14:paraId="0000001A">
      <w:pPr>
        <w:rPr>
          <w:b w:val="1"/>
          <w:sz w:val="28"/>
          <w:szCs w:val="28"/>
        </w:rPr>
      </w:pPr>
      <w:r w:rsidDel="00000000" w:rsidR="00000000" w:rsidRPr="00000000">
        <w:rPr>
          <w:rtl w:val="0"/>
        </w:rPr>
      </w:r>
    </w:p>
    <w:p w:rsidR="00000000" w:rsidDel="00000000" w:rsidP="00000000" w:rsidRDefault="00000000" w:rsidRPr="00000000" w14:paraId="0000001B">
      <w:pPr>
        <w:rPr>
          <w:b w:val="1"/>
          <w:sz w:val="28"/>
          <w:szCs w:val="28"/>
        </w:rPr>
      </w:pPr>
      <w:r w:rsidDel="00000000" w:rsidR="00000000" w:rsidRPr="00000000">
        <w:rPr>
          <w:b w:val="1"/>
          <w:sz w:val="28"/>
          <w:szCs w:val="28"/>
          <w:rtl w:val="0"/>
        </w:rPr>
        <w:t xml:space="preserve">Chapter 3. INTERNSHIP ACTIVITY</w:t>
      </w:r>
    </w:p>
    <w:p>
      <w:pPr>
        <w:spacing w:before="0" w:after="120" w:line="360" w:lineRule="auto"/>
        <w:jc w:val="both"/>
      </w:pPr>
      <w:r>
        <w:rPr>
          <w:sz w:val="24"/>
          <w:szCs w:val="24"/>
        </w:rPr>
        <w:t xml:space="preserve">My internship involved a range of tasks. This chapter covers two of them: software projects I worked on for two different divisions. They are grouped by the division each project served. Section 3.1 covers the IT asset management system built for the IT division, and Section 3.2 covers the Excel report automation tool built for the RTB division. The technical design of both systems is described in Chapter 5.</w:t>
      </w:r>
    </w:p>
    <w:p>
      <w:pPr>
        <w:keepNext w:val="1"/>
        <w:spacing w:before="240" w:after="120" w:line="360" w:lineRule="auto"/>
        <w:jc w:val="left"/>
      </w:pPr>
      <w:r>
        <w:rPr>
          <w:b w:val="1"/>
          <w:sz w:val="24"/>
          <w:szCs w:val="24"/>
        </w:rPr>
        <w:t xml:space="preserve">3.1 IT Division: Perangkat IT Asset Management System</w:t>
      </w:r>
    </w:p>
    <w:p>
      <w:pPr>
        <w:keepNext w:val="1"/>
        <w:spacing w:before="120" w:after="60" w:line="360" w:lineRule="auto"/>
        <w:jc w:val="left"/>
      </w:pPr>
      <w:r>
        <w:rPr>
          <w:b w:val="1"/>
          <w:i w:val="1"/>
          <w:sz w:val="24"/>
          <w:szCs w:val="24"/>
        </w:rPr>
        <w:t xml:space="preserve">3.1.1 Assignment Overview</w:t>
      </w:r>
    </w:p>
    <w:p>
      <w:pPr>
        <w:spacing w:before="0" w:after="120" w:line="360" w:lineRule="auto"/>
        <w:jc w:val="both"/>
      </w:pPr>
      <w:r>
        <w:rPr>
          <w:sz w:val="24"/>
          <w:szCs w:val="24"/>
        </w:rPr>
        <w:t xml:space="preserve">The IT division keeps records of the company's IT devices (PCs, laptops, and printers). For each device it tracks which employee holds it, its current status (in use, under maintenance, in storage, or set aside for auction), and the handover documents behind each assignment. The division already had an internal web application for this called Perangkat IT ("IT devices"). It used React for the user interface, Express (Node.js) for the server, and PostgreSQL for the database.</w:t>
      </w:r>
    </w:p>
    <w:p>
      <w:pPr>
        <w:spacing w:before="0" w:after="120" w:line="360" w:lineRule="auto"/>
        <w:jc w:val="both"/>
      </w:pPr>
      <w:r>
        <w:rPr>
          <w:sz w:val="24"/>
          <w:szCs w:val="24"/>
        </w:rPr>
        <w:t xml:space="preserve">The application handled basic data entry, but it was not safe or reliable enough for everyday use. Login tokens were kept in the browser's localStorage, most data could be read without logging in, any website was allowed to call the API, uploaded handover documents could be downloaded by anyone who knew the link, and there were no automated tests. My assignment was to make the application dependable enough for the division to use, without changing its business rules or its existing database schema. Once that was done, I added two features the division requested: an in-app data backup, and a separate, limited view for ordinary employees.</w:t>
      </w:r>
    </w:p>
    <w:p>
      <w:pPr>
        <w:keepNext w:val="1"/>
        <w:spacing w:before="120" w:after="60" w:line="360" w:lineRule="auto"/>
        <w:jc w:val="left"/>
      </w:pPr>
      <w:r>
        <w:rPr>
          <w:b w:val="1"/>
          <w:i w:val="1"/>
          <w:sz w:val="24"/>
          <w:szCs w:val="24"/>
        </w:rPr>
        <w:t xml:space="preserve">3.1.2 Activities</w:t>
      </w:r>
    </w:p>
    <w:p>
      <w:pPr>
        <w:spacing w:before="0" w:after="120" w:line="360" w:lineRule="auto"/>
        <w:jc w:val="both"/>
      </w:pPr>
      <w:r>
        <w:rPr>
          <w:sz w:val="24"/>
          <w:szCs w:val="24"/>
        </w:rPr>
        <w:t xml:space="preserve">I split the work into phases. Each phase had a written plan, a list of exit criteria, and a full test run before the next phase started. Table 3.1 summarises the phases.</w:t>
      </w:r>
    </w:p>
    <w:p>
      <w:pPr>
        <w:keepNext w:val="1"/>
        <w:spacing w:before="120" w:after="60" w:line="240" w:lineRule="auto"/>
        <w:jc w:val="center"/>
      </w:pPr>
      <w:r>
        <w:rPr>
          <w:b w:val="1"/>
          <w:sz w:val="20"/>
          <w:szCs w:val="20"/>
        </w:rPr>
        <w:t xml:space="preserve">Table 3.1 Activities carried out for the IT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900"/>
        <w:gridCol w:w="4826"/>
        <w:gridCol w:w="2300"/>
      </w:tblGrid>
      <w:tr>
        <w:trPr>
          <w:tblHeader w:val="1"/>
        </w:trPr>
        <w:tc>
          <w:tcPr>
            <w:tcW w:w="1900" w:type="dxa"/>
            <w:shd w:val="clear" w:color="auto" w:fill="D9D9D9"/>
            <w:vAlign w:val="top"/>
          </w:tcPr>
          <w:p>
            <w:pPr>
              <w:spacing w:before="0" w:after="0" w:line="240" w:lineRule="auto"/>
              <w:jc w:val="left"/>
            </w:pPr>
            <w:r>
              <w:rPr>
                <w:b w:val="1"/>
                <w:sz w:val="20"/>
                <w:szCs w:val="20"/>
              </w:rPr>
              <w:t xml:space="preserve">Phase</w:t>
            </w:r>
          </w:p>
        </w:tc>
        <w:tc>
          <w:tcPr>
            <w:tcW w:w="4826" w:type="dxa"/>
            <w:shd w:val="clear" w:color="auto" w:fill="D9D9D9"/>
            <w:vAlign w:val="top"/>
          </w:tcPr>
          <w:p>
            <w:pPr>
              <w:spacing w:before="0" w:after="0" w:line="240" w:lineRule="auto"/>
              <w:jc w:val="left"/>
            </w:pPr>
            <w:r>
              <w:rPr>
                <w:b w:val="1"/>
                <w:sz w:val="20"/>
                <w:szCs w:val="20"/>
              </w:rPr>
              <w:t xml:space="preserve">Activity</w:t>
            </w:r>
          </w:p>
        </w:tc>
        <w:tc>
          <w:tcPr>
            <w:tcW w:w="2300" w:type="dxa"/>
            <w:shd w:val="clear" w:color="auto" w:fill="D9D9D9"/>
            <w:vAlign w:val="top"/>
          </w:tcPr>
          <w:p>
            <w:pPr>
              <w:spacing w:before="0" w:after="0" w:line="240" w:lineRule="auto"/>
              <w:jc w:val="left"/>
            </w:pPr>
            <w:r>
              <w:rPr>
                <w:b w:val="1"/>
                <w:sz w:val="20"/>
                <w:szCs w:val="20"/>
              </w:rPr>
              <w:t xml:space="preserve">Output</w:t>
            </w:r>
          </w:p>
        </w:tc>
      </w:tr>
      <w:tr>
        <w:tc>
          <w:tcPr>
            <w:tcW w:w="1900" w:type="dxa"/>
            <w:vAlign w:val="top"/>
          </w:tcPr>
          <w:p>
            <w:pPr>
              <w:spacing w:before="0" w:after="0" w:line="240" w:lineRule="auto"/>
              <w:jc w:val="left"/>
            </w:pPr>
            <w:r>
              <w:rPr>
                <w:sz w:val="20"/>
                <w:szCs w:val="20"/>
              </w:rPr>
              <w:t xml:space="preserve">0. Preparation</w:t>
            </w:r>
          </w:p>
        </w:tc>
        <w:tc>
          <w:tcPr>
            <w:tcW w:w="4826" w:type="dxa"/>
            <w:vAlign w:val="top"/>
          </w:tcPr>
          <w:p>
            <w:pPr>
              <w:spacing w:before="0" w:after="0" w:line="240" w:lineRule="auto"/>
              <w:jc w:val="left"/>
            </w:pPr>
            <w:r>
              <w:rPr>
                <w:sz w:val="20"/>
                <w:szCs w:val="20"/>
              </w:rPr>
              <w:t xml:space="preserve">Set up PostgreSQL locally, restored the existing database, mapped the codebase, and wrote a technical design document (TDD) describing the current and target state.</w:t>
            </w:r>
          </w:p>
        </w:tc>
        <w:tc>
          <w:tcPr>
            <w:tcW w:w="2300" w:type="dxa"/>
            <w:vAlign w:val="top"/>
          </w:tcPr>
          <w:p>
            <w:pPr>
              <w:spacing w:before="0" w:after="0" w:line="240" w:lineRule="auto"/>
              <w:jc w:val="left"/>
            </w:pPr>
            <w:r>
              <w:rPr>
                <w:sz w:val="20"/>
                <w:szCs w:val="20"/>
              </w:rPr>
              <w:t xml:space="preserve">Working local environment; TDD</w:t>
            </w:r>
          </w:p>
        </w:tc>
      </w:tr>
      <w:tr>
        <w:tc>
          <w:tcPr>
            <w:tcW w:w="1900" w:type="dxa"/>
            <w:vAlign w:val="top"/>
          </w:tcPr>
          <w:p>
            <w:pPr>
              <w:spacing w:before="0" w:after="0" w:line="240" w:lineRule="auto"/>
              <w:jc w:val="left"/>
            </w:pPr>
            <w:r>
              <w:rPr>
                <w:sz w:val="20"/>
                <w:szCs w:val="20"/>
              </w:rPr>
              <w:t xml:space="preserve">1. Security foundation</w:t>
            </w:r>
          </w:p>
        </w:tc>
        <w:tc>
          <w:tcPr>
            <w:tcW w:w="4826" w:type="dxa"/>
            <w:vAlign w:val="top"/>
          </w:tcPr>
          <w:p>
            <w:pPr>
              <w:spacing w:before="0" w:after="0" w:line="240" w:lineRule="auto"/>
              <w:jc w:val="left"/>
            </w:pPr>
            <w:r>
              <w:rPr>
                <w:sz w:val="20"/>
                <w:szCs w:val="20"/>
              </w:rPr>
              <w:t xml:space="preserve">Moved the login token into an httpOnly cookie, required login on every API route, restricted all data changes to administrators, limited which websites may call the API, added security headers and request rate limiting, and served uploaded documents only to logged-in users.</w:t>
            </w:r>
          </w:p>
        </w:tc>
        <w:tc>
          <w:tcPr>
            <w:tcW w:w="2300" w:type="dxa"/>
            <w:vAlign w:val="top"/>
          </w:tcPr>
          <w:p>
            <w:pPr>
              <w:spacing w:before="0" w:after="0" w:line="240" w:lineRule="auto"/>
              <w:jc w:val="left"/>
            </w:pPr>
            <w:r>
              <w:rPr>
                <w:sz w:val="20"/>
                <w:szCs w:val="20"/>
              </w:rPr>
              <w:t xml:space="preserve">Closed the main security gaps without changing business rules</w:t>
            </w:r>
          </w:p>
        </w:tc>
      </w:tr>
      <w:tr>
        <w:tc>
          <w:tcPr>
            <w:tcW w:w="1900" w:type="dxa"/>
            <w:vAlign w:val="top"/>
          </w:tcPr>
          <w:p>
            <w:pPr>
              <w:spacing w:before="0" w:after="0" w:line="240" w:lineRule="auto"/>
              <w:jc w:val="left"/>
            </w:pPr>
            <w:r>
              <w:rPr>
                <w:sz w:val="20"/>
                <w:szCs w:val="20"/>
              </w:rPr>
              <w:t xml:space="preserve">2. Testing and code structure</w:t>
            </w:r>
          </w:p>
        </w:tc>
        <w:tc>
          <w:tcPr>
            <w:tcW w:w="4826" w:type="dxa"/>
            <w:vAlign w:val="top"/>
          </w:tcPr>
          <w:p>
            <w:pPr>
              <w:spacing w:before="0" w:after="0" w:line="240" w:lineRule="auto"/>
              <w:jc w:val="left"/>
            </w:pPr>
            <w:r>
              <w:rPr>
                <w:sz w:val="20"/>
                <w:szCs w:val="20"/>
              </w:rPr>
              <w:t xml:space="preserve">Built an automated backend test suite against a real test database and reorganised the backend so that business rules and SQL queries live in separate service and repository layers.</w:t>
            </w:r>
          </w:p>
        </w:tc>
        <w:tc>
          <w:tcPr>
            <w:tcW w:w="2300" w:type="dxa"/>
            <w:vAlign w:val="top"/>
          </w:tcPr>
          <w:p>
            <w:pPr>
              <w:spacing w:before="0" w:after="0" w:line="240" w:lineRule="auto"/>
              <w:jc w:val="left"/>
            </w:pPr>
            <w:r>
              <w:rPr>
                <w:sz w:val="20"/>
                <w:szCs w:val="20"/>
              </w:rPr>
              <w:t xml:space="preserve">Repeatable tests; clearer code layers</w:t>
            </w:r>
          </w:p>
        </w:tc>
      </w:tr>
      <w:tr>
        <w:tc>
          <w:tcPr>
            <w:tcW w:w="1900" w:type="dxa"/>
            <w:vAlign w:val="top"/>
          </w:tcPr>
          <w:p>
            <w:pPr>
              <w:spacing w:before="0" w:after="0" w:line="240" w:lineRule="auto"/>
              <w:jc w:val="left"/>
            </w:pPr>
            <w:r>
              <w:rPr>
                <w:sz w:val="20"/>
                <w:szCs w:val="20"/>
              </w:rPr>
              <w:t xml:space="preserve">3. Presentation polish</w:t>
            </w:r>
          </w:p>
        </w:tc>
        <w:tc>
          <w:tcPr>
            <w:tcW w:w="4826" w:type="dxa"/>
            <w:vAlign w:val="top"/>
          </w:tcPr>
          <w:p>
            <w:pPr>
              <w:spacing w:before="0" w:after="0" w:line="240" w:lineRule="auto"/>
              <w:jc w:val="left"/>
            </w:pPr>
            <w:r>
              <w:rPr>
                <w:sz w:val="20"/>
                <w:szCs w:val="20"/>
              </w:rPr>
              <w:t xml:space="preserve">Made the layout work on smaller screens (sidebar drawer, menu button), added loading placeholders, form validation, and consistent error messages.</w:t>
            </w:r>
          </w:p>
        </w:tc>
        <w:tc>
          <w:tcPr>
            <w:tcW w:w="2300" w:type="dxa"/>
            <w:vAlign w:val="top"/>
          </w:tcPr>
          <w:p>
            <w:pPr>
              <w:spacing w:before="0" w:after="0" w:line="240" w:lineRule="auto"/>
              <w:jc w:val="left"/>
            </w:pPr>
            <w:r>
              <w:rPr>
                <w:sz w:val="20"/>
                <w:szCs w:val="20"/>
              </w:rPr>
              <w:t xml:space="preserve">Usable interface on large and small screens</w:t>
            </w:r>
          </w:p>
        </w:tc>
      </w:tr>
      <w:tr>
        <w:tc>
          <w:tcPr>
            <w:tcW w:w="1900" w:type="dxa"/>
            <w:vAlign w:val="top"/>
          </w:tcPr>
          <w:p>
            <w:pPr>
              <w:spacing w:before="0" w:after="0" w:line="240" w:lineRule="auto"/>
              <w:jc w:val="left"/>
            </w:pPr>
            <w:r>
              <w:rPr>
                <w:sz w:val="20"/>
                <w:szCs w:val="20"/>
              </w:rPr>
              <w:t xml:space="preserve">4. Failure handling</w:t>
            </w:r>
          </w:p>
        </w:tc>
        <w:tc>
          <w:tcPr>
            <w:tcW w:w="4826" w:type="dxa"/>
            <w:vAlign w:val="top"/>
          </w:tcPr>
          <w:p>
            <w:pPr>
              <w:spacing w:before="0" w:after="0" w:line="240" w:lineRule="auto"/>
              <w:jc w:val="left"/>
            </w:pPr>
            <w:r>
              <w:rPr>
                <w:sz w:val="20"/>
                <w:szCs w:val="20"/>
              </w:rPr>
              <w:t xml:space="preserve">Turned database errors (such as duplicate or still-referenced records) into clear messages, added structured server logs and health checks.</w:t>
            </w:r>
          </w:p>
        </w:tc>
        <w:tc>
          <w:tcPr>
            <w:tcW w:w="2300" w:type="dxa"/>
            <w:vAlign w:val="top"/>
          </w:tcPr>
          <w:p>
            <w:pPr>
              <w:spacing w:before="0" w:after="0" w:line="240" w:lineRule="auto"/>
              <w:jc w:val="left"/>
            </w:pPr>
            <w:r>
              <w:rPr>
                <w:sz w:val="20"/>
                <w:szCs w:val="20"/>
              </w:rPr>
              <w:t xml:space="preserve">Predictable behaviour when something goes wrong</w:t>
            </w:r>
          </w:p>
        </w:tc>
      </w:tr>
      <w:tr>
        <w:tc>
          <w:tcPr>
            <w:tcW w:w="1900" w:type="dxa"/>
            <w:vAlign w:val="top"/>
          </w:tcPr>
          <w:p>
            <w:pPr>
              <w:spacing w:before="0" w:after="0" w:line="240" w:lineRule="auto"/>
              <w:jc w:val="left"/>
            </w:pPr>
            <w:r>
              <w:rPr>
                <w:sz w:val="20"/>
                <w:szCs w:val="20"/>
              </w:rPr>
              <w:t xml:space="preserve">5. Deployment path</w:t>
            </w:r>
          </w:p>
        </w:tc>
        <w:tc>
          <w:tcPr>
            <w:tcW w:w="4826" w:type="dxa"/>
            <w:vAlign w:val="top"/>
          </w:tcPr>
          <w:p>
            <w:pPr>
              <w:spacing w:before="0" w:after="0" w:line="240" w:lineRule="auto"/>
              <w:jc w:val="left"/>
            </w:pPr>
            <w:r>
              <w:rPr>
                <w:sz w:val="20"/>
                <w:szCs w:val="20"/>
              </w:rPr>
              <w:t xml:space="preserve">Packaged the system with Docker Compose (web server, API, database), set up a GitHub Actions pipeline that tests and builds every change, and added an end-to-end browser test.</w:t>
            </w:r>
          </w:p>
        </w:tc>
        <w:tc>
          <w:tcPr>
            <w:tcW w:w="2300" w:type="dxa"/>
            <w:vAlign w:val="top"/>
          </w:tcPr>
          <w:p>
            <w:pPr>
              <w:spacing w:before="0" w:after="0" w:line="240" w:lineRule="auto"/>
              <w:jc w:val="left"/>
            </w:pPr>
            <w:r>
              <w:rPr>
                <w:sz w:val="20"/>
                <w:szCs w:val="20"/>
              </w:rPr>
              <w:t xml:space="preserve">One-command start-up; automatic checks on every change</w:t>
            </w:r>
          </w:p>
        </w:tc>
      </w:tr>
      <w:tr>
        <w:tc>
          <w:tcPr>
            <w:tcW w:w="1900" w:type="dxa"/>
            <w:vAlign w:val="top"/>
          </w:tcPr>
          <w:p>
            <w:pPr>
              <w:spacing w:before="0" w:after="0" w:line="240" w:lineRule="auto"/>
              <w:jc w:val="left"/>
            </w:pPr>
            <w:r>
              <w:rPr>
                <w:sz w:val="20"/>
                <w:szCs w:val="20"/>
              </w:rPr>
              <w:t xml:space="preserve">6. Internal pilot and stakeholder requests</w:t>
            </w:r>
          </w:p>
        </w:tc>
        <w:tc>
          <w:tcPr>
            <w:tcW w:w="4826" w:type="dxa"/>
            <w:vAlign w:val="top"/>
          </w:tcPr>
          <w:p>
            <w:pPr>
              <w:spacing w:before="0" w:after="0" w:line="240" w:lineRule="auto"/>
              <w:jc w:val="left"/>
            </w:pPr>
            <w:r>
              <w:rPr>
                <w:sz w:val="20"/>
                <w:szCs w:val="20"/>
              </w:rPr>
              <w:t xml:space="preserve">Ran the system on the internal network, wrote a go-live checklist in English and Indonesian, limited what ordinary employees can see (USER role), and added a backup and restore page for administrators.</w:t>
            </w:r>
          </w:p>
        </w:tc>
        <w:tc>
          <w:tcPr>
            <w:tcW w:w="2300" w:type="dxa"/>
            <w:vAlign w:val="top"/>
          </w:tcPr>
          <w:p>
            <w:pPr>
              <w:spacing w:before="0" w:after="0" w:line="240" w:lineRule="auto"/>
              <w:jc w:val="left"/>
            </w:pPr>
            <w:r>
              <w:rPr>
                <w:sz w:val="20"/>
                <w:szCs w:val="20"/>
              </w:rPr>
              <w:t xml:space="preserve">Pilot-ready system; both requested features delivered</w:t>
            </w:r>
          </w:p>
        </w:tc>
      </w:tr>
      <w:tr>
        <w:tc>
          <w:tcPr>
            <w:tcW w:w="1900" w:type="dxa"/>
            <w:vAlign w:val="top"/>
          </w:tcPr>
          <w:p>
            <w:pPr>
              <w:spacing w:before="0" w:after="0" w:line="240" w:lineRule="auto"/>
              <w:jc w:val="left"/>
            </w:pPr>
            <w:r>
              <w:rPr>
                <w:sz w:val="20"/>
                <w:szCs w:val="20"/>
              </w:rPr>
              <w:t xml:space="preserve">7. Frontend tests</w:t>
            </w:r>
          </w:p>
        </w:tc>
        <w:tc>
          <w:tcPr>
            <w:tcW w:w="4826" w:type="dxa"/>
            <w:vAlign w:val="top"/>
          </w:tcPr>
          <w:p>
            <w:pPr>
              <w:spacing w:before="0" w:after="0" w:line="240" w:lineRule="auto"/>
              <w:jc w:val="left"/>
            </w:pPr>
            <w:r>
              <w:rPr>
                <w:sz w:val="20"/>
                <w:szCs w:val="20"/>
              </w:rPr>
              <w:t xml:space="preserve">Added unit tests for the main pages, forms, and data hooks of the user interface.</w:t>
            </w:r>
          </w:p>
        </w:tc>
        <w:tc>
          <w:tcPr>
            <w:tcW w:w="2300" w:type="dxa"/>
            <w:vAlign w:val="top"/>
          </w:tcPr>
          <w:p>
            <w:pPr>
              <w:spacing w:before="0" w:after="0" w:line="240" w:lineRule="auto"/>
              <w:jc w:val="left"/>
            </w:pPr>
            <w:r>
              <w:rPr>
                <w:sz w:val="20"/>
                <w:szCs w:val="20"/>
              </w:rPr>
              <w:t xml:space="preserve">Frontend regression safety net</w:t>
            </w:r>
          </w:p>
        </w:tc>
      </w:tr>
    </w:tbl>
    <w:p>
      <w:pPr>
        <w:spacing w:before="0" w:after="60" w:line="240" w:lineRule="auto"/>
        <w:jc w:val="both"/>
      </w:pPr>
    </w:p>
    <w:p>
      <w:pPr>
        <w:spacing w:before="0" w:after="120" w:line="360" w:lineRule="auto"/>
        <w:jc w:val="both"/>
      </w:pPr>
      <w:r>
        <w:rPr>
          <w:sz w:val="24"/>
          <w:szCs w:val="24"/>
        </w:rPr>
        <w:t xml:space="preserve">Alongside the planned phases I fixed defects found during trial use, for example an internal server error when a user changed their password from the profile page, and a backup button that failed with the message "Gagal membuat backup" (failed to create backup). The finished system was pushed to a GitHub repository on 29 June 2026.</w:t>
      </w:r>
    </w:p>
    <w:p>
      <w:pPr>
        <w:keepNext w:val="1"/>
        <w:spacing w:before="120" w:after="60" w:line="360" w:lineRule="auto"/>
        <w:jc w:val="left"/>
      </w:pPr>
      <w:r>
        <w:rPr>
          <w:b w:val="1"/>
          <w:i w:val="1"/>
          <w:sz w:val="24"/>
          <w:szCs w:val="24"/>
        </w:rPr>
        <w:t xml:space="preserve">3.1.3 Tools Used</w:t>
      </w:r>
    </w:p>
    <w:p>
      <w:pPr>
        <w:spacing w:before="0" w:after="120" w:line="360" w:lineRule="auto"/>
        <w:jc w:val="both"/>
      </w:pPr>
      <w:r>
        <w:rPr>
          <w:sz w:val="24"/>
          <w:szCs w:val="24"/>
        </w:rPr>
        <w:t xml:space="preserve">React 18 and Vite for the user interface; Express 4 on Node.js for the API; PostgreSQL 18 for the database; Docker and Docker Compose for packaging; GitHub Actions for continuous integration; Vitest, Supertest, React Testing Library, and Playwright for automated testing; and Git and GitHub for version control.</w:t>
      </w:r>
    </w:p>
    <w:p>
      <w:pPr>
        <w:keepNext w:val="1"/>
        <w:spacing w:before="240" w:after="120" w:line="360" w:lineRule="auto"/>
        <w:jc w:val="left"/>
      </w:pPr>
      <w:r>
        <w:rPr>
          <w:b w:val="1"/>
          <w:sz w:val="24"/>
          <w:szCs w:val="24"/>
        </w:rPr>
        <w:t xml:space="preserve">3.2 RTB Division: Tongkat Gaib Excel Report Automation Tool</w:t>
      </w:r>
    </w:p>
    <w:p>
      <w:pPr>
        <w:keepNext w:val="1"/>
        <w:spacing w:before="120" w:after="60" w:line="360" w:lineRule="auto"/>
        <w:jc w:val="left"/>
      </w:pPr>
      <w:r>
        <w:rPr>
          <w:b w:val="1"/>
          <w:i w:val="1"/>
          <w:sz w:val="24"/>
          <w:szCs w:val="24"/>
        </w:rPr>
        <w:t xml:space="preserve">3.2.1 Assignment Overview</w:t>
      </w:r>
    </w:p>
    <w:p>
      <w:pPr>
        <w:spacing w:before="0" w:after="120" w:line="360" w:lineRule="auto"/>
        <w:jc w:val="both"/>
      </w:pPr>
      <w:r>
        <w:rPr>
          <w:sz w:val="24"/>
          <w:szCs w:val="24"/>
        </w:rPr>
        <w:t xml:space="preserve">The RTB division produces a set of recurring Excel reports from data extracts downloaded from the company's systems. Each report was built by hand. Staff pasted a pipe-delimited (|) text extract into Excel and split it with Text to Columns, added branch codes and names with VLOOKUP against a mapping workbook, built a PivotTable filtered by customer segment, and then reformatted it (tabular layout, no subtotals, and a number format that shows large rupiah values in full instead of as E+12). For the giro report, staff searched for each account in the monthly file with Ctrl+F and copied its balance into a master list by hand.</w:t>
      </w:r>
    </w:p>
    <w:p>
      <w:pPr>
        <w:spacing w:before="0" w:after="120" w:line="360" w:lineRule="auto"/>
        <w:jc w:val="both"/>
      </w:pPr>
      <w:r>
        <w:rPr>
          <w:sz w:val="24"/>
          <w:szCs w:val="24"/>
        </w:rPr>
        <w:t xml:space="preserve">This process was repetitive and slow with large extracts. It was also easy to get wrong: a segment ticked by mistake, a broken VLOOKUP range, or a mistyped balance could change the report without anyone noticing. My assignment was to automate these reports so that each one only needs the right input files and a single click.</w:t>
      </w:r>
    </w:p>
    <w:p>
      <w:pPr>
        <w:keepNext w:val="1"/>
        <w:spacing w:before="120" w:after="60" w:line="360" w:lineRule="auto"/>
        <w:jc w:val="left"/>
      </w:pPr>
      <w:r>
        <w:rPr>
          <w:b w:val="1"/>
          <w:i w:val="1"/>
          <w:sz w:val="24"/>
          <w:szCs w:val="24"/>
        </w:rPr>
        <w:t xml:space="preserve">3.2.2 Activities</w:t>
      </w:r>
    </w:p>
    <w:p>
      <w:pPr>
        <w:spacing w:before="0" w:after="120" w:line="360" w:lineRule="auto"/>
        <w:jc w:val="both"/>
      </w:pPr>
      <w:r>
        <w:rPr>
          <w:sz w:val="24"/>
          <w:szCs w:val="24"/>
        </w:rPr>
        <w:t xml:space="preserve">I started by documenting the manual process step by step and writing a technical design for the automated pipeline. After that I worked in short release cycles. Each cycle added a report or fixed a problem that RTB staff found while running the tool on real monthly files. Table 3.2 lists the main milestones.</w:t>
      </w:r>
    </w:p>
    <w:p>
      <w:pPr>
        <w:keepNext w:val="1"/>
        <w:spacing w:before="120" w:after="60" w:line="240" w:lineRule="auto"/>
        <w:jc w:val="center"/>
      </w:pPr>
      <w:r>
        <w:rPr>
          <w:b w:val="1"/>
          <w:sz w:val="20"/>
          <w:szCs w:val="20"/>
        </w:rPr>
        <w:t xml:space="preserve">Table 3.2 Activities carried out for the RTB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900"/>
        <w:gridCol w:w="7126"/>
      </w:tblGrid>
      <w:tr>
        <w:trPr>
          <w:tblHeader w:val="1"/>
        </w:trPr>
        <w:tc>
          <w:tcPr>
            <w:tcW w:w="1900" w:type="dxa"/>
            <w:shd w:val="clear" w:color="auto" w:fill="D9D9D9"/>
            <w:vAlign w:val="top"/>
          </w:tcPr>
          <w:p>
            <w:pPr>
              <w:spacing w:before="0" w:after="0" w:line="240" w:lineRule="auto"/>
              <w:jc w:val="left"/>
            </w:pPr>
            <w:r>
              <w:rPr>
                <w:b w:val="1"/>
                <w:sz w:val="20"/>
                <w:szCs w:val="20"/>
              </w:rPr>
              <w:t xml:space="preserve">Date (2026)</w:t>
            </w:r>
          </w:p>
        </w:tc>
        <w:tc>
          <w:tcPr>
            <w:tcW w:w="7126" w:type="dxa"/>
            <w:shd w:val="clear" w:color="auto" w:fill="D9D9D9"/>
            <w:vAlign w:val="top"/>
          </w:tcPr>
          <w:p>
            <w:pPr>
              <w:spacing w:before="0" w:after="0" w:line="240" w:lineRule="auto"/>
              <w:jc w:val="left"/>
            </w:pPr>
            <w:r>
              <w:rPr>
                <w:b w:val="1"/>
                <w:sz w:val="20"/>
                <w:szCs w:val="20"/>
              </w:rPr>
              <w:t xml:space="preserve">Activity</w:t>
            </w:r>
          </w:p>
        </w:tc>
      </w:tr>
      <w:tr>
        <w:tc>
          <w:tcPr>
            <w:tcW w:w="1900" w:type="dxa"/>
            <w:vAlign w:val="top"/>
          </w:tcPr>
          <w:p>
            <w:pPr>
              <w:spacing w:before="0" w:after="0" w:line="240" w:lineRule="auto"/>
              <w:jc w:val="left"/>
            </w:pPr>
            <w:r>
              <w:rPr>
                <w:sz w:val="20"/>
                <w:szCs w:val="20"/>
              </w:rPr>
              <w:t xml:space="preserve">21 July</w:t>
            </w:r>
          </w:p>
        </w:tc>
        <w:tc>
          <w:tcPr>
            <w:tcW w:w="7126" w:type="dxa"/>
            <w:vAlign w:val="top"/>
          </w:tcPr>
          <w:p>
            <w:pPr>
              <w:spacing w:before="0" w:after="0" w:line="240" w:lineRule="auto"/>
              <w:jc w:val="left"/>
            </w:pPr>
            <w:r>
              <w:rPr>
                <w:sz w:val="20"/>
                <w:szCs w:val="20"/>
              </w:rPr>
              <w:t xml:space="preserve">Documented the manual Excel workflow, wrote the technical design, and released the first version (Report Summary Akumulasi) with a desktop window and a command-line mode.</w:t>
            </w:r>
          </w:p>
        </w:tc>
      </w:tr>
      <w:tr>
        <w:tc>
          <w:tcPr>
            <w:tcW w:w="1900" w:type="dxa"/>
            <w:vAlign w:val="top"/>
          </w:tcPr>
          <w:p>
            <w:pPr>
              <w:spacing w:before="0" w:after="0" w:line="240" w:lineRule="auto"/>
              <w:jc w:val="left"/>
            </w:pPr>
            <w:r>
              <w:rPr>
                <w:sz w:val="20"/>
                <w:szCs w:val="20"/>
              </w:rPr>
              <w:t xml:space="preserve">22 July</w:t>
            </w:r>
          </w:p>
        </w:tc>
        <w:tc>
          <w:tcPr>
            <w:tcW w:w="7126" w:type="dxa"/>
            <w:vAlign w:val="top"/>
          </w:tcPr>
          <w:p>
            <w:pPr>
              <w:spacing w:before="0" w:after="0" w:line="240" w:lineRule="auto"/>
              <w:jc w:val="left"/>
            </w:pPr>
            <w:r>
              <w:rPr>
                <w:sz w:val="20"/>
                <w:szCs w:val="20"/>
              </w:rPr>
              <w:t xml:space="preserve">Accepted the real mapping workbook's column names and sheet layout, so staff no longer had to rename columns before a run.</w:t>
            </w:r>
          </w:p>
        </w:tc>
      </w:tr>
      <w:tr>
        <w:tc>
          <w:tcPr>
            <w:tcW w:w="1900" w:type="dxa"/>
            <w:vAlign w:val="top"/>
          </w:tcPr>
          <w:p>
            <w:pPr>
              <w:spacing w:before="0" w:after="0" w:line="240" w:lineRule="auto"/>
              <w:jc w:val="left"/>
            </w:pPr>
            <w:r>
              <w:rPr>
                <w:sz w:val="20"/>
                <w:szCs w:val="20"/>
              </w:rPr>
              <w:t xml:space="preserve">24 July</w:t>
            </w:r>
          </w:p>
        </w:tc>
        <w:tc>
          <w:tcPr>
            <w:tcW w:w="7126" w:type="dxa"/>
            <w:vAlign w:val="top"/>
          </w:tcPr>
          <w:p>
            <w:pPr>
              <w:spacing w:before="0" w:after="0" w:line="240" w:lineRule="auto"/>
              <w:jc w:val="left"/>
            </w:pPr>
            <w:r>
              <w:rPr>
                <w:sz w:val="20"/>
                <w:szCs w:val="20"/>
              </w:rPr>
              <w:t xml:space="preserve">Added Sum of FBI to Akumulasi; added the Time Series FBI Briva and Active User Qlola reports and the Rincian Vol TF and Rincian Portal BG reports; checked results against reports staff had made by hand; named the tool Tongkat Gaib Excel.</w:t>
            </w:r>
          </w:p>
        </w:tc>
      </w:tr>
      <w:tr>
        <w:tc>
          <w:tcPr>
            <w:tcW w:w="1900" w:type="dxa"/>
            <w:vAlign w:val="top"/>
          </w:tcPr>
          <w:p>
            <w:pPr>
              <w:spacing w:before="0" w:after="0" w:line="240" w:lineRule="auto"/>
              <w:jc w:val="left"/>
            </w:pPr>
            <w:r>
              <w:rPr>
                <w:sz w:val="20"/>
                <w:szCs w:val="20"/>
              </w:rPr>
              <w:t xml:space="preserve">27 July</w:t>
            </w:r>
          </w:p>
        </w:tc>
        <w:tc>
          <w:tcPr>
            <w:tcW w:w="7126" w:type="dxa"/>
            <w:vAlign w:val="top"/>
          </w:tcPr>
          <w:p>
            <w:pPr>
              <w:spacing w:before="0" w:after="0" w:line="240" w:lineRule="auto"/>
              <w:jc w:val="left"/>
            </w:pPr>
            <w:r>
              <w:rPr>
                <w:sz w:val="20"/>
                <w:szCs w:val="20"/>
              </w:rPr>
              <w:t xml:space="preserve">Fixed how Qlola user IDs are matched to the master data, switched outputs to plain whole numbers, and released a standalone Windows program that needs no Python installation.</w:t>
            </w:r>
          </w:p>
        </w:tc>
      </w:tr>
      <w:tr>
        <w:tc>
          <w:tcPr>
            <w:tcW w:w="1900" w:type="dxa"/>
            <w:vAlign w:val="top"/>
          </w:tcPr>
          <w:p>
            <w:pPr>
              <w:spacing w:before="0" w:after="0" w:line="240" w:lineRule="auto"/>
              <w:jc w:val="left"/>
            </w:pPr>
            <w:r>
              <w:rPr>
                <w:sz w:val="20"/>
                <w:szCs w:val="20"/>
              </w:rPr>
              <w:t xml:space="preserve">8 to 13 August</w:t>
            </w:r>
          </w:p>
        </w:tc>
        <w:tc>
          <w:tcPr>
            <w:tcW w:w="7126" w:type="dxa"/>
            <w:vAlign w:val="top"/>
          </w:tcPr>
          <w:p>
            <w:pPr>
              <w:spacing w:before="0" w:after="0" w:line="240" w:lineRule="auto"/>
              <w:jc w:val="left"/>
            </w:pPr>
            <w:r>
              <w:rPr>
                <w:sz w:val="20"/>
                <w:szCs w:val="20"/>
              </w:rPr>
              <w:t xml:space="preserve">Added Report Data Statis and Report Giro (automatic balance update of the giro master list) and made filters editable per run.</w:t>
            </w:r>
          </w:p>
        </w:tc>
      </w:tr>
      <w:tr>
        <w:tc>
          <w:tcPr>
            <w:tcW w:w="1900" w:type="dxa"/>
            <w:vAlign w:val="top"/>
          </w:tcPr>
          <w:p>
            <w:pPr>
              <w:spacing w:before="0" w:after="0" w:line="240" w:lineRule="auto"/>
              <w:jc w:val="left"/>
            </w:pPr>
            <w:r>
              <w:rPr>
                <w:sz w:val="20"/>
                <w:szCs w:val="20"/>
              </w:rPr>
              <w:t xml:space="preserve">15 August</w:t>
            </w:r>
          </w:p>
        </w:tc>
        <w:tc>
          <w:tcPr>
            <w:tcW w:w="7126" w:type="dxa"/>
            <w:vAlign w:val="top"/>
          </w:tcPr>
          <w:p>
            <w:pPr>
              <w:spacing w:before="0" w:after="0" w:line="240" w:lineRule="auto"/>
              <w:jc w:val="left"/>
            </w:pPr>
            <w:r>
              <w:rPr>
                <w:sz w:val="20"/>
                <w:szCs w:val="20"/>
              </w:rPr>
              <w:t xml:space="preserve">Reworked the filters into SEGMENT, SOURCE, and KW keep-lists after feedback from RTB staff.</w:t>
            </w:r>
          </w:p>
        </w:tc>
      </w:tr>
      <w:tr>
        <w:tc>
          <w:tcPr>
            <w:tcW w:w="1900" w:type="dxa"/>
            <w:vAlign w:val="top"/>
          </w:tcPr>
          <w:p>
            <w:pPr>
              <w:spacing w:before="0" w:after="0" w:line="240" w:lineRule="auto"/>
              <w:jc w:val="left"/>
            </w:pPr>
            <w:r>
              <w:rPr>
                <w:sz w:val="20"/>
                <w:szCs w:val="20"/>
              </w:rPr>
              <w:t xml:space="preserve">17 to 20 August</w:t>
            </w:r>
          </w:p>
        </w:tc>
        <w:tc>
          <w:tcPr>
            <w:tcW w:w="7126" w:type="dxa"/>
            <w:vAlign w:val="top"/>
          </w:tcPr>
          <w:p>
            <w:pPr>
              <w:spacing w:before="0" w:after="0" w:line="240" w:lineRule="auto"/>
              <w:jc w:val="left"/>
            </w:pPr>
            <w:r>
              <w:rPr>
                <w:sz w:val="20"/>
                <w:szCs w:val="20"/>
              </w:rPr>
              <w:t xml:space="preserve">Fixed Report Data Statis runs, let Report Giro fill both the original and later master files (including old .xls files), warned on empty extracts, and recovered header rows placed in the middle of a sheet.</w:t>
            </w:r>
          </w:p>
        </w:tc>
      </w:tr>
      <w:tr>
        <w:tc>
          <w:tcPr>
            <w:tcW w:w="1900" w:type="dxa"/>
            <w:vAlign w:val="top"/>
          </w:tcPr>
          <w:p>
            <w:pPr>
              <w:spacing w:before="0" w:after="0" w:line="240" w:lineRule="auto"/>
              <w:jc w:val="left"/>
            </w:pPr>
            <w:r>
              <w:rPr>
                <w:sz w:val="20"/>
                <w:szCs w:val="20"/>
              </w:rPr>
              <w:t xml:space="preserve">21 August</w:t>
            </w:r>
          </w:p>
        </w:tc>
        <w:tc>
          <w:tcPr>
            <w:tcW w:w="7126" w:type="dxa"/>
            <w:vAlign w:val="top"/>
          </w:tcPr>
          <w:p>
            <w:pPr>
              <w:spacing w:before="0" w:after="0" w:line="240" w:lineRule="auto"/>
              <w:jc w:val="left"/>
            </w:pPr>
            <w:r>
              <w:rPr>
                <w:sz w:val="20"/>
                <w:szCs w:val="20"/>
              </w:rPr>
              <w:t xml:space="preserve">Ordered every summary in the same branch order as the division's dashboard, replaced technical error popups with plain-language guidance, showed the valid filter values next to each box, and wrote the operator guide (START HERE) and the system requirements sheet.</w:t>
            </w:r>
          </w:p>
        </w:tc>
      </w:tr>
    </w:tbl>
    <w:p>
      <w:pPr>
        <w:spacing w:before="0" w:after="60" w:line="240" w:lineRule="auto"/>
        <w:jc w:val="both"/>
      </w:pPr>
    </w:p>
    <w:p>
      <w:pPr>
        <w:keepNext w:val="1"/>
        <w:spacing w:before="120" w:after="60" w:line="360" w:lineRule="auto"/>
        <w:jc w:val="left"/>
      </w:pPr>
      <w:r>
        <w:rPr>
          <w:b w:val="1"/>
          <w:i w:val="1"/>
          <w:sz w:val="24"/>
          <w:szCs w:val="24"/>
        </w:rPr>
        <w:t xml:space="preserve">3.2.3 Tools Used</w:t>
      </w:r>
    </w:p>
    <w:p>
      <w:pPr>
        <w:spacing w:before="0" w:after="120" w:line="360" w:lineRule="auto"/>
        <w:jc w:val="both"/>
      </w:pPr>
      <w:r>
        <w:rPr>
          <w:sz w:val="24"/>
          <w:szCs w:val="24"/>
        </w:rPr>
        <w:t xml:space="preserve">Python with pandas for data processing; openpyxl and xlrd for reading and writing Excel files; Tkinter for the desktop window; Typer for the command-line mode; Pydantic for configuration checks; pytest for automated testing; PyInstaller to build the standalone Windows program; and Git and GitHub for version control.</w:t>
      </w:r>
    </w:p>
    <w:p w:rsidR="00000000" w:rsidDel="00000000" w:rsidP="00000000" w:rsidRDefault="00000000" w:rsidRPr="00000000" w14:paraId="0000001D">
      <w:pPr>
        <w:rPr>
          <w:b w:val="1"/>
          <w:sz w:val="28"/>
          <w:szCs w:val="28"/>
        </w:rPr>
      </w:pPr>
      <w:r w:rsidDel="00000000" w:rsidR="00000000" w:rsidRPr="00000000">
        <w:rPr>
          <w:rtl w:val="0"/>
        </w:rPr>
      </w:r>
    </w:p>
    <w:p w:rsidR="00000000" w:rsidDel="00000000" w:rsidP="00000000" w:rsidRDefault="00000000" w:rsidRPr="00000000" w14:paraId="0000001E">
      <w:pPr>
        <w:rPr>
          <w:b w:val="1"/>
          <w:sz w:val="28"/>
          <w:szCs w:val="28"/>
        </w:rPr>
      </w:pPr>
      <w:r w:rsidDel="00000000" w:rsidR="00000000" w:rsidRPr="00000000">
        <w:rPr>
          <w:b w:val="1"/>
          <w:sz w:val="28"/>
          <w:szCs w:val="28"/>
          <w:rtl w:val="0"/>
        </w:rPr>
        <w:t xml:space="preserve">Chapter 4. ANALYSIS AND INTEPRETATION</w:t>
      </w:r>
    </w:p>
    <w:p>
      <w:pPr>
        <w:spacing w:before="0" w:after="120" w:line="360" w:lineRule="auto"/>
        <w:jc w:val="both"/>
      </w:pPr>
      <w:r>
        <w:rPr>
          <w:sz w:val="24"/>
          <w:szCs w:val="24"/>
        </w:rPr>
        <w:t xml:space="preserve">This chapter reviews the two projects described in Chapter 3. Section 4.1 sets out what I learned from each one, along with its benefits, advantages, disadvantages, and recommendations. Section 4.2 compares the work with theory from lectures, and Section 4.3 gives suggestions for improvement.</w:t>
      </w:r>
    </w:p>
    <w:p>
      <w:pPr>
        <w:keepNext w:val="1"/>
        <w:spacing w:before="240" w:after="120" w:line="360" w:lineRule="auto"/>
        <w:jc w:val="left"/>
      </w:pPr>
      <w:r>
        <w:rPr>
          <w:b w:val="1"/>
          <w:sz w:val="24"/>
          <w:szCs w:val="24"/>
        </w:rPr>
        <w:t xml:space="preserve">4.1 Insight Gained from Each Activity</w:t>
      </w:r>
    </w:p>
    <w:p>
      <w:pPr>
        <w:keepNext w:val="1"/>
        <w:spacing w:before="120" w:after="60" w:line="360" w:lineRule="auto"/>
        <w:jc w:val="left"/>
      </w:pPr>
      <w:r>
        <w:rPr>
          <w:b w:val="1"/>
          <w:i w:val="1"/>
          <w:sz w:val="24"/>
          <w:szCs w:val="24"/>
        </w:rPr>
        <w:t xml:space="preserve">4.1.1 IT Division: Perangkat IT Asset Management System</w:t>
      </w:r>
    </w:p>
    <w:p>
      <w:pPr>
        <w:spacing w:before="0" w:after="120" w:line="360" w:lineRule="auto"/>
        <w:jc w:val="both"/>
      </w:pPr>
      <w:r>
        <w:rPr>
          <w:b w:val="1"/>
          <w:sz w:val="24"/>
          <w:szCs w:val="24"/>
        </w:rPr>
        <w:t xml:space="preserve">Understanding and insight gained. </w:t>
      </w:r>
      <w:r>
        <w:rPr>
          <w:sz w:val="24"/>
          <w:szCs w:val="24"/>
        </w:rPr>
        <w:t xml:space="preserve">An application that works is not the same as one that is ready to use. Every page of Perangkat IT already worked, yet anyone on the network could read employee and device data, and nothing proved that a change in one place had not broken another. I learned to read an existing codebase before changing it, to check the real database schema instead of trusting the documents, and to improve a live system in small steps that keep its existing behaviour intact.</w:t>
      </w:r>
    </w:p>
    <w:p>
      <w:pPr>
        <w:spacing w:before="0" w:after="120" w:line="360" w:lineRule="auto"/>
        <w:jc w:val="both"/>
      </w:pPr>
      <w:r>
        <w:rPr>
          <w:b w:val="1"/>
          <w:sz w:val="24"/>
          <w:szCs w:val="24"/>
        </w:rPr>
        <w:t xml:space="preserve">Benefits. </w:t>
      </w:r>
      <w:r>
        <w:rPr>
          <w:sz w:val="24"/>
          <w:szCs w:val="24"/>
        </w:rPr>
        <w:t xml:space="preserve">The IT division now has one place to see which devices exist, who holds them, and how their status has changed over time. Each assignment has its handover document attached, and every change is recorded in an audit log. Administrators can take and download a backup from the application itself, and ordinary employees see only their own devices.</w:t>
      </w:r>
    </w:p>
    <w:p>
      <w:pPr>
        <w:spacing w:before="0" w:after="120" w:line="360" w:lineRule="auto"/>
        <w:jc w:val="both"/>
      </w:pPr>
      <w:r>
        <w:rPr>
          <w:b w:val="1"/>
          <w:sz w:val="24"/>
          <w:szCs w:val="24"/>
        </w:rPr>
        <w:t xml:space="preserve">Advantages. </w:t>
      </w:r>
      <w:r>
        <w:rPr>
          <w:sz w:val="24"/>
          <w:szCs w:val="24"/>
        </w:rPr>
        <w:t xml:space="preserve">Access rules are enforced on the server and in the database queries, not only by hiding buttons, so a user cannot get around them by calling the API directly. Key rules, such as one active assignment per device, are enforced by the database itself. About 180 automated tests and a CI pipeline check every change, and Docker lets the whole system start the same way on any machine.</w:t>
      </w:r>
    </w:p>
    <w:p>
      <w:pPr>
        <w:spacing w:before="0" w:after="120" w:line="360" w:lineRule="auto"/>
        <w:jc w:val="both"/>
      </w:pPr>
      <w:r>
        <w:rPr>
          <w:b w:val="1"/>
          <w:sz w:val="24"/>
          <w:szCs w:val="24"/>
        </w:rPr>
        <w:t xml:space="preserve">Disadvantages. </w:t>
      </w:r>
      <w:r>
        <w:rPr>
          <w:sz w:val="24"/>
          <w:szCs w:val="24"/>
        </w:rPr>
        <w:t xml:space="preserve">The system is currently set up for an internal pilot. Public HTTPS hosting, scheduled off-machine backups, and a rehearsed restore procedure were deferred to a later phase. Device and employee data still has to be typed in by hand, and the system is not linked to the company's employee directory or single sign-on.</w:t>
      </w:r>
    </w:p>
    <w:p>
      <w:pPr>
        <w:spacing w:before="0" w:after="120" w:line="360" w:lineRule="auto"/>
        <w:jc w:val="both"/>
      </w:pPr>
      <w:r>
        <w:rPr>
          <w:b w:val="1"/>
          <w:sz w:val="24"/>
          <w:szCs w:val="24"/>
        </w:rPr>
        <w:t xml:space="preserve">Recommendations. </w:t>
      </w:r>
      <w:r>
        <w:rPr>
          <w:sz w:val="24"/>
          <w:szCs w:val="24"/>
        </w:rPr>
        <w:t xml:space="preserve">Finish the production phase (HTTPS, scheduled backups, and a tested restore) before opening the system beyond the pilot group. Name a maintainer within the IT division who owns the deployment and the go-live checklist after my internship ends.</w:t>
      </w:r>
    </w:p>
    <w:p>
      <w:pPr>
        <w:keepNext w:val="1"/>
        <w:spacing w:before="120" w:after="60" w:line="360" w:lineRule="auto"/>
        <w:jc w:val="left"/>
      </w:pPr>
      <w:r>
        <w:rPr>
          <w:b w:val="1"/>
          <w:i w:val="1"/>
          <w:sz w:val="24"/>
          <w:szCs w:val="24"/>
        </w:rPr>
        <w:t xml:space="preserve">4.1.2 RTB Division: Tongkat Gaib Excel Report Automation Tool</w:t>
      </w:r>
    </w:p>
    <w:p>
      <w:pPr>
        <w:spacing w:before="0" w:after="120" w:line="360" w:lineRule="auto"/>
        <w:jc w:val="both"/>
      </w:pPr>
      <w:r>
        <w:rPr>
          <w:b w:val="1"/>
          <w:sz w:val="24"/>
          <w:szCs w:val="24"/>
        </w:rPr>
        <w:t xml:space="preserve">Understanding and insight gained. </w:t>
      </w:r>
      <w:r>
        <w:rPr>
          <w:sz w:val="24"/>
          <w:szCs w:val="24"/>
        </w:rPr>
        <w:t xml:space="preserve">To automate a business process, you first have to understand it exactly. The real requirements were not written down anywhere; they lived in the clicks staff made in Excel. Details such as which segment is unticked in a pivot, which rounding the dashboard expects, or which branch comes first only came out by watching staff work and comparing my output to theirs. I also learned that the people who use a tool decide whether it succeeds. A correct report is not enough if the filters are confusing or an error message cannot be understood.</w:t>
      </w:r>
    </w:p>
    <w:p>
      <w:pPr>
        <w:spacing w:before="0" w:after="120" w:line="360" w:lineRule="auto"/>
        <w:jc w:val="both"/>
      </w:pPr>
      <w:r>
        <w:rPr>
          <w:b w:val="1"/>
          <w:sz w:val="24"/>
          <w:szCs w:val="24"/>
        </w:rPr>
        <w:t xml:space="preserve">Benefits. </w:t>
      </w:r>
      <w:r>
        <w:rPr>
          <w:sz w:val="24"/>
          <w:szCs w:val="24"/>
        </w:rPr>
        <w:t xml:space="preserve">Seven recurring reports that used to take several manual Excel steps each are now produced by choosing the input files and clicking Run. Report Giro removes the manual Ctrl+F lookup of every account balance. Each summary comes out in the dashboard's branch order, so it can be pasted straight in.</w:t>
      </w:r>
    </w:p>
    <w:p>
      <w:pPr>
        <w:spacing w:before="0" w:after="120" w:line="360" w:lineRule="auto"/>
        <w:jc w:val="both"/>
      </w:pPr>
      <w:r>
        <w:rPr>
          <w:b w:val="1"/>
          <w:sz w:val="24"/>
          <w:szCs w:val="24"/>
        </w:rPr>
        <w:t xml:space="preserve">Advantages. </w:t>
      </w:r>
      <w:r>
        <w:rPr>
          <w:sz w:val="24"/>
          <w:szCs w:val="24"/>
        </w:rPr>
        <w:t xml:space="preserve">The tool gives the same result every time for the same input, never modifies the input files, and states on each report which filters were applied. It runs as a single Windows program without Python or Excel installed. 279 automated tests cover each report, including tests that compare output against reports staff made by hand.</w:t>
      </w:r>
    </w:p>
    <w:p>
      <w:pPr>
        <w:spacing w:before="0" w:after="120" w:line="360" w:lineRule="auto"/>
        <w:jc w:val="both"/>
      </w:pPr>
      <w:r>
        <w:rPr>
          <w:b w:val="1"/>
          <w:sz w:val="24"/>
          <w:szCs w:val="24"/>
        </w:rPr>
        <w:t xml:space="preserve">Disadvantages. </w:t>
      </w:r>
      <w:r>
        <w:rPr>
          <w:sz w:val="24"/>
          <w:szCs w:val="24"/>
        </w:rPr>
        <w:t xml:space="preserve">The tool depends on the layout of the system extracts. If the source system renames a column or adds a new segment, the tool must be updated. Some settings, such as the dashboard branch order and the valid filter values, are kept in the program code rather than in a file staff can edit. The tool runs only on Windows, and I was its only developer, so ongoing maintenance needs a handover.</w:t>
      </w:r>
    </w:p>
    <w:p>
      <w:pPr>
        <w:spacing w:before="0" w:after="120" w:line="360" w:lineRule="auto"/>
        <w:jc w:val="both"/>
      </w:pPr>
      <w:r>
        <w:rPr>
          <w:b w:val="1"/>
          <w:sz w:val="24"/>
          <w:szCs w:val="24"/>
        </w:rPr>
        <w:t xml:space="preserve">Recommendations. </w:t>
      </w:r>
      <w:r>
        <w:rPr>
          <w:sz w:val="24"/>
          <w:szCs w:val="24"/>
        </w:rPr>
        <w:t xml:space="preserve">Move the branch order and filter values into an editable configuration file, keep a folder of sample extracts to re-test the tool whenever the source format changes, and hand the source code and documentation over to a named person in the division.</w:t>
      </w:r>
    </w:p>
    <w:p>
      <w:pPr>
        <w:keepNext w:val="1"/>
        <w:spacing w:before="240" w:after="120" w:line="360" w:lineRule="auto"/>
        <w:jc w:val="left"/>
      </w:pPr>
      <w:r>
        <w:rPr>
          <w:b w:val="1"/>
          <w:sz w:val="24"/>
          <w:szCs w:val="24"/>
        </w:rPr>
        <w:t xml:space="preserve">4.2 Analysis and Interpretation Compared with Theory from Lectures</w:t>
      </w:r>
    </w:p>
    <w:p>
      <w:pPr>
        <w:spacing w:before="0" w:after="120" w:line="360" w:lineRule="auto"/>
        <w:jc w:val="both"/>
      </w:pPr>
      <w:r>
        <w:rPr>
          <w:b w:val="1"/>
          <w:sz w:val="24"/>
          <w:szCs w:val="24"/>
        </w:rPr>
        <w:t xml:space="preserve">Database design. </w:t>
      </w:r>
      <w:r>
        <w:rPr>
          <w:sz w:val="24"/>
          <w:szCs w:val="24"/>
        </w:rPr>
        <w:t xml:space="preserve">Lectures on relational databases teach normalisation, primary and foreign keys, and integrity constraints. Perangkat IT showed why these matter. The schema separates devices, employees, accounts, assignments, and status history into their own tables, linked by foreign keys. Check constraints and partial unique indexes guarantee that a device has at most one active assignment and one active status at any time. Because the database enforces these rules, they hold even if the application code has a bug. The status history table also puts the idea of an audit trail from database theory into practice.</w:t>
      </w:r>
    </w:p>
    <w:p>
      <w:pPr>
        <w:spacing w:before="0" w:after="120" w:line="360" w:lineRule="auto"/>
        <w:jc w:val="both"/>
      </w:pPr>
      <w:r>
        <w:rPr>
          <w:b w:val="1"/>
          <w:sz w:val="24"/>
          <w:szCs w:val="24"/>
        </w:rPr>
        <w:t xml:space="preserve">Software development life cycle. </w:t>
      </w:r>
      <w:r>
        <w:rPr>
          <w:sz w:val="24"/>
          <w:szCs w:val="24"/>
        </w:rPr>
        <w:t xml:space="preserve">The two projects followed two models taught in software engineering. Perangkat IT used a plan-driven, incremental approach: each phase had a design document, exit criteria, and a test gate, which suited a system holding sensitive data. The Excel tool followed a more agile approach, with small releases every few days shaped directly by user feedback, which suited requirements that were only discovered while using the tool. In practice, the right model depended on how well the requirements were known at the start.</w:t>
      </w:r>
    </w:p>
    <w:p>
      <w:pPr>
        <w:spacing w:before="0" w:after="120" w:line="360" w:lineRule="auto"/>
        <w:jc w:val="both"/>
      </w:pPr>
      <w:r>
        <w:rPr>
          <w:b w:val="1"/>
          <w:sz w:val="24"/>
          <w:szCs w:val="24"/>
        </w:rPr>
        <w:t xml:space="preserve">Software design. </w:t>
      </w:r>
      <w:r>
        <w:rPr>
          <w:sz w:val="24"/>
          <w:szCs w:val="24"/>
        </w:rPr>
        <w:t xml:space="preserve">Both systems apply separation of concerns. Perangkat IT uses a layered architecture (routes, controllers, services, repositories), and the Excel tool uses the Strategy pattern: each report is a strategy sharing one pipeline of reading, matching, summarising, and exporting. Adding a new report therefore meant adding one module instead of changing the whole program, which is exactly the benefit the design patterns lectures describe.</w:t>
      </w:r>
    </w:p>
    <w:p>
      <w:pPr>
        <w:spacing w:before="0" w:after="120" w:line="360" w:lineRule="auto"/>
        <w:jc w:val="both"/>
      </w:pPr>
      <w:r>
        <w:rPr>
          <w:b w:val="1"/>
          <w:sz w:val="24"/>
          <w:szCs w:val="24"/>
        </w:rPr>
        <w:t xml:space="preserve">Software testing. </w:t>
      </w:r>
      <w:r>
        <w:rPr>
          <w:sz w:val="24"/>
          <w:szCs w:val="24"/>
        </w:rPr>
        <w:t xml:space="preserve">Both projects follow the testing pyramid: many fast unit tests, fewer integration tests against a real database or real sample files, and a small number of end-to-end tests. Fixed bugs were covered by new regression tests so they could not quietly return. One practical lesson not covered in lectures was using reports made by hand as a test oracle: the automated output had to match the staff's own Excel result.</w:t>
      </w:r>
    </w:p>
    <w:p>
      <w:pPr>
        <w:spacing w:before="0" w:after="120" w:line="360" w:lineRule="auto"/>
        <w:jc w:val="both"/>
      </w:pPr>
      <w:r>
        <w:rPr>
          <w:b w:val="1"/>
          <w:sz w:val="24"/>
          <w:szCs w:val="24"/>
        </w:rPr>
        <w:t xml:space="preserve">Information security. </w:t>
      </w:r>
      <w:r>
        <w:rPr>
          <w:sz w:val="24"/>
          <w:szCs w:val="24"/>
        </w:rPr>
        <w:t xml:space="preserve">The work on Perangkat IT maps directly onto security principles from lectures: confidentiality (login required, data scoped to the user), least privilege (USER versus ADMIN roles), defence in depth (the interface hides actions and the server also refuses them), and availability (backups). Moving the login token into an httpOnly cookie addresses token theft through cross-site scripting, and filtering data inside the SQL query addresses broken access control, both of which appear in the OWASP Top 10.</w:t>
      </w:r>
    </w:p>
    <w:p>
      <w:pPr>
        <w:spacing w:before="0" w:after="120" w:line="360" w:lineRule="auto"/>
        <w:jc w:val="both"/>
      </w:pPr>
      <w:r>
        <w:rPr>
          <w:b w:val="1"/>
          <w:sz w:val="24"/>
          <w:szCs w:val="24"/>
        </w:rPr>
        <w:t xml:space="preserve">Human-computer interaction. </w:t>
      </w:r>
      <w:r>
        <w:rPr>
          <w:sz w:val="24"/>
          <w:szCs w:val="24"/>
        </w:rPr>
        <w:t xml:space="preserve">Usability heuristics such as "help users recognise, diagnose, and recover from errors", "visibility of system status", and "recognition rather than recall" shaped the later releases of the Excel tool. Error popups now say what happened and what to do next, every report states which filters were applied, and each filter box lists the values it accepts instead of expecting staff to remember them.</w:t>
      </w:r>
    </w:p>
    <w:p>
      <w:pPr>
        <w:spacing w:before="0" w:after="120" w:line="360" w:lineRule="auto"/>
        <w:jc w:val="both"/>
      </w:pPr>
      <w:r>
        <w:rPr>
          <w:b w:val="1"/>
          <w:sz w:val="24"/>
          <w:szCs w:val="24"/>
        </w:rPr>
        <w:t xml:space="preserve">Where practice differed from theory. </w:t>
      </w:r>
      <w:r>
        <w:rPr>
          <w:sz w:val="24"/>
          <w:szCs w:val="24"/>
        </w:rPr>
        <w:t xml:space="preserve">Coursework usually assumes clean data and stable requirements. In practice, column names differed between months, master files arrived in old .xls format, header rows sat in the middle of a sheet, and totals had to match the dashboard down to the rounding. Deployment also had real constraints: staff could not install Python, so the tool had to ship as a standalone program. Handling these cases took as much effort as the core logic.</w:t>
      </w:r>
    </w:p>
    <w:p>
      <w:pPr>
        <w:keepNext w:val="1"/>
        <w:spacing w:before="240" w:after="120" w:line="360" w:lineRule="auto"/>
        <w:jc w:val="left"/>
      </w:pPr>
      <w:r>
        <w:rPr>
          <w:b w:val="1"/>
          <w:sz w:val="24"/>
          <w:szCs w:val="24"/>
        </w:rPr>
        <w:t xml:space="preserve">4.3 Suggestions for Improvement</w:t>
      </w:r>
    </w:p>
    <w:p>
      <w:pPr>
        <w:spacing w:before="0" w:after="120" w:line="360" w:lineRule="auto"/>
        <w:jc w:val="both"/>
      </w:pPr>
      <w:r>
        <w:rPr>
          <w:sz w:val="24"/>
          <w:szCs w:val="24"/>
        </w:rPr>
        <w:t xml:space="preserve">For the IT division:</w:t>
      </w:r>
    </w:p>
    <w:p>
      <w:pPr>
        <w:numPr>
          <w:ilvl w:val="0"/>
          <w:numId w:val="2"/>
        </w:numPr>
        <w:spacing w:before="0" w:after="60" w:line="360" w:lineRule="auto"/>
        <w:jc w:val="both"/>
      </w:pPr>
      <w:r>
        <w:rPr>
          <w:sz w:val="24"/>
          <w:szCs w:val="24"/>
        </w:rPr>
        <w:t xml:space="preserve">Complete the production phase of Perangkat IT (HTTPS, scheduled off-machine backups, and a rehearsed restore) before rolling it out beyond the pilot group.</w:t>
      </w:r>
    </w:p>
    <w:p>
      <w:pPr>
        <w:numPr>
          <w:ilvl w:val="0"/>
          <w:numId w:val="2"/>
        </w:numPr>
        <w:spacing w:before="0" w:after="60" w:line="360" w:lineRule="auto"/>
        <w:jc w:val="both"/>
      </w:pPr>
      <w:r>
        <w:rPr>
          <w:sz w:val="24"/>
          <w:szCs w:val="24"/>
        </w:rPr>
        <w:t xml:space="preserve">Import existing device spreadsheets in bulk instead of typing records in by hand, and consider printed asset labels (for example QR codes) that open the device page directly.</w:t>
      </w:r>
    </w:p>
    <w:p>
      <w:pPr>
        <w:numPr>
          <w:ilvl w:val="0"/>
          <w:numId w:val="2"/>
        </w:numPr>
        <w:spacing w:before="0" w:after="60" w:line="360" w:lineRule="auto"/>
        <w:jc w:val="both"/>
      </w:pPr>
      <w:r>
        <w:rPr>
          <w:sz w:val="24"/>
          <w:szCs w:val="24"/>
        </w:rPr>
        <w:t xml:space="preserve">Connect logins to the company's employee directory or single sign-on so that accounts follow staff changes automatically.</w:t>
      </w:r>
    </w:p>
    <w:p>
      <w:pPr>
        <w:spacing w:before="0" w:after="120" w:line="360" w:lineRule="auto"/>
        <w:jc w:val="both"/>
      </w:pPr>
      <w:r>
        <w:rPr>
          <w:sz w:val="24"/>
          <w:szCs w:val="24"/>
        </w:rPr>
        <w:t xml:space="preserve">For the RTB division:</w:t>
      </w:r>
    </w:p>
    <w:p>
      <w:pPr>
        <w:numPr>
          <w:ilvl w:val="0"/>
          <w:numId w:val="2"/>
        </w:numPr>
        <w:spacing w:before="0" w:after="60" w:line="360" w:lineRule="auto"/>
        <w:jc w:val="both"/>
      </w:pPr>
      <w:r>
        <w:rPr>
          <w:sz w:val="24"/>
          <w:szCs w:val="24"/>
        </w:rPr>
        <w:t xml:space="preserve">Move settings that change over time (branch order, filter values) into a configuration file that staff can edit without a new release.</w:t>
      </w:r>
    </w:p>
    <w:p>
      <w:pPr>
        <w:numPr>
          <w:ilvl w:val="0"/>
          <w:numId w:val="2"/>
        </w:numPr>
        <w:spacing w:before="0" w:after="60" w:line="360" w:lineRule="auto"/>
        <w:jc w:val="both"/>
      </w:pPr>
      <w:r>
        <w:rPr>
          <w:sz w:val="24"/>
          <w:szCs w:val="24"/>
        </w:rPr>
        <w:t xml:space="preserve">Where possible, read the data directly from the source system so the manual download of extracts is no longer needed, and add a single action that produces all monthly reports in one run.</w:t>
      </w:r>
    </w:p>
    <w:p>
      <w:pPr>
        <w:numPr>
          <w:ilvl w:val="0"/>
          <w:numId w:val="2"/>
        </w:numPr>
        <w:spacing w:before="0" w:after="60" w:line="360" w:lineRule="auto"/>
        <w:jc w:val="both"/>
      </w:pPr>
      <w:r>
        <w:rPr>
          <w:sz w:val="24"/>
          <w:szCs w:val="24"/>
        </w:rPr>
        <w:t xml:space="preserve">Assign a maintainer and keep the sample extracts and automated tests with the tool, so future changes can be checked against known results.</w:t>
      </w:r>
    </w:p>
    <w:p>
      <w:pPr>
        <w:spacing w:before="0" w:after="120" w:line="360" w:lineRule="auto"/>
        <w:jc w:val="both"/>
      </w:pPr>
      <w:r>
        <w:rPr>
          <w:sz w:val="24"/>
          <w:szCs w:val="24"/>
        </w:rPr>
        <w:t xml:space="preserve">For both divisions, involving the end users early, with real sample data from the first week, would have surfaced most requirements sooner than discovering them release by release.</w:t>
      </w:r>
    </w:p>
    <w:p w:rsidR="00000000" w:rsidDel="00000000" w:rsidP="00000000" w:rsidRDefault="00000000" w:rsidRPr="00000000" w14:paraId="00000023">
      <w:pPr>
        <w:jc w:val="both"/>
        <w:rPr>
          <w:b w:val="1"/>
          <w:sz w:val="24"/>
          <w:szCs w:val="24"/>
        </w:rPr>
      </w:pPr>
      <w:r w:rsidDel="00000000" w:rsidR="00000000" w:rsidRPr="00000000">
        <w:rPr>
          <w:rtl w:val="0"/>
        </w:rPr>
      </w:r>
    </w:p>
    <w:p w:rsidR="00000000" w:rsidDel="00000000" w:rsidP="00000000" w:rsidRDefault="00000000" w:rsidRPr="00000000" w14:paraId="00000024">
      <w:pPr>
        <w:rPr>
          <w:b w:val="1"/>
          <w:sz w:val="28"/>
          <w:szCs w:val="28"/>
        </w:rPr>
      </w:pPr>
      <w:r w:rsidDel="00000000" w:rsidR="00000000" w:rsidRPr="00000000">
        <w:rPr>
          <w:b w:val="1"/>
          <w:sz w:val="28"/>
          <w:szCs w:val="28"/>
          <w:rtl w:val="0"/>
        </w:rPr>
        <w:t xml:space="preserve">Chapter 5. SOFTWARE PROJECTS FOR THE IT AND RTB DIVISIONS</w:t>
      </w:r>
    </w:p>
    <w:p>
      <w:pPr>
        <w:spacing w:before="0" w:after="120" w:line="360" w:lineRule="auto"/>
        <w:jc w:val="both"/>
      </w:pPr>
      <w:r>
        <w:rPr>
          <w:sz w:val="24"/>
          <w:szCs w:val="24"/>
        </w:rPr>
        <w:t xml:space="preserve">This chapter describes the two projects assigned by the company: the Perangkat IT asset management system for the IT division (Section 5.1) and the Tongkat Gaib Excel report automation tool for the RTB division (Section 5.2).</w:t>
      </w:r>
    </w:p>
    <w:p>
      <w:pPr>
        <w:keepNext w:val="1"/>
        <w:spacing w:before="240" w:after="120" w:line="360" w:lineRule="auto"/>
        <w:jc w:val="left"/>
      </w:pPr>
      <w:r>
        <w:rPr>
          <w:b w:val="1"/>
          <w:sz w:val="24"/>
          <w:szCs w:val="24"/>
        </w:rPr>
        <w:t xml:space="preserve">5.1 IT Division Project: Perangkat IT Asset Management System</w:t>
      </w:r>
    </w:p>
    <w:p>
      <w:pPr>
        <w:keepNext w:val="1"/>
        <w:spacing w:before="120" w:after="60" w:line="360" w:lineRule="auto"/>
        <w:jc w:val="left"/>
      </w:pPr>
      <w:r>
        <w:rPr>
          <w:b w:val="1"/>
          <w:i w:val="1"/>
          <w:sz w:val="24"/>
          <w:szCs w:val="24"/>
        </w:rPr>
        <w:t xml:space="preserve">5.1.1 Background and Problem</w:t>
      </w:r>
    </w:p>
    <w:p>
      <w:pPr>
        <w:spacing w:before="0" w:after="120" w:line="360" w:lineRule="auto"/>
        <w:jc w:val="both"/>
      </w:pPr>
      <w:r>
        <w:rPr>
          <w:sz w:val="24"/>
          <w:szCs w:val="24"/>
        </w:rPr>
        <w:t xml:space="preserve">The IT division needs an accurate record of every IT device, who is responsible for it, and its condition, both for daily support and for asset audits. The existing Perangkat IT application stored this information but had serious security gaps, no automated tests, no repeatable deployment, and no way to back up its data from the application. It also showed every employee the same data, whatever their role.</w:t>
      </w:r>
    </w:p>
    <w:p>
      <w:pPr>
        <w:keepNext w:val="1"/>
        <w:spacing w:before="120" w:after="60" w:line="360" w:lineRule="auto"/>
        <w:jc w:val="left"/>
      </w:pPr>
      <w:r>
        <w:rPr>
          <w:b w:val="1"/>
          <w:i w:val="1"/>
          <w:sz w:val="24"/>
          <w:szCs w:val="24"/>
        </w:rPr>
        <w:t xml:space="preserve">5.1.2 Objectives</w:t>
      </w:r>
    </w:p>
    <w:p>
      <w:pPr>
        <w:numPr>
          <w:ilvl w:val="0"/>
          <w:numId w:val="2"/>
        </w:numPr>
        <w:spacing w:before="0" w:after="60" w:line="360" w:lineRule="auto"/>
        <w:jc w:val="both"/>
      </w:pPr>
      <w:r>
        <w:rPr>
          <w:sz w:val="24"/>
          <w:szCs w:val="24"/>
        </w:rPr>
        <w:t xml:space="preserve">Close the security gaps without changing business rules or the database schema.</w:t>
      </w:r>
    </w:p>
    <w:p>
      <w:pPr>
        <w:numPr>
          <w:ilvl w:val="0"/>
          <w:numId w:val="2"/>
        </w:numPr>
        <w:spacing w:before="0" w:after="60" w:line="360" w:lineRule="auto"/>
        <w:jc w:val="both"/>
      </w:pPr>
      <w:r>
        <w:rPr>
          <w:sz w:val="24"/>
          <w:szCs w:val="24"/>
        </w:rPr>
        <w:t xml:space="preserve">Make the system testable, maintainable, and deployable with one command.</w:t>
      </w:r>
    </w:p>
    <w:p>
      <w:pPr>
        <w:numPr>
          <w:ilvl w:val="0"/>
          <w:numId w:val="2"/>
        </w:numPr>
        <w:spacing w:before="0" w:after="60" w:line="360" w:lineRule="auto"/>
        <w:jc w:val="both"/>
      </w:pPr>
      <w:r>
        <w:rPr>
          <w:sz w:val="24"/>
          <w:szCs w:val="24"/>
        </w:rPr>
        <w:t xml:space="preserve">Give administrators an in-app backup and restore feature (stakeholder request 1).</w:t>
      </w:r>
    </w:p>
    <w:p>
      <w:pPr>
        <w:numPr>
          <w:ilvl w:val="0"/>
          <w:numId w:val="2"/>
        </w:numPr>
        <w:spacing w:before="0" w:after="60" w:line="360" w:lineRule="auto"/>
        <w:jc w:val="both"/>
      </w:pPr>
      <w:r>
        <w:rPr>
          <w:sz w:val="24"/>
          <w:szCs w:val="24"/>
        </w:rPr>
        <w:t xml:space="preserve">Give ordinary employees a limited view of their own data through the same login page (stakeholder request 2).</w:t>
      </w:r>
    </w:p>
    <w:p>
      <w:pPr>
        <w:keepNext w:val="1"/>
        <w:spacing w:before="120" w:after="60" w:line="360" w:lineRule="auto"/>
        <w:jc w:val="left"/>
      </w:pPr>
      <w:r>
        <w:rPr>
          <w:b w:val="1"/>
          <w:i w:val="1"/>
          <w:sz w:val="24"/>
          <w:szCs w:val="24"/>
        </w:rPr>
        <w:t xml:space="preserve">5.1.3 System Architecture</w:t>
      </w:r>
    </w:p>
    <w:p>
      <w:pPr>
        <w:spacing w:before="0" w:after="120" w:line="360" w:lineRule="auto"/>
        <w:jc w:val="both"/>
      </w:pPr>
      <w:r>
        <w:rPr>
          <w:sz w:val="24"/>
          <w:szCs w:val="24"/>
        </w:rPr>
        <w:t xml:space="preserve">The system is a three-tier web application packaged with Docker Compose. A user's browser loads the React single-page application from an nginx web server, which also forwards every request under /api to the Express API server. The API reads and writes the PostgreSQL database and stores uploaded handover documents either on local disk or in S3-compatible storage. Logging in sets an httpOnly cookie holding a signed token (JWT). Every API route except login requires this cookie, and every data change also requires the ADMIN role.</w:t>
      </w:r>
    </w:p>
    <w:p>
      <w:pPr>
        <w:spacing w:before="0" w:after="120" w:line="360" w:lineRule="auto"/>
        <w:jc w:val="both"/>
      </w:pPr>
      <w:r>
        <w:rPr>
          <w:sz w:val="24"/>
          <w:szCs w:val="24"/>
        </w:rPr>
        <w:t xml:space="preserve">Inside the API, the code is organised in four layers: routes declare the endpoints and their access rules, controllers handle the HTTP request and response, services hold the business rules, and repositories contain the SQL queries. The API exposes 38 endpoints covering devices, employees, assignments, device status, BRIBOX asset categories, the dashboard, activity logs, backups, and authentication.</w:t>
      </w:r>
    </w:p>
    <w:p>
      <w:pPr>
        <w:keepNext w:val="1"/>
        <w:spacing w:before="120" w:after="60" w:line="360" w:lineRule="auto"/>
        <w:jc w:val="left"/>
      </w:pPr>
      <w:r>
        <w:rPr>
          <w:b w:val="1"/>
          <w:i w:val="1"/>
          <w:sz w:val="24"/>
          <w:szCs w:val="24"/>
        </w:rPr>
        <w:t xml:space="preserve">5.1.4 Database Design</w:t>
      </w:r>
    </w:p>
    <w:p>
      <w:pPr>
        <w:spacing w:before="0" w:after="120" w:line="360" w:lineRule="auto"/>
        <w:jc w:val="both"/>
      </w:pPr>
      <w:r>
        <w:rPr>
          <w:sz w:val="24"/>
          <w:szCs w:val="24"/>
        </w:rPr>
        <w:t xml:space="preserve">The PostgreSQL schema was kept as it was and placed under a migration tool so that future changes are versioned. Table 5.1 lists its tables.</w:t>
      </w:r>
    </w:p>
    <w:p>
      <w:pPr>
        <w:keepNext w:val="1"/>
        <w:spacing w:before="120" w:after="60" w:line="240" w:lineRule="auto"/>
        <w:jc w:val="center"/>
      </w:pPr>
      <w:r>
        <w:rPr>
          <w:b w:val="1"/>
          <w:sz w:val="20"/>
          <w:szCs w:val="20"/>
        </w:rPr>
        <w:t xml:space="preserve">Table 5.1 Perangkat IT database tables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200"/>
        <w:gridCol w:w="6826"/>
      </w:tblGrid>
      <w:tr>
        <w:trPr>
          <w:tblHeader w:val="1"/>
        </w:trPr>
        <w:tc>
          <w:tcPr>
            <w:tcW w:w="2200" w:type="dxa"/>
            <w:shd w:val="clear" w:color="auto" w:fill="D9D9D9"/>
            <w:vAlign w:val="top"/>
          </w:tcPr>
          <w:p>
            <w:pPr>
              <w:spacing w:before="0" w:after="0" w:line="240" w:lineRule="auto"/>
              <w:jc w:val="left"/>
            </w:pPr>
            <w:r>
              <w:rPr>
                <w:b w:val="1"/>
                <w:sz w:val="20"/>
                <w:szCs w:val="20"/>
              </w:rPr>
              <w:t xml:space="preserve">Table</w:t>
            </w:r>
          </w:p>
        </w:tc>
        <w:tc>
          <w:tcPr>
            <w:tcW w:w="6826" w:type="dxa"/>
            <w:shd w:val="clear" w:color="auto" w:fill="D9D9D9"/>
            <w:vAlign w:val="top"/>
          </w:tcPr>
          <w:p>
            <w:pPr>
              <w:spacing w:before="0" w:after="0" w:line="240" w:lineRule="auto"/>
              <w:jc w:val="left"/>
            </w:pPr>
            <w:r>
              <w:rPr>
                <w:b w:val="1"/>
                <w:sz w:val="20"/>
                <w:szCs w:val="20"/>
              </w:rPr>
              <w:t xml:space="preserve">Purpose</w:t>
            </w:r>
          </w:p>
        </w:tc>
      </w:tr>
      <w:tr>
        <w:tc>
          <w:tcPr>
            <w:tcW w:w="2200" w:type="dxa"/>
            <w:vAlign w:val="top"/>
          </w:tcPr>
          <w:p>
            <w:pPr>
              <w:spacing w:before="0" w:after="0" w:line="240" w:lineRule="auto"/>
              <w:jc w:val="left"/>
            </w:pPr>
            <w:r>
              <w:rPr>
                <w:sz w:val="20"/>
                <w:szCs w:val="20"/>
              </w:rPr>
              <w:t xml:space="preserve">karyawan</w:t>
            </w:r>
          </w:p>
        </w:tc>
        <w:tc>
          <w:tcPr>
            <w:tcW w:w="6826" w:type="dxa"/>
            <w:vAlign w:val="top"/>
          </w:tcPr>
          <w:p>
            <w:pPr>
              <w:spacing w:before="0" w:after="0" w:line="240" w:lineRule="auto"/>
              <w:jc w:val="left"/>
            </w:pPr>
            <w:r>
              <w:rPr>
                <w:sz w:val="20"/>
                <w:szCs w:val="20"/>
              </w:rPr>
              <w:t xml:space="preserve">Employees: name, employee number (NIP), division, position, contact details, active flag</w:t>
            </w:r>
          </w:p>
        </w:tc>
      </w:tr>
      <w:tr>
        <w:tc>
          <w:tcPr>
            <w:tcW w:w="2200" w:type="dxa"/>
            <w:vAlign w:val="top"/>
          </w:tcPr>
          <w:p>
            <w:pPr>
              <w:spacing w:before="0" w:after="0" w:line="240" w:lineRule="auto"/>
              <w:jc w:val="left"/>
            </w:pPr>
            <w:r>
              <w:rPr>
                <w:sz w:val="20"/>
                <w:szCs w:val="20"/>
              </w:rPr>
              <w:t xml:space="preserve">akun</w:t>
            </w:r>
          </w:p>
        </w:tc>
        <w:tc>
          <w:tcPr>
            <w:tcW w:w="6826" w:type="dxa"/>
            <w:vAlign w:val="top"/>
          </w:tcPr>
          <w:p>
            <w:pPr>
              <w:spacing w:before="0" w:after="0" w:line="240" w:lineRule="auto"/>
              <w:jc w:val="left"/>
            </w:pPr>
            <w:r>
              <w:rPr>
                <w:sz w:val="20"/>
                <w:szCs w:val="20"/>
              </w:rPr>
              <w:t xml:space="preserve">Login accounts linked to an employee, with a hashed password and a role (ADMIN or USER)</w:t>
            </w:r>
          </w:p>
        </w:tc>
      </w:tr>
      <w:tr>
        <w:tc>
          <w:tcPr>
            <w:tcW w:w="2200" w:type="dxa"/>
            <w:vAlign w:val="top"/>
          </w:tcPr>
          <w:p>
            <w:pPr>
              <w:spacing w:before="0" w:after="0" w:line="240" w:lineRule="auto"/>
              <w:jc w:val="left"/>
            </w:pPr>
            <w:r>
              <w:rPr>
                <w:sz w:val="20"/>
                <w:szCs w:val="20"/>
              </w:rPr>
              <w:t xml:space="preserve">mdeviceit</w:t>
            </w:r>
          </w:p>
        </w:tc>
        <w:tc>
          <w:tcPr>
            <w:tcW w:w="6826" w:type="dxa"/>
            <w:vAlign w:val="top"/>
          </w:tcPr>
          <w:p>
            <w:pPr>
              <w:spacing w:before="0" w:after="0" w:line="240" w:lineRule="auto"/>
              <w:jc w:val="left"/>
            </w:pPr>
            <w:r>
              <w:rPr>
                <w:sz w:val="20"/>
                <w:szCs w:val="20"/>
              </w:rPr>
              <w:t xml:space="preserve">Device master data: type (PC, Laptop, Printer), brand, model, serial number, asset number, specifications, acquisition date</w:t>
            </w:r>
          </w:p>
        </w:tc>
      </w:tr>
      <w:tr>
        <w:tc>
          <w:tcPr>
            <w:tcW w:w="2200" w:type="dxa"/>
            <w:vAlign w:val="top"/>
          </w:tcPr>
          <w:p>
            <w:pPr>
              <w:spacing w:before="0" w:after="0" w:line="240" w:lineRule="auto"/>
              <w:jc w:val="left"/>
            </w:pPr>
            <w:r>
              <w:rPr>
                <w:sz w:val="20"/>
                <w:szCs w:val="20"/>
              </w:rPr>
              <w:t xml:space="preserve">idbribox</w:t>
            </w:r>
          </w:p>
        </w:tc>
        <w:tc>
          <w:tcPr>
            <w:tcW w:w="6826" w:type="dxa"/>
            <w:vAlign w:val="top"/>
          </w:tcPr>
          <w:p>
            <w:pPr>
              <w:spacing w:before="0" w:after="0" w:line="240" w:lineRule="auto"/>
              <w:jc w:val="left"/>
            </w:pPr>
            <w:r>
              <w:rPr>
                <w:sz w:val="20"/>
                <w:szCs w:val="20"/>
              </w:rPr>
              <w:t xml:space="preserve">Asset category codes that each device belongs to</w:t>
            </w:r>
          </w:p>
        </w:tc>
      </w:tr>
      <w:tr>
        <w:tc>
          <w:tcPr>
            <w:tcW w:w="2200" w:type="dxa"/>
            <w:vAlign w:val="top"/>
          </w:tcPr>
          <w:p>
            <w:pPr>
              <w:spacing w:before="0" w:after="0" w:line="240" w:lineRule="auto"/>
              <w:jc w:val="left"/>
            </w:pPr>
            <w:r>
              <w:rPr>
                <w:sz w:val="20"/>
                <w:szCs w:val="20"/>
              </w:rPr>
              <w:t xml:space="preserve">penugasan_device</w:t>
            </w:r>
          </w:p>
        </w:tc>
        <w:tc>
          <w:tcPr>
            <w:tcW w:w="6826" w:type="dxa"/>
            <w:vAlign w:val="top"/>
          </w:tcPr>
          <w:p>
            <w:pPr>
              <w:spacing w:before="0" w:after="0" w:line="240" w:lineRule="auto"/>
              <w:jc w:val="left"/>
            </w:pPr>
            <w:r>
              <w:rPr>
                <w:sz w:val="20"/>
                <w:szCs w:val="20"/>
              </w:rPr>
              <w:t xml:space="preserve">Assignments of a device to an employee, with start and end dates, notes, and the handover document</w:t>
            </w:r>
          </w:p>
        </w:tc>
      </w:tr>
      <w:tr>
        <w:tc>
          <w:tcPr>
            <w:tcW w:w="2200" w:type="dxa"/>
            <w:vAlign w:val="top"/>
          </w:tcPr>
          <w:p>
            <w:pPr>
              <w:spacing w:before="0" w:after="0" w:line="240" w:lineRule="auto"/>
              <w:jc w:val="left"/>
            </w:pPr>
            <w:r>
              <w:rPr>
                <w:sz w:val="20"/>
                <w:szCs w:val="20"/>
              </w:rPr>
              <w:t xml:space="preserve">status_device</w:t>
            </w:r>
          </w:p>
        </w:tc>
        <w:tc>
          <w:tcPr>
            <w:tcW w:w="6826" w:type="dxa"/>
            <w:vAlign w:val="top"/>
          </w:tcPr>
          <w:p>
            <w:pPr>
              <w:spacing w:before="0" w:after="0" w:line="240" w:lineRule="auto"/>
              <w:jc w:val="left"/>
            </w:pPr>
            <w:r>
              <w:rPr>
                <w:sz w:val="20"/>
                <w:szCs w:val="20"/>
              </w:rPr>
              <w:t xml:space="preserve">Current and past status periods of a device (IN_USE, MAINTENANCE, AUCTION, STORAGE)</w:t>
            </w:r>
          </w:p>
        </w:tc>
      </w:tr>
      <w:tr>
        <w:tc>
          <w:tcPr>
            <w:tcW w:w="2200" w:type="dxa"/>
            <w:vAlign w:val="top"/>
          </w:tcPr>
          <w:p>
            <w:pPr>
              <w:spacing w:before="0" w:after="0" w:line="240" w:lineRule="auto"/>
              <w:jc w:val="left"/>
            </w:pPr>
            <w:r>
              <w:rPr>
                <w:sz w:val="20"/>
                <w:szCs w:val="20"/>
              </w:rPr>
              <w:t xml:space="preserve">storage_detail</w:t>
            </w:r>
          </w:p>
        </w:tc>
        <w:tc>
          <w:tcPr>
            <w:tcW w:w="6826" w:type="dxa"/>
            <w:vAlign w:val="top"/>
          </w:tcPr>
          <w:p>
            <w:pPr>
              <w:spacing w:before="0" w:after="0" w:line="240" w:lineRule="auto"/>
              <w:jc w:val="left"/>
            </w:pPr>
            <w:r>
              <w:rPr>
                <w:sz w:val="20"/>
                <w:szCs w:val="20"/>
              </w:rPr>
              <w:t xml:space="preserve">Storage location and condition, required whenever a device is in STORAGE</w:t>
            </w:r>
          </w:p>
        </w:tc>
      </w:tr>
      <w:tr>
        <w:tc>
          <w:tcPr>
            <w:tcW w:w="2200" w:type="dxa"/>
            <w:vAlign w:val="top"/>
          </w:tcPr>
          <w:p>
            <w:pPr>
              <w:spacing w:before="0" w:after="0" w:line="240" w:lineRule="auto"/>
              <w:jc w:val="left"/>
            </w:pPr>
            <w:r>
              <w:rPr>
                <w:sz w:val="20"/>
                <w:szCs w:val="20"/>
              </w:rPr>
              <w:t xml:space="preserve">riwayat_status</w:t>
            </w:r>
          </w:p>
        </w:tc>
        <w:tc>
          <w:tcPr>
            <w:tcW w:w="6826" w:type="dxa"/>
            <w:vAlign w:val="top"/>
          </w:tcPr>
          <w:p>
            <w:pPr>
              <w:spacing w:before="0" w:after="0" w:line="240" w:lineRule="auto"/>
              <w:jc w:val="left"/>
            </w:pPr>
            <w:r>
              <w:rPr>
                <w:sz w:val="20"/>
                <w:szCs w:val="20"/>
              </w:rPr>
              <w:t xml:space="preserve">Status change history: old and new status, who changed it, the reason, and a reference document</w:t>
            </w:r>
          </w:p>
        </w:tc>
      </w:tr>
      <w:tr>
        <w:tc>
          <w:tcPr>
            <w:tcW w:w="2200" w:type="dxa"/>
            <w:vAlign w:val="top"/>
          </w:tcPr>
          <w:p>
            <w:pPr>
              <w:spacing w:before="0" w:after="0" w:line="240" w:lineRule="auto"/>
              <w:jc w:val="left"/>
            </w:pPr>
            <w:r>
              <w:rPr>
                <w:sz w:val="20"/>
                <w:szCs w:val="20"/>
              </w:rPr>
              <w:t xml:space="preserve">log_aktivitas</w:t>
            </w:r>
          </w:p>
        </w:tc>
        <w:tc>
          <w:tcPr>
            <w:tcW w:w="6826" w:type="dxa"/>
            <w:vAlign w:val="top"/>
          </w:tcPr>
          <w:p>
            <w:pPr>
              <w:spacing w:before="0" w:after="0" w:line="240" w:lineRule="auto"/>
              <w:jc w:val="left"/>
            </w:pPr>
            <w:r>
              <w:rPr>
                <w:sz w:val="20"/>
                <w:szCs w:val="20"/>
              </w:rPr>
              <w:t xml:space="preserve">Audit log of every create, update, and delete action</w:t>
            </w:r>
          </w:p>
        </w:tc>
      </w:tr>
    </w:tbl>
    <w:p>
      <w:pPr>
        <w:spacing w:before="0" w:after="60" w:line="240" w:lineRule="auto"/>
        <w:jc w:val="both"/>
      </w:pPr>
    </w:p>
    <w:p>
      <w:pPr>
        <w:spacing w:before="0" w:after="120" w:line="360" w:lineRule="auto"/>
        <w:jc w:val="both"/>
      </w:pPr>
      <w:r>
        <w:rPr>
          <w:sz w:val="24"/>
          <w:szCs w:val="24"/>
        </w:rPr>
        <w:t xml:space="preserve">Partial unique indexes ensure that a device has only one open assignment and one current status at a time, and check constraints ensure that end dates never come before start dates and that storage details are present only when a device is in storage.</w:t>
      </w:r>
    </w:p>
    <w:p>
      <w:pPr>
        <w:keepNext w:val="1"/>
        <w:spacing w:before="120" w:after="60" w:line="360" w:lineRule="auto"/>
        <w:jc w:val="left"/>
      </w:pPr>
      <w:r>
        <w:rPr>
          <w:b w:val="1"/>
          <w:i w:val="1"/>
          <w:sz w:val="24"/>
          <w:szCs w:val="24"/>
        </w:rPr>
        <w:t xml:space="preserve">5.1.5 Role-Based Access Control</w:t>
      </w:r>
    </w:p>
    <w:p>
      <w:pPr>
        <w:spacing w:before="0" w:after="120" w:line="360" w:lineRule="auto"/>
        <w:jc w:val="both"/>
      </w:pPr>
      <w:r>
        <w:rPr>
          <w:sz w:val="24"/>
          <w:szCs w:val="24"/>
        </w:rPr>
        <w:t xml:space="preserve">For the second stakeholder request, both roles use the same login page and layout, but the API filters data by role inside the SQL query, and the sidebar shows only the pages a role may use. Table 5.2 shows the resulting permissions.</w:t>
      </w:r>
    </w:p>
    <w:p>
      <w:pPr>
        <w:keepNext w:val="1"/>
        <w:spacing w:before="120" w:after="60" w:line="240" w:lineRule="auto"/>
        <w:jc w:val="center"/>
      </w:pPr>
      <w:r>
        <w:rPr>
          <w:b w:val="1"/>
          <w:sz w:val="20"/>
          <w:szCs w:val="20"/>
        </w:rPr>
        <w:t xml:space="preserve">Table 5.2 Permission matrix</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4026"/>
        <w:gridCol w:w="2500"/>
        <w:gridCol w:w="2500"/>
      </w:tblGrid>
      <w:tr>
        <w:trPr>
          <w:tblHeader w:val="1"/>
        </w:trPr>
        <w:tc>
          <w:tcPr>
            <w:tcW w:w="4026" w:type="dxa"/>
            <w:shd w:val="clear" w:color="auto" w:fill="D9D9D9"/>
            <w:vAlign w:val="top"/>
          </w:tcPr>
          <w:p>
            <w:pPr>
              <w:spacing w:before="0" w:after="0" w:line="240" w:lineRule="auto"/>
              <w:jc w:val="left"/>
            </w:pPr>
            <w:r>
              <w:rPr>
                <w:b w:val="1"/>
                <w:sz w:val="20"/>
                <w:szCs w:val="20"/>
              </w:rPr>
              <w:t xml:space="preserve">Feature</w:t>
            </w:r>
          </w:p>
        </w:tc>
        <w:tc>
          <w:tcPr>
            <w:tcW w:w="2500" w:type="dxa"/>
            <w:shd w:val="clear" w:color="auto" w:fill="D9D9D9"/>
            <w:vAlign w:val="top"/>
          </w:tcPr>
          <w:p>
            <w:pPr>
              <w:spacing w:before="0" w:after="0" w:line="240" w:lineRule="auto"/>
              <w:jc w:val="left"/>
            </w:pPr>
            <w:r>
              <w:rPr>
                <w:b w:val="1"/>
                <w:sz w:val="20"/>
                <w:szCs w:val="20"/>
              </w:rPr>
              <w:t xml:space="preserve">ADMIN</w:t>
            </w:r>
          </w:p>
        </w:tc>
        <w:tc>
          <w:tcPr>
            <w:tcW w:w="2500" w:type="dxa"/>
            <w:shd w:val="clear" w:color="auto" w:fill="D9D9D9"/>
            <w:vAlign w:val="top"/>
          </w:tcPr>
          <w:p>
            <w:pPr>
              <w:spacing w:before="0" w:after="0" w:line="240" w:lineRule="auto"/>
              <w:jc w:val="left"/>
            </w:pPr>
            <w:r>
              <w:rPr>
                <w:b w:val="1"/>
                <w:sz w:val="20"/>
                <w:szCs w:val="20"/>
              </w:rPr>
              <w:t xml:space="preserve">USER</w:t>
            </w:r>
          </w:p>
        </w:tc>
      </w:tr>
      <w:tr>
        <w:tc>
          <w:tcPr>
            <w:tcW w:w="4026" w:type="dxa"/>
            <w:vAlign w:val="top"/>
          </w:tcPr>
          <w:p>
            <w:pPr>
              <w:spacing w:before="0" w:after="0" w:line="240" w:lineRule="auto"/>
              <w:jc w:val="left"/>
            </w:pPr>
            <w:r>
              <w:rPr>
                <w:sz w:val="20"/>
                <w:szCs w:val="20"/>
              </w:rPr>
              <w:t xml:space="preserve">View devices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Yes (read-only)</w:t>
            </w:r>
          </w:p>
        </w:tc>
      </w:tr>
      <w:tr>
        <w:tc>
          <w:tcPr>
            <w:tcW w:w="4026" w:type="dxa"/>
            <w:vAlign w:val="top"/>
          </w:tcPr>
          <w:p>
            <w:pPr>
              <w:spacing w:before="0" w:after="0" w:line="240" w:lineRule="auto"/>
              <w:jc w:val="left"/>
            </w:pPr>
            <w:r>
              <w:rPr>
                <w:sz w:val="20"/>
                <w:szCs w:val="20"/>
              </w:rPr>
              <w:t xml:space="preserve">Add, edit, or delete devices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View employees</w:t>
            </w:r>
          </w:p>
        </w:tc>
        <w:tc>
          <w:tcPr>
            <w:tcW w:w="2500" w:type="dxa"/>
            <w:vAlign w:val="top"/>
          </w:tcPr>
          <w:p>
            <w:pPr>
              <w:spacing w:before="0" w:after="0" w:line="240" w:lineRule="auto"/>
              <w:jc w:val="left"/>
            </w:pPr>
            <w:r>
              <w:rPr>
                <w:sz w:val="20"/>
                <w:szCs w:val="20"/>
              </w:rPr>
              <w:t xml:space="preserve">All employees</w:t>
            </w:r>
          </w:p>
        </w:tc>
        <w:tc>
          <w:tcPr>
            <w:tcW w:w="2500" w:type="dxa"/>
            <w:vAlign w:val="top"/>
          </w:tcPr>
          <w:p>
            <w:pPr>
              <w:spacing w:before="0" w:after="0" w:line="240" w:lineRule="auto"/>
              <w:jc w:val="left"/>
            </w:pPr>
            <w:r>
              <w:rPr>
                <w:sz w:val="20"/>
                <w:szCs w:val="20"/>
              </w:rPr>
              <w:t xml:space="preserve">Own record only</w:t>
            </w:r>
          </w:p>
        </w:tc>
      </w:tr>
      <w:tr>
        <w:tc>
          <w:tcPr>
            <w:tcW w:w="4026" w:type="dxa"/>
            <w:vAlign w:val="top"/>
          </w:tcPr>
          <w:p>
            <w:pPr>
              <w:spacing w:before="0" w:after="0" w:line="240" w:lineRule="auto"/>
              <w:jc w:val="left"/>
            </w:pPr>
            <w:r>
              <w:rPr>
                <w:sz w:val="20"/>
                <w:szCs w:val="20"/>
              </w:rPr>
              <w:t xml:space="preserve">View assignments and documents</w:t>
            </w:r>
          </w:p>
        </w:tc>
        <w:tc>
          <w:tcPr>
            <w:tcW w:w="2500" w:type="dxa"/>
            <w:vAlign w:val="top"/>
          </w:tcPr>
          <w:p>
            <w:pPr>
              <w:spacing w:before="0" w:after="0" w:line="240" w:lineRule="auto"/>
              <w:jc w:val="left"/>
            </w:pPr>
            <w:r>
              <w:rPr>
                <w:sz w:val="20"/>
                <w:szCs w:val="20"/>
              </w:rPr>
              <w:t xml:space="preserve">All</w:t>
            </w:r>
          </w:p>
        </w:tc>
        <w:tc>
          <w:tcPr>
            <w:tcW w:w="2500" w:type="dxa"/>
            <w:vAlign w:val="top"/>
          </w:tcPr>
          <w:p>
            <w:pPr>
              <w:spacing w:before="0" w:after="0" w:line="240" w:lineRule="auto"/>
              <w:jc w:val="left"/>
            </w:pPr>
            <w:r>
              <w:rPr>
                <w:sz w:val="20"/>
                <w:szCs w:val="20"/>
              </w:rPr>
              <w:t xml:space="preserve">Own assignments only</w:t>
            </w:r>
          </w:p>
        </w:tc>
      </w:tr>
      <w:tr>
        <w:tc>
          <w:tcPr>
            <w:tcW w:w="4026" w:type="dxa"/>
            <w:vAlign w:val="top"/>
          </w:tcPr>
          <w:p>
            <w:pPr>
              <w:spacing w:before="0" w:after="0" w:line="240" w:lineRule="auto"/>
              <w:jc w:val="left"/>
            </w:pPr>
            <w:r>
              <w:rPr>
                <w:sz w:val="20"/>
                <w:szCs w:val="20"/>
              </w:rPr>
              <w:t xml:space="preserve">Dashboard</w:t>
            </w:r>
          </w:p>
        </w:tc>
        <w:tc>
          <w:tcPr>
            <w:tcW w:w="2500" w:type="dxa"/>
            <w:vAlign w:val="top"/>
          </w:tcPr>
          <w:p>
            <w:pPr>
              <w:spacing w:before="0" w:after="0" w:line="240" w:lineRule="auto"/>
              <w:jc w:val="left"/>
            </w:pPr>
            <w:r>
              <w:rPr>
                <w:sz w:val="20"/>
                <w:szCs w:val="20"/>
              </w:rPr>
              <w:t xml:space="preserve">Organisation-wide summary</w:t>
            </w:r>
          </w:p>
        </w:tc>
        <w:tc>
          <w:tcPr>
            <w:tcW w:w="2500" w:type="dxa"/>
            <w:vAlign w:val="top"/>
          </w:tcPr>
          <w:p>
            <w:pPr>
              <w:spacing w:before="0" w:after="0" w:line="240" w:lineRule="auto"/>
              <w:jc w:val="left"/>
            </w:pPr>
            <w:r>
              <w:rPr>
                <w:sz w:val="20"/>
                <w:szCs w:val="20"/>
              </w:rPr>
              <w:t xml:space="preserve">Own active devices</w:t>
            </w:r>
          </w:p>
        </w:tc>
      </w:tr>
      <w:tr>
        <w:tc>
          <w:tcPr>
            <w:tcW w:w="4026" w:type="dxa"/>
            <w:vAlign w:val="top"/>
          </w:tcPr>
          <w:p>
            <w:pPr>
              <w:spacing w:before="0" w:after="0" w:line="240" w:lineRule="auto"/>
              <w:jc w:val="left"/>
            </w:pPr>
            <w:r>
              <w:rPr>
                <w:sz w:val="20"/>
                <w:szCs w:val="20"/>
              </w:rPr>
              <w:t xml:space="preserve">Activity logs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Backup and restore</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Change own password</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Yes</w:t>
            </w:r>
          </w:p>
        </w:tc>
      </w:tr>
    </w:tbl>
    <w:p>
      <w:pPr>
        <w:spacing w:before="0" w:after="60" w:line="240" w:lineRule="auto"/>
        <w:jc w:val="both"/>
      </w:pPr>
    </w:p>
    <w:p>
      <w:pPr>
        <w:keepNext w:val="1"/>
        <w:spacing w:before="120" w:after="60" w:line="360" w:lineRule="auto"/>
        <w:jc w:val="left"/>
      </w:pPr>
      <w:r>
        <w:rPr>
          <w:b w:val="1"/>
          <w:i w:val="1"/>
          <w:sz w:val="24"/>
          <w:szCs w:val="24"/>
        </w:rPr>
        <w:t xml:space="preserve">5.1.6 In-App Backup Feature</w:t>
      </w:r>
    </w:p>
    <w:p>
      <w:pPr>
        <w:spacing w:before="0" w:after="120" w:line="360" w:lineRule="auto"/>
        <w:jc w:val="both"/>
      </w:pPr>
      <w:r>
        <w:rPr>
          <w:sz w:val="24"/>
          <w:szCs w:val="24"/>
        </w:rPr>
        <w:t xml:space="preserve">For the first stakeholder request, administrators can start a database backup from the Backups page. The server runs the backup as a background job, and the page follows its progress, then lists completed backups for download or deletion. Restoring a backup requires an explicit confirmation step, because it replaces the current data. Server-side backup scripts remain available for scheduled backups.</w:t>
      </w:r>
    </w:p>
    <w:p>
      <w:pPr>
        <w:keepNext w:val="1"/>
        <w:spacing w:before="120" w:after="60" w:line="360" w:lineRule="auto"/>
        <w:jc w:val="left"/>
      </w:pPr>
      <w:r>
        <w:rPr>
          <w:b w:val="1"/>
          <w:i w:val="1"/>
          <w:sz w:val="24"/>
          <w:szCs w:val="24"/>
        </w:rPr>
        <w:t xml:space="preserve">5.1.7 Testing and Deployment</w:t>
      </w:r>
    </w:p>
    <w:p>
      <w:pPr>
        <w:keepNext w:val="1"/>
        <w:spacing w:before="120" w:after="60" w:line="240" w:lineRule="auto"/>
        <w:jc w:val="center"/>
      </w:pPr>
      <w:r>
        <w:rPr>
          <w:b w:val="1"/>
          <w:sz w:val="20"/>
          <w:szCs w:val="20"/>
        </w:rPr>
        <w:t xml:space="preserve">Table 5.3 Perangkat IT quality checks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600"/>
        <w:gridCol w:w="2200"/>
        <w:gridCol w:w="4226"/>
      </w:tblGrid>
      <w:tr>
        <w:trPr>
          <w:tblHeader w:val="1"/>
        </w:trPr>
        <w:tc>
          <w:tcPr>
            <w:tcW w:w="2600" w:type="dxa"/>
            <w:shd w:val="clear" w:color="auto" w:fill="D9D9D9"/>
            <w:vAlign w:val="top"/>
          </w:tcPr>
          <w:p>
            <w:pPr>
              <w:spacing w:before="0" w:after="0" w:line="240" w:lineRule="auto"/>
              <w:jc w:val="left"/>
            </w:pPr>
            <w:r>
              <w:rPr>
                <w:b w:val="1"/>
                <w:sz w:val="20"/>
                <w:szCs w:val="20"/>
              </w:rPr>
              <w:t xml:space="preserve">Check</w:t>
            </w:r>
          </w:p>
        </w:tc>
        <w:tc>
          <w:tcPr>
            <w:tcW w:w="2200" w:type="dxa"/>
            <w:shd w:val="clear" w:color="auto" w:fill="D9D9D9"/>
            <w:vAlign w:val="top"/>
          </w:tcPr>
          <w:p>
            <w:pPr>
              <w:spacing w:before="0" w:after="0" w:line="240" w:lineRule="auto"/>
              <w:jc w:val="left"/>
            </w:pPr>
            <w:r>
              <w:rPr>
                <w:b w:val="1"/>
                <w:sz w:val="20"/>
                <w:szCs w:val="20"/>
              </w:rPr>
              <w:t xml:space="preserve">Tool</w:t>
            </w:r>
          </w:p>
        </w:tc>
        <w:tc>
          <w:tcPr>
            <w:tcW w:w="4226" w:type="dxa"/>
            <w:shd w:val="clear" w:color="auto" w:fill="D9D9D9"/>
            <w:vAlign w:val="top"/>
          </w:tcPr>
          <w:p>
            <w:pPr>
              <w:spacing w:before="0" w:after="0" w:line="240" w:lineRule="auto"/>
              <w:jc w:val="left"/>
            </w:pPr>
            <w:r>
              <w:rPr>
                <w:b w:val="1"/>
                <w:sz w:val="20"/>
                <w:szCs w:val="20"/>
              </w:rPr>
              <w:t xml:space="preserve">Scope</w:t>
            </w:r>
          </w:p>
        </w:tc>
      </w:tr>
      <w:tr>
        <w:tc>
          <w:tcPr>
            <w:tcW w:w="2600" w:type="dxa"/>
            <w:vAlign w:val="top"/>
          </w:tcPr>
          <w:p>
            <w:pPr>
              <w:spacing w:before="0" w:after="0" w:line="240" w:lineRule="auto"/>
              <w:jc w:val="left"/>
            </w:pPr>
            <w:r>
              <w:rPr>
                <w:sz w:val="20"/>
                <w:szCs w:val="20"/>
              </w:rPr>
              <w:t xml:space="preserve">Backend unit and integration tests</w:t>
            </w:r>
          </w:p>
        </w:tc>
        <w:tc>
          <w:tcPr>
            <w:tcW w:w="2200" w:type="dxa"/>
            <w:vAlign w:val="top"/>
          </w:tcPr>
          <w:p>
            <w:pPr>
              <w:spacing w:before="0" w:after="0" w:line="240" w:lineRule="auto"/>
              <w:jc w:val="left"/>
            </w:pPr>
            <w:r>
              <w:rPr>
                <w:sz w:val="20"/>
                <w:szCs w:val="20"/>
              </w:rPr>
              <w:t xml:space="preserve">Vitest, Supertest</w:t>
            </w:r>
          </w:p>
        </w:tc>
        <w:tc>
          <w:tcPr>
            <w:tcW w:w="4226" w:type="dxa"/>
            <w:vAlign w:val="top"/>
          </w:tcPr>
          <w:p>
            <w:pPr>
              <w:spacing w:before="0" w:after="0" w:line="240" w:lineRule="auto"/>
              <w:jc w:val="left"/>
            </w:pPr>
            <w:r>
              <w:rPr>
                <w:sz w:val="20"/>
                <w:szCs w:val="20"/>
              </w:rPr>
              <w:t xml:space="preserve">126 test cases in 29 files, run against a real PostgreSQL test database</w:t>
            </w:r>
          </w:p>
        </w:tc>
      </w:tr>
      <w:tr>
        <w:tc>
          <w:tcPr>
            <w:tcW w:w="2600" w:type="dxa"/>
            <w:vAlign w:val="top"/>
          </w:tcPr>
          <w:p>
            <w:pPr>
              <w:spacing w:before="0" w:after="0" w:line="240" w:lineRule="auto"/>
              <w:jc w:val="left"/>
            </w:pPr>
            <w:r>
              <w:rPr>
                <w:sz w:val="20"/>
                <w:szCs w:val="20"/>
              </w:rPr>
              <w:t xml:space="preserve">Frontend unit tests</w:t>
            </w:r>
          </w:p>
        </w:tc>
        <w:tc>
          <w:tcPr>
            <w:tcW w:w="2200" w:type="dxa"/>
            <w:vAlign w:val="top"/>
          </w:tcPr>
          <w:p>
            <w:pPr>
              <w:spacing w:before="0" w:after="0" w:line="240" w:lineRule="auto"/>
              <w:jc w:val="left"/>
            </w:pPr>
            <w:r>
              <w:rPr>
                <w:sz w:val="20"/>
                <w:szCs w:val="20"/>
              </w:rPr>
              <w:t xml:space="preserve">Vitest, React Testing Library</w:t>
            </w:r>
          </w:p>
        </w:tc>
        <w:tc>
          <w:tcPr>
            <w:tcW w:w="4226" w:type="dxa"/>
            <w:vAlign w:val="top"/>
          </w:tcPr>
          <w:p>
            <w:pPr>
              <w:spacing w:before="0" w:after="0" w:line="240" w:lineRule="auto"/>
              <w:jc w:val="left"/>
            </w:pPr>
            <w:r>
              <w:rPr>
                <w:sz w:val="20"/>
                <w:szCs w:val="20"/>
              </w:rPr>
              <w:t xml:space="preserve">55 test cases in 22 files covering pages, forms, hooks, and the login context</w:t>
            </w:r>
          </w:p>
        </w:tc>
      </w:tr>
      <w:tr>
        <w:tc>
          <w:tcPr>
            <w:tcW w:w="2600" w:type="dxa"/>
            <w:vAlign w:val="top"/>
          </w:tcPr>
          <w:p>
            <w:pPr>
              <w:spacing w:before="0" w:after="0" w:line="240" w:lineRule="auto"/>
              <w:jc w:val="left"/>
            </w:pPr>
            <w:r>
              <w:rPr>
                <w:sz w:val="20"/>
                <w:szCs w:val="20"/>
              </w:rPr>
              <w:t xml:space="preserve">End-to-end smoke test</w:t>
            </w:r>
          </w:p>
        </w:tc>
        <w:tc>
          <w:tcPr>
            <w:tcW w:w="2200" w:type="dxa"/>
            <w:vAlign w:val="top"/>
          </w:tcPr>
          <w:p>
            <w:pPr>
              <w:spacing w:before="0" w:after="0" w:line="240" w:lineRule="auto"/>
              <w:jc w:val="left"/>
            </w:pPr>
            <w:r>
              <w:rPr>
                <w:sz w:val="20"/>
                <w:szCs w:val="20"/>
              </w:rPr>
              <w:t xml:space="preserve">Playwright</w:t>
            </w:r>
          </w:p>
        </w:tc>
        <w:tc>
          <w:tcPr>
            <w:tcW w:w="4226" w:type="dxa"/>
            <w:vAlign w:val="top"/>
          </w:tcPr>
          <w:p>
            <w:pPr>
              <w:spacing w:before="0" w:after="0" w:line="240" w:lineRule="auto"/>
              <w:jc w:val="left"/>
            </w:pPr>
            <w:r>
              <w:rPr>
                <w:sz w:val="20"/>
                <w:szCs w:val="20"/>
              </w:rPr>
              <w:t xml:space="preserve">Log in, open the dashboard and device list, log out in a real browser</w:t>
            </w:r>
          </w:p>
        </w:tc>
      </w:tr>
      <w:tr>
        <w:tc>
          <w:tcPr>
            <w:tcW w:w="2600" w:type="dxa"/>
            <w:vAlign w:val="top"/>
          </w:tcPr>
          <w:p>
            <w:pPr>
              <w:spacing w:before="0" w:after="0" w:line="240" w:lineRule="auto"/>
              <w:jc w:val="left"/>
            </w:pPr>
            <w:r>
              <w:rPr>
                <w:sz w:val="20"/>
                <w:szCs w:val="20"/>
              </w:rPr>
              <w:t xml:space="preserve">Continuous integration</w:t>
            </w:r>
          </w:p>
        </w:tc>
        <w:tc>
          <w:tcPr>
            <w:tcW w:w="2200" w:type="dxa"/>
            <w:vAlign w:val="top"/>
          </w:tcPr>
          <w:p>
            <w:pPr>
              <w:spacing w:before="0" w:after="0" w:line="240" w:lineRule="auto"/>
              <w:jc w:val="left"/>
            </w:pPr>
            <w:r>
              <w:rPr>
                <w:sz w:val="20"/>
                <w:szCs w:val="20"/>
              </w:rPr>
              <w:t xml:space="preserve">GitHub Actions</w:t>
            </w:r>
          </w:p>
        </w:tc>
        <w:tc>
          <w:tcPr>
            <w:tcW w:w="4226" w:type="dxa"/>
            <w:vAlign w:val="top"/>
          </w:tcPr>
          <w:p>
            <w:pPr>
              <w:spacing w:before="0" w:after="0" w:line="240" w:lineRule="auto"/>
              <w:jc w:val="left"/>
            </w:pPr>
            <w:r>
              <w:rPr>
                <w:sz w:val="20"/>
                <w:szCs w:val="20"/>
              </w:rPr>
              <w:t xml:space="preserve">Runs both test suites, the frontend build, dependency audits, and the Docker image build on every push</w:t>
            </w:r>
          </w:p>
        </w:tc>
      </w:tr>
    </w:tbl>
    <w:p>
      <w:pPr>
        <w:spacing w:before="0" w:after="60" w:line="240" w:lineRule="auto"/>
        <w:jc w:val="both"/>
      </w:pPr>
    </w:p>
    <w:p>
      <w:pPr>
        <w:spacing w:before="0" w:after="120" w:line="360" w:lineRule="auto"/>
        <w:jc w:val="both"/>
      </w:pPr>
      <w:r>
        <w:rPr>
          <w:sz w:val="24"/>
          <w:szCs w:val="24"/>
        </w:rPr>
        <w:t xml:space="preserve">The whole system starts with a single Docker Compose command. A deployment runbook and a go-live checklist, in English and Indonesian, document the steps for installation, demo accounts, backups, and the later move to public HTTPS hosting.</w:t>
      </w:r>
    </w:p>
    <w:p>
      <w:pPr>
        <w:keepNext w:val="1"/>
        <w:spacing w:before="120" w:after="60" w:line="360" w:lineRule="auto"/>
        <w:jc w:val="left"/>
      </w:pPr>
      <w:r>
        <w:rPr>
          <w:b w:val="1"/>
          <w:i w:val="1"/>
          <w:sz w:val="24"/>
          <w:szCs w:val="24"/>
        </w:rPr>
        <w:t xml:space="preserve">5.1.8 Results</w:t>
      </w:r>
    </w:p>
    <w:p>
      <w:pPr>
        <w:spacing w:before="0" w:after="120" w:line="360" w:lineRule="auto"/>
        <w:jc w:val="both"/>
      </w:pPr>
      <w:r>
        <w:rPr>
          <w:sz w:val="24"/>
          <w:szCs w:val="24"/>
        </w:rPr>
        <w:t xml:space="preserve">All planned phases up to the internal pilot, both stakeholder requests, and the frontend test suite were completed. The system now requires a login for all data, limits each role to what it should see, keeps a full history of device status and changes, can back up its own data, and is checked automatically on every change. Public HTTPS hosting remains the next step for the division.</w:t>
      </w:r>
    </w:p>
    <w:p>
      <w:pPr>
        <w:keepNext w:val="1"/>
        <w:spacing w:before="240" w:after="120" w:line="360" w:lineRule="auto"/>
        <w:jc w:val="left"/>
      </w:pPr>
      <w:r>
        <w:rPr>
          <w:b w:val="1"/>
          <w:sz w:val="24"/>
          <w:szCs w:val="24"/>
        </w:rPr>
        <w:t xml:space="preserve">5.2 RTB Division Project: Tongkat Gaib Excel Report Automation Tool</w:t>
      </w:r>
    </w:p>
    <w:p>
      <w:pPr>
        <w:keepNext w:val="1"/>
        <w:spacing w:before="120" w:after="60" w:line="360" w:lineRule="auto"/>
        <w:jc w:val="left"/>
      </w:pPr>
      <w:r>
        <w:rPr>
          <w:b w:val="1"/>
          <w:i w:val="1"/>
          <w:sz w:val="24"/>
          <w:szCs w:val="24"/>
        </w:rPr>
        <w:t xml:space="preserve">5.2.1 Background and Problem</w:t>
      </w:r>
    </w:p>
    <w:p>
      <w:pPr>
        <w:spacing w:before="0" w:after="120" w:line="360" w:lineRule="auto"/>
        <w:jc w:val="both"/>
      </w:pPr>
      <w:r>
        <w:rPr>
          <w:sz w:val="24"/>
          <w:szCs w:val="24"/>
        </w:rPr>
        <w:t xml:space="preserve">The RTB division prepares recurring reports on transaction volumes, fee-based income, active users, product counts, and giro balances for each branch, and places them on its dashboard. Each report was produced manually in Excel from a raw system extract, as described in Section 3.2.1. The manual steps took time with large files, needed the operator to remember each report's filter rules, and left room for errors that were hard to spot.</w:t>
      </w:r>
    </w:p>
    <w:p>
      <w:pPr>
        <w:keepNext w:val="1"/>
        <w:spacing w:before="120" w:after="60" w:line="360" w:lineRule="auto"/>
        <w:jc w:val="left"/>
      </w:pPr>
      <w:r>
        <w:rPr>
          <w:b w:val="1"/>
          <w:i w:val="1"/>
          <w:sz w:val="24"/>
          <w:szCs w:val="24"/>
        </w:rPr>
        <w:t xml:space="preserve">5.2.2 Objectives</w:t>
      </w:r>
    </w:p>
    <w:p>
      <w:pPr>
        <w:numPr>
          <w:ilvl w:val="0"/>
          <w:numId w:val="2"/>
        </w:numPr>
        <w:spacing w:before="0" w:after="60" w:line="360" w:lineRule="auto"/>
        <w:jc w:val="both"/>
      </w:pPr>
      <w:r>
        <w:rPr>
          <w:sz w:val="24"/>
          <w:szCs w:val="24"/>
        </w:rPr>
        <w:t xml:space="preserve">Reproduce each manual report exactly, including filters, grouping, and number format.</w:t>
      </w:r>
    </w:p>
    <w:p>
      <w:pPr>
        <w:numPr>
          <w:ilvl w:val="0"/>
          <w:numId w:val="2"/>
        </w:numPr>
        <w:spacing w:before="0" w:after="60" w:line="360" w:lineRule="auto"/>
        <w:jc w:val="both"/>
      </w:pPr>
      <w:r>
        <w:rPr>
          <w:sz w:val="24"/>
          <w:szCs w:val="24"/>
        </w:rPr>
        <w:t xml:space="preserve">Reduce each report to selecting the input files and clicking Run.</w:t>
      </w:r>
    </w:p>
    <w:p>
      <w:pPr>
        <w:numPr>
          <w:ilvl w:val="0"/>
          <w:numId w:val="2"/>
        </w:numPr>
        <w:spacing w:before="0" w:after="60" w:line="360" w:lineRule="auto"/>
        <w:jc w:val="both"/>
      </w:pPr>
      <w:r>
        <w:rPr>
          <w:sz w:val="24"/>
          <w:szCs w:val="24"/>
        </w:rPr>
        <w:t xml:space="preserve">Never modify the input files, and never write a half-finished output.</w:t>
      </w:r>
    </w:p>
    <w:p>
      <w:pPr>
        <w:numPr>
          <w:ilvl w:val="0"/>
          <w:numId w:val="2"/>
        </w:numPr>
        <w:spacing w:before="0" w:after="60" w:line="360" w:lineRule="auto"/>
        <w:jc w:val="both"/>
      </w:pPr>
      <w:r>
        <w:rPr>
          <w:sz w:val="24"/>
          <w:szCs w:val="24"/>
        </w:rPr>
        <w:t xml:space="preserve">Run on a standard office PC without Python, Excel add-ins, or an internet connection.</w:t>
      </w:r>
    </w:p>
    <w:p>
      <w:pPr>
        <w:keepNext w:val="1"/>
        <w:spacing w:before="120" w:after="60" w:line="360" w:lineRule="auto"/>
        <w:jc w:val="left"/>
      </w:pPr>
      <w:r>
        <w:rPr>
          <w:b w:val="1"/>
          <w:i w:val="1"/>
          <w:sz w:val="24"/>
          <w:szCs w:val="24"/>
        </w:rPr>
        <w:t xml:space="preserve">5.2.3 Mapping the Manual Process to the Program</w:t>
      </w:r>
    </w:p>
    <w:p>
      <w:pPr>
        <w:spacing w:before="0" w:after="120" w:line="360" w:lineRule="auto"/>
        <w:jc w:val="both"/>
      </w:pPr>
      <w:r>
        <w:rPr>
          <w:sz w:val="24"/>
          <w:szCs w:val="24"/>
        </w:rPr>
        <w:t xml:space="preserve">Each manual Excel step was replaced by one module of the program, as shown in Table 5.4.</w:t>
      </w:r>
    </w:p>
    <w:p>
      <w:pPr>
        <w:keepNext w:val="1"/>
        <w:spacing w:before="120" w:after="60" w:line="240" w:lineRule="auto"/>
        <w:jc w:val="center"/>
      </w:pPr>
      <w:r>
        <w:rPr>
          <w:b w:val="1"/>
          <w:sz w:val="20"/>
          <w:szCs w:val="20"/>
        </w:rPr>
        <w:t xml:space="preserve">Table 5.4 Manual Excel steps and their automated equivalents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700"/>
        <w:gridCol w:w="4626"/>
        <w:gridCol w:w="1700"/>
      </w:tblGrid>
      <w:tr>
        <w:trPr>
          <w:tblHeader w:val="1"/>
        </w:trPr>
        <w:tc>
          <w:tcPr>
            <w:tcW w:w="2700" w:type="dxa"/>
            <w:shd w:val="clear" w:color="auto" w:fill="D9D9D9"/>
            <w:vAlign w:val="top"/>
          </w:tcPr>
          <w:p>
            <w:pPr>
              <w:spacing w:before="0" w:after="0" w:line="240" w:lineRule="auto"/>
              <w:jc w:val="left"/>
            </w:pPr>
            <w:r>
              <w:rPr>
                <w:b w:val="1"/>
                <w:sz w:val="20"/>
                <w:szCs w:val="20"/>
              </w:rPr>
              <w:t xml:space="preserve">Manual Excel step</w:t>
            </w:r>
          </w:p>
        </w:tc>
        <w:tc>
          <w:tcPr>
            <w:tcW w:w="4626" w:type="dxa"/>
            <w:shd w:val="clear" w:color="auto" w:fill="D9D9D9"/>
            <w:vAlign w:val="top"/>
          </w:tcPr>
          <w:p>
            <w:pPr>
              <w:spacing w:before="0" w:after="0" w:line="240" w:lineRule="auto"/>
              <w:jc w:val="left"/>
            </w:pPr>
            <w:r>
              <w:rPr>
                <w:b w:val="1"/>
                <w:sz w:val="20"/>
                <w:szCs w:val="20"/>
              </w:rPr>
              <w:t xml:space="preserve">Automated equivalent</w:t>
            </w:r>
          </w:p>
        </w:tc>
        <w:tc>
          <w:tcPr>
            <w:tcW w:w="1700" w:type="dxa"/>
            <w:shd w:val="clear" w:color="auto" w:fill="D9D9D9"/>
            <w:vAlign w:val="top"/>
          </w:tcPr>
          <w:p>
            <w:pPr>
              <w:spacing w:before="0" w:after="0" w:line="240" w:lineRule="auto"/>
              <w:jc w:val="left"/>
            </w:pPr>
            <w:r>
              <w:rPr>
                <w:b w:val="1"/>
                <w:sz w:val="20"/>
                <w:szCs w:val="20"/>
              </w:rPr>
              <w:t xml:space="preserve">Module</w:t>
            </w:r>
          </w:p>
        </w:tc>
      </w:tr>
      <w:tr>
        <w:tc>
          <w:tcPr>
            <w:tcW w:w="2700" w:type="dxa"/>
            <w:vAlign w:val="top"/>
          </w:tcPr>
          <w:p>
            <w:pPr>
              <w:spacing w:before="0" w:after="0" w:line="240" w:lineRule="auto"/>
              <w:jc w:val="left"/>
            </w:pPr>
            <w:r>
              <w:rPr>
                <w:sz w:val="20"/>
                <w:szCs w:val="20"/>
              </w:rPr>
              <w:t xml:space="preserve">Text to Columns with the | delimiter</w:t>
            </w:r>
          </w:p>
        </w:tc>
        <w:tc>
          <w:tcPr>
            <w:tcW w:w="4626" w:type="dxa"/>
            <w:vAlign w:val="top"/>
          </w:tcPr>
          <w:p>
            <w:pPr>
              <w:spacing w:before="0" w:after="0" w:line="240" w:lineRule="auto"/>
              <w:jc w:val="left"/>
            </w:pPr>
            <w:r>
              <w:rPr>
                <w:sz w:val="20"/>
                <w:szCs w:val="20"/>
              </w:rPr>
              <w:t xml:space="preserve">Read the pipe-delimited extract, handling encodings, extra spaces, and malformed rows</w:t>
            </w:r>
          </w:p>
        </w:tc>
        <w:tc>
          <w:tcPr>
            <w:tcW w:w="1700" w:type="dxa"/>
            <w:vAlign w:val="top"/>
          </w:tcPr>
          <w:p>
            <w:pPr>
              <w:spacing w:before="0" w:after="0" w:line="240" w:lineRule="auto"/>
              <w:jc w:val="left"/>
            </w:pPr>
            <w:r>
              <w:rPr>
                <w:sz w:val="20"/>
                <w:szCs w:val="20"/>
              </w:rPr>
              <w:t xml:space="preserve">ingestion.py</w:t>
            </w:r>
          </w:p>
        </w:tc>
      </w:tr>
      <w:tr>
        <w:tc>
          <w:tcPr>
            <w:tcW w:w="2700" w:type="dxa"/>
            <w:vAlign w:val="top"/>
          </w:tcPr>
          <w:p>
            <w:pPr>
              <w:spacing w:before="0" w:after="0" w:line="240" w:lineRule="auto"/>
              <w:jc w:val="left"/>
            </w:pPr>
            <w:r>
              <w:rPr>
                <w:sz w:val="20"/>
                <w:szCs w:val="20"/>
              </w:rPr>
              <w:t xml:space="preserve">VLOOKUP against the mapping workbook</w:t>
            </w:r>
          </w:p>
        </w:tc>
        <w:tc>
          <w:tcPr>
            <w:tcW w:w="4626" w:type="dxa"/>
            <w:vAlign w:val="top"/>
          </w:tcPr>
          <w:p>
            <w:pPr>
              <w:spacing w:before="0" w:after="0" w:line="240" w:lineRule="auto"/>
              <w:jc w:val="left"/>
            </w:pPr>
            <w:r>
              <w:rPr>
                <w:sz w:val="20"/>
                <w:szCs w:val="20"/>
              </w:rPr>
              <w:t xml:space="preserve">Join each unit code to its main branch code and name; unmatched codes are grouped as UNMAPPED and reported</w:t>
            </w:r>
          </w:p>
        </w:tc>
        <w:tc>
          <w:tcPr>
            <w:tcW w:w="1700" w:type="dxa"/>
            <w:vAlign w:val="top"/>
          </w:tcPr>
          <w:p>
            <w:pPr>
              <w:spacing w:before="0" w:after="0" w:line="240" w:lineRule="auto"/>
              <w:jc w:val="left"/>
            </w:pPr>
            <w:r>
              <w:rPr>
                <w:sz w:val="20"/>
                <w:szCs w:val="20"/>
              </w:rPr>
              <w:t xml:space="preserve">enrichment.py</w:t>
            </w:r>
          </w:p>
        </w:tc>
      </w:tr>
      <w:tr>
        <w:tc>
          <w:tcPr>
            <w:tcW w:w="2700" w:type="dxa"/>
            <w:vAlign w:val="top"/>
          </w:tcPr>
          <w:p>
            <w:pPr>
              <w:spacing w:before="0" w:after="0" w:line="240" w:lineRule="auto"/>
              <w:jc w:val="left"/>
            </w:pPr>
            <w:r>
              <w:rPr>
                <w:sz w:val="20"/>
                <w:szCs w:val="20"/>
              </w:rPr>
              <w:t xml:space="preserve">PivotTable with the SEGMEN filter</w:t>
            </w:r>
          </w:p>
        </w:tc>
        <w:tc>
          <w:tcPr>
            <w:tcW w:w="4626" w:type="dxa"/>
            <w:vAlign w:val="top"/>
          </w:tcPr>
          <w:p>
            <w:pPr>
              <w:spacing w:before="0" w:after="0" w:line="240" w:lineRule="auto"/>
              <w:jc w:val="left"/>
            </w:pPr>
            <w:r>
              <w:rPr>
                <w:sz w:val="20"/>
                <w:szCs w:val="20"/>
              </w:rPr>
              <w:t xml:space="preserve">Group and sum or count per branch, with include and exclude filters</w:t>
            </w:r>
          </w:p>
        </w:tc>
        <w:tc>
          <w:tcPr>
            <w:tcW w:w="1700" w:type="dxa"/>
            <w:vAlign w:val="top"/>
          </w:tcPr>
          <w:p>
            <w:pPr>
              <w:spacing w:before="0" w:after="0" w:line="240" w:lineRule="auto"/>
              <w:jc w:val="left"/>
            </w:pPr>
            <w:r>
              <w:rPr>
                <w:sz w:val="20"/>
                <w:szCs w:val="20"/>
              </w:rPr>
              <w:t xml:space="preserve">aggregation.py</w:t>
            </w:r>
          </w:p>
        </w:tc>
      </w:tr>
      <w:tr>
        <w:tc>
          <w:tcPr>
            <w:tcW w:w="2700" w:type="dxa"/>
            <w:vAlign w:val="top"/>
          </w:tcPr>
          <w:p>
            <w:pPr>
              <w:spacing w:before="0" w:after="0" w:line="240" w:lineRule="auto"/>
              <w:jc w:val="left"/>
            </w:pPr>
            <w:r>
              <w:rPr>
                <w:sz w:val="20"/>
                <w:szCs w:val="20"/>
              </w:rPr>
              <w:t xml:space="preserve">Tabular layout, no subtotals, Number format</w:t>
            </w:r>
          </w:p>
        </w:tc>
        <w:tc>
          <w:tcPr>
            <w:tcW w:w="4626" w:type="dxa"/>
            <w:vAlign w:val="top"/>
          </w:tcPr>
          <w:p>
            <w:pPr>
              <w:spacing w:before="0" w:after="0" w:line="240" w:lineRule="auto"/>
              <w:jc w:val="left"/>
            </w:pPr>
            <w:r>
              <w:rPr>
                <w:sz w:val="20"/>
                <w:szCs w:val="20"/>
              </w:rPr>
              <w:t xml:space="preserve">Styled Excel output with a Grand Total and plain whole-number format</w:t>
            </w:r>
          </w:p>
        </w:tc>
        <w:tc>
          <w:tcPr>
            <w:tcW w:w="1700" w:type="dxa"/>
            <w:vAlign w:val="top"/>
          </w:tcPr>
          <w:p>
            <w:pPr>
              <w:spacing w:before="0" w:after="0" w:line="240" w:lineRule="auto"/>
              <w:jc w:val="left"/>
            </w:pPr>
            <w:r>
              <w:rPr>
                <w:sz w:val="20"/>
                <w:szCs w:val="20"/>
              </w:rPr>
              <w:t xml:space="preserve">exporter.py</w:t>
            </w:r>
          </w:p>
        </w:tc>
      </w:tr>
      <w:tr>
        <w:tc>
          <w:tcPr>
            <w:tcW w:w="2700" w:type="dxa"/>
            <w:vAlign w:val="top"/>
          </w:tcPr>
          <w:p>
            <w:pPr>
              <w:spacing w:before="0" w:after="0" w:line="240" w:lineRule="auto"/>
              <w:jc w:val="left"/>
            </w:pPr>
            <w:r>
              <w:rPr>
                <w:sz w:val="20"/>
                <w:szCs w:val="20"/>
              </w:rPr>
              <w:t xml:space="preserve">Ctrl+F lookup of each giro account</w:t>
            </w:r>
          </w:p>
        </w:tc>
        <w:tc>
          <w:tcPr>
            <w:tcW w:w="4626" w:type="dxa"/>
            <w:vAlign w:val="top"/>
          </w:tcPr>
          <w:p>
            <w:pPr>
              <w:spacing w:before="0" w:after="0" w:line="240" w:lineRule="auto"/>
              <w:jc w:val="left"/>
            </w:pPr>
            <w:r>
              <w:rPr>
                <w:sz w:val="20"/>
                <w:szCs w:val="20"/>
              </w:rPr>
              <w:t xml:space="preserve">Write each account's balance into the giro master's SALDO UPDATE column</w:t>
            </w:r>
          </w:p>
        </w:tc>
        <w:tc>
          <w:tcPr>
            <w:tcW w:w="1700" w:type="dxa"/>
            <w:vAlign w:val="top"/>
          </w:tcPr>
          <w:p>
            <w:pPr>
              <w:spacing w:before="0" w:after="0" w:line="240" w:lineRule="auto"/>
              <w:jc w:val="left"/>
            </w:pPr>
            <w:r>
              <w:rPr>
                <w:sz w:val="20"/>
                <w:szCs w:val="20"/>
              </w:rPr>
              <w:t xml:space="preserve">report_giro.py</w:t>
            </w:r>
          </w:p>
        </w:tc>
      </w:tr>
    </w:tbl>
    <w:p>
      <w:pPr>
        <w:spacing w:before="0" w:after="60" w:line="240" w:lineRule="auto"/>
        <w:jc w:val="both"/>
      </w:pPr>
    </w:p>
    <w:p>
      <w:pPr>
        <w:keepNext w:val="1"/>
        <w:spacing w:before="120" w:after="60" w:line="360" w:lineRule="auto"/>
        <w:jc w:val="left"/>
      </w:pPr>
      <w:r>
        <w:rPr>
          <w:b w:val="1"/>
          <w:i w:val="1"/>
          <w:sz w:val="24"/>
          <w:szCs w:val="24"/>
        </w:rPr>
        <w:t xml:space="preserve">5.2.4 Program Design</w:t>
      </w:r>
    </w:p>
    <w:p>
      <w:pPr>
        <w:spacing w:before="0" w:after="120" w:line="360" w:lineRule="auto"/>
        <w:jc w:val="both"/>
      </w:pPr>
      <w:r>
        <w:rPr>
          <w:sz w:val="24"/>
          <w:szCs w:val="24"/>
        </w:rPr>
        <w:t xml:space="preserve">Every report is implemented as a strategy that shares one pipeline: read the extract, optionally match it against reference data, summarise it, and export it. An orchestrator runs the selected strategy, catches failures, and records timing. The list of reports is declared in one place, so the desktop window's drop-down menu, the command-line help, and the documentation always show the same reports in the same order, following the operator's daily sequence.</w:t>
      </w:r>
    </w:p>
    <w:p>
      <w:pPr>
        <w:spacing w:before="0" w:after="120" w:line="360" w:lineRule="auto"/>
        <w:jc w:val="both"/>
      </w:pPr>
      <w:r>
        <w:rPr>
          <w:sz w:val="24"/>
          <w:szCs w:val="24"/>
        </w:rPr>
        <w:t xml:space="preserve">Operators use a desktop window: choose a report, pick the input files, adjust the filters if needed, choose where to save, and click Run Pipeline. Buttons and filter boxes that do not apply to the chosen report are greyed out. The same pipeline can also be run from the command line.</w:t>
      </w:r>
    </w:p>
    <w:p>
      <w:pPr>
        <w:keepNext w:val="1"/>
        <w:spacing w:before="120" w:after="60" w:line="360" w:lineRule="auto"/>
        <w:jc w:val="left"/>
      </w:pPr>
      <w:r>
        <w:rPr>
          <w:b w:val="1"/>
          <w:i w:val="1"/>
          <w:sz w:val="24"/>
          <w:szCs w:val="24"/>
        </w:rPr>
        <w:t xml:space="preserve">5.2.5 Reports Supported</w:t>
      </w:r>
    </w:p>
    <w:p>
      <w:pPr>
        <w:keepNext w:val="1"/>
        <w:spacing w:before="120" w:after="60" w:line="240" w:lineRule="auto"/>
        <w:jc w:val="center"/>
      </w:pPr>
      <w:r>
        <w:rPr>
          <w:b w:val="1"/>
          <w:sz w:val="20"/>
          <w:szCs w:val="20"/>
        </w:rPr>
        <w:t xml:space="preserve">Table 5.5 Reports produced by Tongkat Gaib Excel</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700"/>
        <w:gridCol w:w="3200"/>
        <w:gridCol w:w="5126"/>
      </w:tblGrid>
      <w:tr>
        <w:trPr>
          <w:tblHeader w:val="1"/>
        </w:trPr>
        <w:tc>
          <w:tcPr>
            <w:tcW w:w="700" w:type="dxa"/>
            <w:shd w:val="clear" w:color="auto" w:fill="D9D9D9"/>
            <w:vAlign w:val="top"/>
          </w:tcPr>
          <w:p>
            <w:pPr>
              <w:spacing w:before="0" w:after="0" w:line="240" w:lineRule="auto"/>
              <w:jc w:val="left"/>
            </w:pPr>
            <w:r>
              <w:rPr>
                <w:b w:val="1"/>
                <w:sz w:val="20"/>
                <w:szCs w:val="20"/>
              </w:rPr>
              <w:t xml:space="preserve">No.</w:t>
            </w:r>
          </w:p>
        </w:tc>
        <w:tc>
          <w:tcPr>
            <w:tcW w:w="3200" w:type="dxa"/>
            <w:shd w:val="clear" w:color="auto" w:fill="D9D9D9"/>
            <w:vAlign w:val="top"/>
          </w:tcPr>
          <w:p>
            <w:pPr>
              <w:spacing w:before="0" w:after="0" w:line="240" w:lineRule="auto"/>
              <w:jc w:val="left"/>
            </w:pPr>
            <w:r>
              <w:rPr>
                <w:b w:val="1"/>
                <w:sz w:val="20"/>
                <w:szCs w:val="20"/>
              </w:rPr>
              <w:t xml:space="preserve">Report</w:t>
            </w:r>
          </w:p>
        </w:tc>
        <w:tc>
          <w:tcPr>
            <w:tcW w:w="5126" w:type="dxa"/>
            <w:shd w:val="clear" w:color="auto" w:fill="D9D9D9"/>
            <w:vAlign w:val="top"/>
          </w:tcPr>
          <w:p>
            <w:pPr>
              <w:spacing w:before="0" w:after="0" w:line="240" w:lineRule="auto"/>
              <w:jc w:val="left"/>
            </w:pPr>
            <w:r>
              <w:rPr>
                <w:b w:val="1"/>
                <w:sz w:val="20"/>
                <w:szCs w:val="20"/>
              </w:rPr>
              <w:t xml:space="preserve">Output</w:t>
            </w:r>
          </w:p>
        </w:tc>
      </w:tr>
      <w:tr>
        <w:tc>
          <w:tcPr>
            <w:tcW w:w="700" w:type="dxa"/>
            <w:vAlign w:val="top"/>
          </w:tcPr>
          <w:p>
            <w:pPr>
              <w:spacing w:before="0" w:after="0" w:line="240" w:lineRule="auto"/>
              <w:jc w:val="left"/>
            </w:pPr>
            <w:r>
              <w:rPr>
                <w:sz w:val="20"/>
                <w:szCs w:val="20"/>
              </w:rPr>
              <w:t xml:space="preserve">1</w:t>
            </w:r>
          </w:p>
        </w:tc>
        <w:tc>
          <w:tcPr>
            <w:tcW w:w="3200" w:type="dxa"/>
            <w:vAlign w:val="top"/>
          </w:tcPr>
          <w:p>
            <w:pPr>
              <w:spacing w:before="0" w:after="0" w:line="240" w:lineRule="auto"/>
              <w:jc w:val="left"/>
            </w:pPr>
            <w:r>
              <w:rPr>
                <w:sz w:val="20"/>
                <w:szCs w:val="20"/>
              </w:rPr>
              <w:t xml:space="preserve">Report Summary Akumulasi</w:t>
            </w:r>
          </w:p>
        </w:tc>
        <w:tc>
          <w:tcPr>
            <w:tcW w:w="5126" w:type="dxa"/>
            <w:vAlign w:val="top"/>
          </w:tcPr>
          <w:p>
            <w:pPr>
              <w:spacing w:before="0" w:after="0" w:line="240" w:lineRule="auto"/>
              <w:jc w:val="left"/>
            </w:pPr>
            <w:r>
              <w:rPr>
                <w:sz w:val="20"/>
                <w:szCs w:val="20"/>
              </w:rPr>
              <w:t xml:space="preserve">Sum of FBI and Sum of volume in IDR per branch</w:t>
            </w:r>
          </w:p>
        </w:tc>
      </w:tr>
      <w:tr>
        <w:tc>
          <w:tcPr>
            <w:tcW w:w="700" w:type="dxa"/>
            <w:vAlign w:val="top"/>
          </w:tcPr>
          <w:p>
            <w:pPr>
              <w:spacing w:before="0" w:after="0" w:line="240" w:lineRule="auto"/>
              <w:jc w:val="left"/>
            </w:pPr>
            <w:r>
              <w:rPr>
                <w:sz w:val="20"/>
                <w:szCs w:val="20"/>
              </w:rPr>
              <w:t xml:space="preserve">2</w:t>
            </w:r>
          </w:p>
        </w:tc>
        <w:tc>
          <w:tcPr>
            <w:tcW w:w="3200" w:type="dxa"/>
            <w:vAlign w:val="top"/>
          </w:tcPr>
          <w:p>
            <w:pPr>
              <w:spacing w:before="0" w:after="0" w:line="240" w:lineRule="auto"/>
              <w:jc w:val="left"/>
            </w:pPr>
            <w:r>
              <w:rPr>
                <w:sz w:val="20"/>
                <w:szCs w:val="20"/>
              </w:rPr>
              <w:t xml:space="preserve">Time Series Active User Qlola</w:t>
            </w:r>
          </w:p>
        </w:tc>
        <w:tc>
          <w:tcPr>
            <w:tcW w:w="5126" w:type="dxa"/>
            <w:vAlign w:val="top"/>
          </w:tcPr>
          <w:p>
            <w:pPr>
              <w:spacing w:before="0" w:after="0" w:line="240" w:lineRule="auto"/>
              <w:jc w:val="left"/>
            </w:pPr>
            <w:r>
              <w:rPr>
                <w:sz w:val="20"/>
                <w:szCs w:val="20"/>
              </w:rPr>
              <w:t xml:space="preserve">Count of active users (frequency of 5 or more) per branch, excluding the CMS source</w:t>
            </w:r>
          </w:p>
        </w:tc>
      </w:tr>
      <w:tr>
        <w:tc>
          <w:tcPr>
            <w:tcW w:w="700" w:type="dxa"/>
            <w:vAlign w:val="top"/>
          </w:tcPr>
          <w:p>
            <w:pPr>
              <w:spacing w:before="0" w:after="0" w:line="240" w:lineRule="auto"/>
              <w:jc w:val="left"/>
            </w:pPr>
            <w:r>
              <w:rPr>
                <w:sz w:val="20"/>
                <w:szCs w:val="20"/>
              </w:rPr>
              <w:t xml:space="preserve">3</w:t>
            </w:r>
          </w:p>
        </w:tc>
        <w:tc>
          <w:tcPr>
            <w:tcW w:w="3200" w:type="dxa"/>
            <w:vAlign w:val="top"/>
          </w:tcPr>
          <w:p>
            <w:pPr>
              <w:spacing w:before="0" w:after="0" w:line="240" w:lineRule="auto"/>
              <w:jc w:val="left"/>
            </w:pPr>
            <w:r>
              <w:rPr>
                <w:sz w:val="20"/>
                <w:szCs w:val="20"/>
              </w:rPr>
              <w:t xml:space="preserve">Report Data Statis</w:t>
            </w:r>
          </w:p>
        </w:tc>
        <w:tc>
          <w:tcPr>
            <w:tcW w:w="5126" w:type="dxa"/>
            <w:vAlign w:val="top"/>
          </w:tcPr>
          <w:p>
            <w:pPr>
              <w:spacing w:before="0" w:after="0" w:line="240" w:lineRule="auto"/>
              <w:jc w:val="left"/>
            </w:pPr>
            <w:r>
              <w:rPr>
                <w:sz w:val="20"/>
                <w:szCs w:val="20"/>
              </w:rPr>
              <w:t xml:space="preserve">Count of products per branch for KANWIL MALANG, excluding KORPORASI</w:t>
            </w:r>
          </w:p>
        </w:tc>
      </w:tr>
      <w:tr>
        <w:tc>
          <w:tcPr>
            <w:tcW w:w="700" w:type="dxa"/>
            <w:vAlign w:val="top"/>
          </w:tcPr>
          <w:p>
            <w:pPr>
              <w:spacing w:before="0" w:after="0" w:line="240" w:lineRule="auto"/>
              <w:jc w:val="left"/>
            </w:pPr>
            <w:r>
              <w:rPr>
                <w:sz w:val="20"/>
                <w:szCs w:val="20"/>
              </w:rPr>
              <w:t xml:space="preserve">4</w:t>
            </w:r>
          </w:p>
        </w:tc>
        <w:tc>
          <w:tcPr>
            <w:tcW w:w="3200" w:type="dxa"/>
            <w:vAlign w:val="top"/>
          </w:tcPr>
          <w:p>
            <w:pPr>
              <w:spacing w:before="0" w:after="0" w:line="240" w:lineRule="auto"/>
              <w:jc w:val="left"/>
            </w:pPr>
            <w:r>
              <w:rPr>
                <w:sz w:val="20"/>
                <w:szCs w:val="20"/>
              </w:rPr>
              <w:t xml:space="preserve">Rincian Vol TF</w:t>
            </w:r>
          </w:p>
        </w:tc>
        <w:tc>
          <w:tcPr>
            <w:tcW w:w="5126" w:type="dxa"/>
            <w:vAlign w:val="top"/>
          </w:tcPr>
          <w:p>
            <w:pPr>
              <w:spacing w:before="0" w:after="0" w:line="240" w:lineRule="auto"/>
              <w:jc w:val="left"/>
            </w:pPr>
            <w:r>
              <w:rPr>
                <w:sz w:val="20"/>
                <w:szCs w:val="20"/>
              </w:rPr>
              <w:t xml:space="preserve">Sum of amount in IDR per branch, excluding Wholesale</w:t>
            </w:r>
          </w:p>
        </w:tc>
      </w:tr>
      <w:tr>
        <w:tc>
          <w:tcPr>
            <w:tcW w:w="700" w:type="dxa"/>
            <w:vAlign w:val="top"/>
          </w:tcPr>
          <w:p>
            <w:pPr>
              <w:spacing w:before="0" w:after="0" w:line="240" w:lineRule="auto"/>
              <w:jc w:val="left"/>
            </w:pPr>
            <w:r>
              <w:rPr>
                <w:sz w:val="20"/>
                <w:szCs w:val="20"/>
              </w:rPr>
              <w:t xml:space="preserve">5</w:t>
            </w:r>
          </w:p>
        </w:tc>
        <w:tc>
          <w:tcPr>
            <w:tcW w:w="3200" w:type="dxa"/>
            <w:vAlign w:val="top"/>
          </w:tcPr>
          <w:p>
            <w:pPr>
              <w:spacing w:before="0" w:after="0" w:line="240" w:lineRule="auto"/>
              <w:jc w:val="left"/>
            </w:pPr>
            <w:r>
              <w:rPr>
                <w:sz w:val="20"/>
                <w:szCs w:val="20"/>
              </w:rPr>
              <w:t xml:space="preserve">Rincian Portal BG</w:t>
            </w:r>
          </w:p>
        </w:tc>
        <w:tc>
          <w:tcPr>
            <w:tcW w:w="5126" w:type="dxa"/>
            <w:vAlign w:val="top"/>
          </w:tcPr>
          <w:p>
            <w:pPr>
              <w:spacing w:before="0" w:after="0" w:line="240" w:lineRule="auto"/>
              <w:jc w:val="left"/>
            </w:pPr>
            <w:r>
              <w:rPr>
                <w:sz w:val="20"/>
                <w:szCs w:val="20"/>
              </w:rPr>
              <w:t xml:space="preserve">Sum of amount in IDR per branch</w:t>
            </w:r>
          </w:p>
        </w:tc>
      </w:tr>
      <w:tr>
        <w:tc>
          <w:tcPr>
            <w:tcW w:w="700" w:type="dxa"/>
            <w:vAlign w:val="top"/>
          </w:tcPr>
          <w:p>
            <w:pPr>
              <w:spacing w:before="0" w:after="0" w:line="240" w:lineRule="auto"/>
              <w:jc w:val="left"/>
            </w:pPr>
            <w:r>
              <w:rPr>
                <w:sz w:val="20"/>
                <w:szCs w:val="20"/>
              </w:rPr>
              <w:t xml:space="preserve">6</w:t>
            </w:r>
          </w:p>
        </w:tc>
        <w:tc>
          <w:tcPr>
            <w:tcW w:w="3200" w:type="dxa"/>
            <w:vAlign w:val="top"/>
          </w:tcPr>
          <w:p>
            <w:pPr>
              <w:spacing w:before="0" w:after="0" w:line="240" w:lineRule="auto"/>
              <w:jc w:val="left"/>
            </w:pPr>
            <w:r>
              <w:rPr>
                <w:sz w:val="20"/>
                <w:szCs w:val="20"/>
              </w:rPr>
              <w:t xml:space="preserve">Report Vol Briva</w:t>
            </w:r>
          </w:p>
        </w:tc>
        <w:tc>
          <w:tcPr>
            <w:tcW w:w="5126" w:type="dxa"/>
            <w:vAlign w:val="top"/>
          </w:tcPr>
          <w:p>
            <w:pPr>
              <w:spacing w:before="0" w:after="0" w:line="240" w:lineRule="auto"/>
              <w:jc w:val="left"/>
            </w:pPr>
            <w:r>
              <w:rPr>
                <w:sz w:val="20"/>
                <w:szCs w:val="20"/>
              </w:rPr>
              <w:t xml:space="preserve">Sum of NONWHOLESALE BRIVA volume in IDR per branch</w:t>
            </w:r>
          </w:p>
        </w:tc>
      </w:tr>
      <w:tr>
        <w:tc>
          <w:tcPr>
            <w:tcW w:w="700" w:type="dxa"/>
            <w:vAlign w:val="top"/>
          </w:tcPr>
          <w:p>
            <w:pPr>
              <w:spacing w:before="0" w:after="0" w:line="240" w:lineRule="auto"/>
              <w:jc w:val="left"/>
            </w:pPr>
            <w:r>
              <w:rPr>
                <w:sz w:val="20"/>
                <w:szCs w:val="20"/>
              </w:rPr>
              <w:t xml:space="preserve">7</w:t>
            </w:r>
          </w:p>
        </w:tc>
        <w:tc>
          <w:tcPr>
            <w:tcW w:w="3200" w:type="dxa"/>
            <w:vAlign w:val="top"/>
          </w:tcPr>
          <w:p>
            <w:pPr>
              <w:spacing w:before="0" w:after="0" w:line="240" w:lineRule="auto"/>
              <w:jc w:val="left"/>
            </w:pPr>
            <w:r>
              <w:rPr>
                <w:sz w:val="20"/>
                <w:szCs w:val="20"/>
              </w:rPr>
              <w:t xml:space="preserve">Report Giro</w:t>
            </w:r>
          </w:p>
        </w:tc>
        <w:tc>
          <w:tcPr>
            <w:tcW w:w="5126" w:type="dxa"/>
            <w:vAlign w:val="top"/>
          </w:tcPr>
          <w:p>
            <w:pPr>
              <w:spacing w:before="0" w:after="0" w:line="240" w:lineRule="auto"/>
              <w:jc w:val="left"/>
            </w:pPr>
            <w:r>
              <w:rPr>
                <w:sz w:val="20"/>
                <w:szCs w:val="20"/>
              </w:rPr>
              <w:t xml:space="preserve">Updated copy of the giro master list with each account's monthly balance</w:t>
            </w:r>
          </w:p>
        </w:tc>
      </w:tr>
    </w:tbl>
    <w:p>
      <w:pPr>
        <w:spacing w:before="0" w:after="60" w:line="240" w:lineRule="auto"/>
        <w:jc w:val="both"/>
      </w:pPr>
    </w:p>
    <w:p>
      <w:pPr>
        <w:spacing w:before="0" w:after="120" w:line="360" w:lineRule="auto"/>
        <w:jc w:val="both"/>
      </w:pPr>
      <w:r>
        <w:rPr>
          <w:sz w:val="24"/>
          <w:szCs w:val="24"/>
        </w:rPr>
        <w:t xml:space="preserve">Every report except Report Giro produces a workbook with a summary sheet (in dashboard branch order, with a Grand Total and a line stating the filters applied) and a detail sheet holding the row-level data. Report Giro edits a copy of the master cell by cell, so other sheets, styling, and formulas are kept. It never touches the historical SALDO column, skips deposit (Deposito) rows, and leaves accounts that are missing from the monthly file blank.</w:t>
      </w:r>
    </w:p>
    <w:p>
      <w:pPr>
        <w:keepNext w:val="1"/>
        <w:spacing w:before="120" w:after="60" w:line="360" w:lineRule="auto"/>
        <w:jc w:val="left"/>
      </w:pPr>
      <w:r>
        <w:rPr>
          <w:b w:val="1"/>
          <w:i w:val="1"/>
          <w:sz w:val="24"/>
          <w:szCs w:val="24"/>
        </w:rPr>
        <w:t xml:space="preserve">5.2.6 Filters and Safeguards</w:t>
      </w:r>
    </w:p>
    <w:p>
      <w:pPr>
        <w:spacing w:before="0" w:after="120" w:line="360" w:lineRule="auto"/>
        <w:jc w:val="both"/>
      </w:pPr>
      <w:r>
        <w:rPr>
          <w:sz w:val="24"/>
          <w:szCs w:val="24"/>
        </w:rPr>
        <w:t xml:space="preserve">Each report has a default filter rule that matches the manual process (for example, excluding KORPORASI or keeping only NONWHOLESALE). Operators can override it for a single run by typing values into or choosing values for the SEGMENT, SOURCE, and KW boxes. An empty box always means the report's usual rule, and each box shows the values it accepts. If a required column is missing, the input file does not match the chosen report, or the output file is still open in Excel, the program stops and explains what happened and what to do, instead of guessing.</w:t>
      </w:r>
    </w:p>
    <w:p>
      <w:pPr>
        <w:keepNext w:val="1"/>
        <w:spacing w:before="120" w:after="60" w:line="360" w:lineRule="auto"/>
        <w:jc w:val="left"/>
      </w:pPr>
      <w:r>
        <w:rPr>
          <w:b w:val="1"/>
          <w:i w:val="1"/>
          <w:sz w:val="24"/>
          <w:szCs w:val="24"/>
        </w:rPr>
        <w:t xml:space="preserve">5.2.7 Testing and Distribution</w:t>
      </w:r>
    </w:p>
    <w:p>
      <w:pPr>
        <w:spacing w:before="0" w:after="120" w:line="360" w:lineRule="auto"/>
        <w:jc w:val="both"/>
      </w:pPr>
      <w:r>
        <w:rPr>
          <w:sz w:val="24"/>
          <w:szCs w:val="24"/>
        </w:rPr>
        <w:t xml:space="preserve">The program has 279 automated tests (pytest) covering file reading, reference matching, filtering, grouping, Excel export, every report, and full end-to-end runs. Some tests compare the output against reports RTB staff had made by hand, using real sample extracts. The program is distributed as a single Windows executable built with PyInstaller, together with an operator guide (START HERE) and a system requirements sheet. It runs on Windows 10 or 11 (64-bit) with 4 GB of RAM, and needs no Python, Excel add-in, or network connection.</w:t>
      </w:r>
    </w:p>
    <w:p>
      <w:pPr>
        <w:keepNext w:val="1"/>
        <w:spacing w:before="120" w:after="60" w:line="360" w:lineRule="auto"/>
        <w:jc w:val="left"/>
      </w:pPr>
      <w:r>
        <w:rPr>
          <w:b w:val="1"/>
          <w:i w:val="1"/>
          <w:sz w:val="24"/>
          <w:szCs w:val="24"/>
        </w:rPr>
        <w:t xml:space="preserve">5.2.8 Results</w:t>
      </w:r>
    </w:p>
    <w:p>
      <w:pPr>
        <w:spacing w:before="0" w:after="120" w:line="360" w:lineRule="auto"/>
        <w:jc w:val="both"/>
      </w:pPr>
      <w:r>
        <w:rPr>
          <w:sz w:val="24"/>
          <w:szCs w:val="24"/>
        </w:rPr>
        <w:t xml:space="preserve">All seven recurring RTB reports can now be produced from the original extracts in a single run each, with results that match the manual method and come out ready to paste into the dashboard. The manual account-by-account giro balance lookup has been replaced by an automatic update that never modifies the original master file.</w:t>
      </w:r>
    </w:p>
    <w:p>
      <w:pPr>
        <w:spacing w:before="0" w:after="160" w:line="259" w:lineRule="auto"/>
        <w:jc w:val="both"/>
      </w:pPr>
      <w:r>
        <w:rPr>
          <w:sz w:val="24"/>
          <w:szCs w:val="24"/>
        </w:rPr>
        <w:t xml:space="preserve"/>
      </w:r>
    </w:p>
    <w:p w:rsidR="00000000" w:rsidDel="00000000" w:rsidP="00000000" w:rsidRDefault="00000000" w:rsidRPr="00000000" w14:paraId="00000026">
      <w:pPr>
        <w:rPr>
          <w:sz w:val="24"/>
          <w:szCs w:val="24"/>
        </w:rPr>
      </w:pPr>
      <w:r w:rsidDel="00000000" w:rsidR="00000000" w:rsidRPr="00000000">
        <w:rPr>
          <w:b w:val="1"/>
          <w:sz w:val="28"/>
          <w:szCs w:val="28"/>
          <w:rtl w:val="0"/>
        </w:rPr>
        <w:t xml:space="preserve">Chapter 6.  CONCLUSION(S)</w:t>
      </w:r>
      <w:r w:rsidDel="00000000" w:rsidR="00000000" w:rsidRPr="00000000">
        <w:rPr>
          <w:rtl w:val="0"/>
        </w:rPr>
      </w:r>
    </w:p>
    <w:sectPr>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multiLevelType w:val="singleLevel"/>
    <w:lvl w:ilvl="0">
      <w:start w:val="1"/>
      <w:numFmt w:val="bullet"/>
      <w:lvlText w:val="•"/>
      <w:lvlJc w:val="left"/>
      <w:pPr>
        <w:ind w:left="720" w:hanging="360"/>
      </w:pPr>
      <w:rPr>
        <w:rFonts w:ascii="Calibri" w:hAnsi="Calibri" w:cs="Calibri"/>
      </w:rPr>
    </w:lvl>
  </w:abstractNum>
  <w:abstractNum w:abstractNumId="3">
    <w:multiLevelType w:val="singleLevel"/>
    <w:lvl w:ilvl="0">
      <w:start w:val="1"/>
      <w:numFmt w:val="bullet"/>
      <w:lvlText w:val="•"/>
      <w:lvlJc w:val="left"/>
      <w:pPr>
        <w:ind w:left="720" w:hanging="360"/>
      </w:pPr>
      <w:rPr>
        <w:rFonts w:ascii="Calibri" w:hAnsi="Calibri" w:cs="Calibri"/>
      </w:rPr>
    </w:lvl>
  </w:abstractNum>
  <w:abstractNum w:abstractNumId="4">
    <w:multiLevelType w:val="singleLevel"/>
    <w:lvl w:ilvl="0">
      <w:start w:val="1"/>
      <w:numFmt w:val="bullet"/>
      <w:lvlText w:val="•"/>
      <w:lvlJc w:val="left"/>
      <w:pPr>
        <w:ind w:left="720" w:hanging="360"/>
      </w:pPr>
      <w:rPr>
        <w:rFonts w:ascii="Calibri" w:hAnsi="Calibri" w:cs="Calibri"/>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ID"/>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64hqwxDpO9s3FPHNJtJhLHKhdQ==">CgMxLjAyCGguZ2pkZ3hzOAByITF4NjVtamlSQjlzc0xDZVVOcmpDS29IT2VKVUJJZ2hCMA==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