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900" w:line="264"/>
        <w:jc w:val="center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DOCUMENTO TÉCNICO DE DISEÑO</w:t>
      </w:r>
    </w:p>
    <w:p>
      <w:pPr>
        <w:spacing w:after="0" w:before="150" w:line="264"/>
        <w:jc w:val="center"/>
      </w:pPr>
      <w:r>
        <w:rPr>
          <w:rFonts w:ascii="Arial" w:cs="Arial" w:eastAsia="Arial" w:hAnsi="Arial"/>
          <w:color w:val="2E5496"/>
          <w:sz w:val="26"/>
          <w:szCs w:val="26"/>
        </w:rPr>
        <w:t xml:space="preserve">Proyecto INVENTRA — Aplicación web de inventario y ventas para licoreras</w:t>
      </w:r>
    </w:p>
    <w:p>
      <w:pPr>
        <w:spacing w:after="0" w:before="2600" w:line="264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CRISTIAN DARÍO MACÍAS ESPITIA</w:t>
      </w:r>
    </w:p>
    <w:p>
      <w:pPr>
        <w:spacing w:after="0" w:before="2700" w:line="264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SERVICIO NACIONAL DE APRENDIZAJE (SENA)</w:t>
      </w:r>
    </w:p>
    <w:p>
      <w:pPr>
        <w:spacing w:after="0" w:before="70" w:line="264"/>
        <w:jc w:val="center"/>
      </w:pPr>
      <w:r>
        <w:rPr>
          <w:rFonts w:ascii="Arial" w:cs="Arial" w:eastAsia="Arial" w:hAnsi="Arial"/>
          <w:sz w:val="26"/>
          <w:szCs w:val="26"/>
        </w:rPr>
        <w:t xml:space="preserve">CENTRO DE FORMACIÓN EN DISEÑO, CONFECCIÓN Y MODA</w:t>
      </w:r>
    </w:p>
    <w:p>
      <w:pPr>
        <w:spacing w:after="0" w:before="70" w:line="264"/>
        <w:jc w:val="center"/>
      </w:pPr>
      <w:r>
        <w:rPr>
          <w:rFonts w:ascii="Arial" w:cs="Arial" w:eastAsia="Arial" w:hAnsi="Arial"/>
          <w:sz w:val="26"/>
          <w:szCs w:val="26"/>
        </w:rPr>
        <w:t xml:space="preserve">ANÁLISIS Y DESARROLLO DE SOFTWARE</w:t>
      </w:r>
    </w:p>
    <w:p>
      <w:pPr>
        <w:spacing w:after="0" w:before="70" w:line="264"/>
        <w:jc w:val="center"/>
      </w:pPr>
      <w:r>
        <w:rPr>
          <w:rFonts w:ascii="Arial" w:cs="Arial" w:eastAsia="Arial" w:hAnsi="Arial"/>
          <w:sz w:val="26"/>
          <w:szCs w:val="26"/>
        </w:rPr>
        <w:t xml:space="preserve">MEDELLÍN</w:t>
      </w:r>
    </w:p>
    <w:p>
      <w:pPr>
        <w:spacing w:after="0" w:before="70" w:line="264"/>
        <w:jc w:val="center"/>
      </w:pPr>
      <w:r>
        <w:rPr>
          <w:rFonts w:ascii="Arial" w:cs="Arial" w:eastAsia="Arial" w:hAnsi="Arial"/>
          <w:sz w:val="26"/>
          <w:szCs w:val="26"/>
        </w:rPr>
        <w:t xml:space="preserve">2026</w:t>
      </w:r>
    </w:p>
    <w:p>
      <w:pPr>
        <w:pageBreakBefore/>
        <w:spacing w:after="20" w:before="12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Ficha del documento</w:t>
      </w:r>
    </w:p>
    <w:tbl>
      <w:tblPr>
        <w:tblW w:type="dxa" w:w="936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1500"/>
        <w:gridCol w:w="1200"/>
        <w:gridCol w:w="3400"/>
        <w:gridCol w:w="326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12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Revisión</w:t>
            </w:r>
          </w:p>
        </w:tc>
        <w:tc>
          <w:tcPr>
            <w:tcW w:type="dxa" w:w="34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Autor</w:t>
            </w:r>
          </w:p>
        </w:tc>
        <w:tc>
          <w:tcPr>
            <w:tcW w:type="dxa" w:w="32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Basado en</w:t>
            </w:r>
          </w:p>
        </w:tc>
      </w:tr>
      <w:tr>
        <w:trPr>
          <w:tblHeader w:val="false"/>
        </w:trPr>
        <w:tc>
          <w:tcPr>
            <w:tcW w:type="dxa" w:w="15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09/09/2026</w:t>
            </w:r>
          </w:p>
        </w:tc>
        <w:tc>
          <w:tcPr>
            <w:tcW w:type="dxa" w:w="12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34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Cristian Darío Macías Espitia</w:t>
            </w:r>
          </w:p>
        </w:tc>
        <w:tc>
          <w:tcPr>
            <w:tcW w:type="dxa" w:w="32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Paleta INVENTRA, prototipo y ERS (rev.1)</w:t>
            </w:r>
          </w:p>
        </w:tc>
      </w:tr>
    </w:tbl>
    <w:p>
      <w:pPr>
        <w:pageBreakBefore/>
        <w:spacing w:after="15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Tabla de contenido</w:t>
      </w:r>
    </w:p>
    <w:p>
      <w:pPr>
        <w:tabs>
          <w:tab w:val="right" w:pos="9200" w:leader="dot"/>
        </w:tabs>
        <w:spacing w:after="40" w:line="252"/>
      </w:pPr>
      <w:hyperlink w:history="1" w:anchor="bm1">
        <w:r>
          <w:rPr>
            <w:rFonts w:ascii="Arial" w:cs="Arial" w:eastAsia="Arial" w:hAnsi="Arial"/>
            <w:b/>
            <w:bCs/>
            <w:color w:val="1F3864"/>
            <w:sz w:val="21"/>
            <w:szCs w:val="21"/>
          </w:rPr>
          <w:t xml:space="preserve">1. Introducción, objetivo y alcance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</w:instrText>
        <w:fldChar w:fldCharType="end"/>
      </w:r>
    </w:p>
    <w:p>
      <w:pPr>
        <w:tabs>
          <w:tab w:val="right" w:pos="9200" w:leader="dot"/>
        </w:tabs>
        <w:spacing w:after="40" w:line="252"/>
      </w:pPr>
      <w:hyperlink w:history="1" w:anchor="bm2">
        <w:r>
          <w:rPr>
            <w:rFonts w:ascii="Arial" w:cs="Arial" w:eastAsia="Arial" w:hAnsi="Arial"/>
            <w:b/>
            <w:bCs/>
            <w:color w:val="1F3864"/>
            <w:sz w:val="21"/>
            <w:szCs w:val="21"/>
          </w:rPr>
          <w:t xml:space="preserve">2. Principios de diseño y experiencia de usuario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bm2</w:instrText>
        <w:fldChar w:fldCharType="end"/>
      </w:r>
    </w:p>
    <w:p>
      <w:pPr>
        <w:tabs>
          <w:tab w:val="right" w:pos="9200" w:leader="dot"/>
        </w:tabs>
        <w:spacing w:after="40" w:line="252"/>
      </w:pPr>
      <w:hyperlink w:history="1" w:anchor="bm3">
        <w:r>
          <w:rPr>
            <w:rFonts w:ascii="Arial" w:cs="Arial" w:eastAsia="Arial" w:hAnsi="Arial"/>
            <w:b/>
            <w:bCs/>
            <w:color w:val="1F3864"/>
            <w:sz w:val="21"/>
            <w:szCs w:val="21"/>
          </w:rPr>
          <w:t xml:space="preserve">3. Accesibilidad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bm3</w:instrText>
        <w:fldChar w:fldCharType="end"/>
      </w:r>
    </w:p>
    <w:p>
      <w:pPr>
        <w:tabs>
          <w:tab w:val="right" w:pos="9200" w:leader="dot"/>
        </w:tabs>
        <w:spacing w:after="40" w:line="252"/>
      </w:pPr>
      <w:hyperlink w:history="1" w:anchor="bm4">
        <w:r>
          <w:rPr>
            <w:rFonts w:ascii="Arial" w:cs="Arial" w:eastAsia="Arial" w:hAnsi="Arial"/>
            <w:b/>
            <w:bCs/>
            <w:color w:val="1F3864"/>
            <w:sz w:val="21"/>
            <w:szCs w:val="21"/>
          </w:rPr>
          <w:t xml:space="preserve">4. Identidad visual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bm4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5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4.1 Paleta de colores — modo claro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bm5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6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4.2 Paleta de colores — modo oscuro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bm6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7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4.3 Uso del color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bm7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8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4.4 Tipografía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bm8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9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4.5 Iconografía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bm9</w:instrText>
        <w:fldChar w:fldCharType="end"/>
      </w:r>
    </w:p>
    <w:p>
      <w:pPr>
        <w:tabs>
          <w:tab w:val="right" w:pos="9200" w:leader="dot"/>
        </w:tabs>
        <w:spacing w:after="40" w:line="252"/>
      </w:pPr>
      <w:hyperlink w:history="1" w:anchor="bm10">
        <w:r>
          <w:rPr>
            <w:rFonts w:ascii="Arial" w:cs="Arial" w:eastAsia="Arial" w:hAnsi="Arial"/>
            <w:b/>
            <w:bCs/>
            <w:color w:val="1F3864"/>
            <w:sz w:val="21"/>
            <w:szCs w:val="21"/>
          </w:rPr>
          <w:t xml:space="preserve">5. Rejilla, espaciado y puntos de quiebre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bm10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11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5.1 Espaciado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bm11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12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5.2 Rejilla y radios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bm12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13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5.3 Puntos de quiebre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bm13</w:instrText>
        <w:fldChar w:fldCharType="end"/>
      </w:r>
    </w:p>
    <w:p>
      <w:pPr>
        <w:pStyle w:val="Heading1"/>
        <w:spacing w:after="110" w:before="220"/>
      </w:pPr>
      <w:bookmarkStart w:name="bm1" w:id="1"/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1. Introducción, objetivo y alcance</w:t>
      </w:r>
      <w:bookmarkEnd w:id="1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Este documento define el sistema de diseño de la interfaz de INVENTRA para las plataformas web y móvil. Reúne la identidad visual, los componentes reutilizables, las pautas de accesibilidad y de experiencia de usuario, y las pantallas principales de la aplicación. Su propósito es servir de guía para la etapa de construcción y garantizar una interfaz coherente en todo el producto.</w:t>
      </w:r>
    </w:p>
    <w:p>
      <w:pPr>
        <w:spacing w:after="11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Objetivo. </w:t>
      </w:r>
      <w:r>
        <w:rPr>
          <w:rFonts w:ascii="Arial" w:cs="Arial" w:eastAsia="Arial" w:hAnsi="Arial"/>
          <w:sz w:val="22"/>
          <w:szCs w:val="22"/>
        </w:rPr>
        <w:t xml:space="preserve">Establecer los lineamientos visuales y de interacción que orientan el desarrollo de la interfaz, de modo que las pantallas mantengan una apariencia y un comportamiento uniformes.</w:t>
      </w:r>
    </w:p>
    <w:p>
      <w:pPr>
        <w:spacing w:after="11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Alcance. </w:t>
      </w:r>
      <w:r>
        <w:rPr>
          <w:rFonts w:ascii="Arial" w:cs="Arial" w:eastAsia="Arial" w:hAnsi="Arial"/>
          <w:sz w:val="22"/>
          <w:szCs w:val="22"/>
        </w:rPr>
        <w:t xml:space="preserve">Cubre la aplicación web y su versión móvil. Se apoya en la especificación de requisitos (IEEE 830), en el modelo de datos (MER y diccionario) y en el prototipo de INVENTRA. No incluye la implementación del código, que corresponde a la etapa de construcción.</w:t>
      </w:r>
    </w:p>
    <w:p>
      <w:pPr>
        <w:pStyle w:val="Heading1"/>
        <w:pageBreakBefore/>
        <w:spacing w:after="110" w:before="220"/>
      </w:pPr>
      <w:bookmarkStart w:name="bm2" w:id="2"/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2. Principios de diseño y experiencia de usuario</w:t>
      </w:r>
      <w:bookmarkEnd w:id="2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Los usuarios de INVENTRA son propietarios y vendedores de licorerías, con distinto nivel de manejo de herramientas tecnológicas. El diseño prioriza la sencillez y la rapidez de uso, especialmente en el punto de venta. Se adoptan los siguientes principios: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Claridad. </w:t>
      </w:r>
      <w:r>
        <w:rPr>
          <w:rFonts w:ascii="Arial" w:cs="Arial" w:eastAsia="Arial" w:hAnsi="Arial"/>
          <w:sz w:val="22"/>
          <w:szCs w:val="22"/>
        </w:rPr>
        <w:t xml:space="preserve">Interfaces simples y directas, sin elementos innecesarios.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Consistencia. </w:t>
      </w:r>
      <w:r>
        <w:rPr>
          <w:rFonts w:ascii="Arial" w:cs="Arial" w:eastAsia="Arial" w:hAnsi="Arial"/>
          <w:sz w:val="22"/>
          <w:szCs w:val="22"/>
        </w:rPr>
        <w:t xml:space="preserve">Los mismos patrones y componentes se repiten en toda la aplicación.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Eficiencia. </w:t>
      </w:r>
      <w:r>
        <w:rPr>
          <w:rFonts w:ascii="Arial" w:cs="Arial" w:eastAsia="Arial" w:hAnsi="Arial"/>
          <w:sz w:val="22"/>
          <w:szCs w:val="22"/>
        </w:rPr>
        <w:t xml:space="preserve">Flujos cortos y con el menor número de pasos, sobre todo en el registro de ventas.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Prevención de errores. </w:t>
      </w:r>
      <w:r>
        <w:rPr>
          <w:rFonts w:ascii="Arial" w:cs="Arial" w:eastAsia="Arial" w:hAnsi="Arial"/>
          <w:sz w:val="22"/>
          <w:szCs w:val="22"/>
        </w:rPr>
        <w:t xml:space="preserve">Validaciones y confirmaciones en las acciones sensibles (anular, restaurar, inactivar).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Jerarquía visual. </w:t>
      </w:r>
      <w:r>
        <w:rPr>
          <w:rFonts w:ascii="Arial" w:cs="Arial" w:eastAsia="Arial" w:hAnsi="Arial"/>
          <w:sz w:val="22"/>
          <w:szCs w:val="22"/>
        </w:rPr>
        <w:t xml:space="preserve">La información y las acciones más importantes se destacan primero.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Retroalimentación. </w:t>
      </w:r>
      <w:r>
        <w:rPr>
          <w:rFonts w:ascii="Arial" w:cs="Arial" w:eastAsia="Arial" w:hAnsi="Arial"/>
          <w:sz w:val="22"/>
          <w:szCs w:val="22"/>
        </w:rPr>
        <w:t xml:space="preserve">El sistema informa siempre el resultado de cada acción (éxito, error o proceso en curso).</w:t>
      </w:r>
    </w:p>
    <w:p>
      <w:pPr>
        <w:pStyle w:val="Heading1"/>
        <w:pageBreakBefore/>
        <w:spacing w:after="110" w:before="220"/>
      </w:pPr>
      <w:bookmarkStart w:name="bm3" w:id="3"/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3. Accesibilidad</w:t>
      </w:r>
      <w:bookmarkEnd w:id="3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La interfaz se diseña para ser usable por la mayor cantidad de personas posible, tomando como referencia las pautas WCAG 2.1 en su nivel AA: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Contraste. </w:t>
      </w:r>
      <w:r>
        <w:rPr>
          <w:rFonts w:ascii="Arial" w:cs="Arial" w:eastAsia="Arial" w:hAnsi="Arial"/>
          <w:sz w:val="22"/>
          <w:szCs w:val="22"/>
        </w:rPr>
        <w:t xml:space="preserve">Se mantiene un contraste suficiente entre el texto y su fondo para que la lectura sea cómoda.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Tamaños táctiles. </w:t>
      </w:r>
      <w:r>
        <w:rPr>
          <w:rFonts w:ascii="Arial" w:cs="Arial" w:eastAsia="Arial" w:hAnsi="Arial"/>
          <w:sz w:val="22"/>
          <w:szCs w:val="22"/>
        </w:rPr>
        <w:t xml:space="preserve">En la versión móvil, los botones y campos tienen un área de toque amplia.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Foco visible. </w:t>
      </w:r>
      <w:r>
        <w:rPr>
          <w:rFonts w:ascii="Arial" w:cs="Arial" w:eastAsia="Arial" w:hAnsi="Arial"/>
          <w:sz w:val="22"/>
          <w:szCs w:val="22"/>
        </w:rPr>
        <w:t xml:space="preserve">Los elementos interactivos muestran claramente cuándo están enfocados.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Operación por teclado. </w:t>
      </w:r>
      <w:r>
        <w:rPr>
          <w:rFonts w:ascii="Arial" w:cs="Arial" w:eastAsia="Arial" w:hAnsi="Arial"/>
          <w:sz w:val="22"/>
          <w:szCs w:val="22"/>
        </w:rPr>
        <w:t xml:space="preserve">Los formularios y las acciones se pueden completar usando el teclado.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Etiquetas y textos alternativos. </w:t>
      </w:r>
      <w:r>
        <w:rPr>
          <w:rFonts w:ascii="Arial" w:cs="Arial" w:eastAsia="Arial" w:hAnsi="Arial"/>
          <w:sz w:val="22"/>
          <w:szCs w:val="22"/>
        </w:rPr>
        <w:t xml:space="preserve">Cada campo tiene su etiqueta y los iconos con significado incluyen una descripción.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Mensajes comprensibles. </w:t>
      </w:r>
      <w:r>
        <w:rPr>
          <w:rFonts w:ascii="Arial" w:cs="Arial" w:eastAsia="Arial" w:hAnsi="Arial"/>
          <w:sz w:val="22"/>
          <w:szCs w:val="22"/>
        </w:rPr>
        <w:t xml:space="preserve">Los errores se explican en lenguaje sencillo e indican cómo corregirlos.</w:t>
      </w:r>
    </w:p>
    <w:p>
      <w:pPr>
        <w:pStyle w:val="Heading1"/>
        <w:pageBreakBefore/>
        <w:spacing w:after="110" w:before="220"/>
      </w:pPr>
      <w:bookmarkStart w:name="bm4" w:id="4"/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4. Identidad visual</w:t>
      </w:r>
      <w:bookmarkEnd w:id="4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La identidad visual de INVENTRA se basa en una paleta sobria y profesional, con un color de acción (CTA) que resalta las acciones principales. La paleta cuenta con una variante clara y una oscura, que comparten los mismos roles.</w:t>
      </w:r>
    </w:p>
    <w:p>
      <w:pPr>
        <w:pStyle w:val="Heading2"/>
        <w:spacing w:after="80" w:before="150"/>
      </w:pPr>
      <w:bookmarkStart w:name="bm5" w:id="5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4.1 Paleta de colores — modo claro</w:t>
      </w:r>
      <w:bookmarkEnd w:id="5"/>
    </w:p>
    <w:p>
      <w:pPr>
        <w:spacing w:after="20" w:before="60"/>
        <w:jc w:val="center"/>
      </w:pPr>
      <w:r>
        <w:drawing>
          <wp:inline distT="0" distB="0" distL="0" distR="0">
            <wp:extent cx="5905500" cy="1609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6"/>
        <w:jc w:val="center"/>
      </w:pPr>
      <w:r>
        <w:rPr>
          <w:rFonts w:ascii="Arial" w:cs="Arial" w:eastAsia="Arial" w:hAnsi="Arial"/>
          <w:i/>
          <w:iCs/>
          <w:color w:val="5B6678"/>
          <w:sz w:val="18"/>
          <w:szCs w:val="18"/>
        </w:rPr>
        <w:t xml:space="preserve">Figura 1. Paleta de colores en modo claro. Fuente: del autor.</w:t>
      </w:r>
    </w:p>
    <w:p>
      <w:pPr>
        <w:pStyle w:val="Heading2"/>
        <w:spacing w:after="80" w:before="150"/>
      </w:pPr>
      <w:bookmarkStart w:name="bm6" w:id="6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4.2 Paleta de colores — modo oscuro</w:t>
      </w:r>
      <w:bookmarkEnd w:id="6"/>
    </w:p>
    <w:p>
      <w:pPr>
        <w:spacing w:after="20" w:before="60"/>
        <w:jc w:val="center"/>
      </w:pPr>
      <w:r>
        <w:drawing>
          <wp:inline distT="0" distB="0" distL="0" distR="0">
            <wp:extent cx="5334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6"/>
        <w:jc w:val="center"/>
      </w:pPr>
      <w:r>
        <w:rPr>
          <w:rFonts w:ascii="Arial" w:cs="Arial" w:eastAsia="Arial" w:hAnsi="Arial"/>
          <w:i/>
          <w:iCs/>
          <w:color w:val="5B6678"/>
          <w:sz w:val="18"/>
          <w:szCs w:val="18"/>
        </w:rPr>
        <w:t xml:space="preserve">Figura 2. Paleta de colores en modo oscuro. Fuente: del autor.</w:t>
      </w:r>
    </w:p>
    <w:p>
      <w:pPr>
        <w:pStyle w:val="Heading2"/>
        <w:spacing w:after="80" w:before="150"/>
      </w:pPr>
      <w:bookmarkStart w:name="bm7" w:id="7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4.3 Uso del color</w:t>
      </w:r>
      <w:bookmarkEnd w:id="7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Cada color cumple una función definida para conservar la coherencia y el significado en toda la aplicación:</w:t>
      </w:r>
    </w:p>
    <w:tbl>
      <w:tblPr>
        <w:tblW w:type="dxa" w:w="936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67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</w:tr>
      <w:tr>
        <w:trPr>
          <w:tblHeader w:val="false"/>
        </w:trPr>
        <w:tc>
          <w:tcPr>
            <w:tcW w:type="dxa" w:w="26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Azul primario</w:t>
            </w:r>
          </w:p>
        </w:tc>
        <w:tc>
          <w:tcPr>
            <w:tcW w:type="dxa" w:w="67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Encabezados, barra de navegación y elementos de marca.</w:t>
            </w:r>
          </w:p>
        </w:tc>
      </w:tr>
      <w:tr>
        <w:trPr>
          <w:tblHeader w:val="false"/>
        </w:trPr>
        <w:tc>
          <w:tcPr>
            <w:tcW w:type="dxa" w:w="26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Azul secundario</w:t>
            </w:r>
          </w:p>
        </w:tc>
        <w:tc>
          <w:tcPr>
            <w:tcW w:type="dxa" w:w="67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Acentos, enlaces y elementos destacados secundarios.</w:t>
            </w:r>
          </w:p>
        </w:tc>
      </w:tr>
      <w:tr>
        <w:trPr>
          <w:tblHeader w:val="false"/>
        </w:trPr>
        <w:tc>
          <w:tcPr>
            <w:tcW w:type="dxa" w:w="26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CTA (verde)</w:t>
            </w:r>
          </w:p>
        </w:tc>
        <w:tc>
          <w:tcPr>
            <w:tcW w:type="dxa" w:w="67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Únicamente la acción principal de cada pantalla (guardar, registrar venta, confirmar).</w:t>
            </w:r>
          </w:p>
        </w:tc>
      </w:tr>
      <w:tr>
        <w:trPr>
          <w:tblHeader w:val="false"/>
        </w:trPr>
        <w:tc>
          <w:tcPr>
            <w:tcW w:type="dxa" w:w="26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Fondo y superficie</w:t>
            </w:r>
          </w:p>
        </w:tc>
        <w:tc>
          <w:tcPr>
            <w:tcW w:type="dxa" w:w="67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Fondo general y superficies de tarjetas y paneles.</w:t>
            </w:r>
          </w:p>
        </w:tc>
      </w:tr>
      <w:tr>
        <w:trPr>
          <w:tblHeader w:val="false"/>
        </w:trPr>
        <w:tc>
          <w:tcPr>
            <w:tcW w:type="dxa" w:w="26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Borde</w:t>
            </w:r>
          </w:p>
        </w:tc>
        <w:tc>
          <w:tcPr>
            <w:tcW w:type="dxa" w:w="67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Separadores y contornos de campos y tarjetas.</w:t>
            </w:r>
          </w:p>
        </w:tc>
      </w:tr>
      <w:tr>
        <w:trPr>
          <w:tblHeader w:val="false"/>
        </w:trPr>
        <w:tc>
          <w:tcPr>
            <w:tcW w:type="dxa" w:w="26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Texto y texto secundario</w:t>
            </w:r>
          </w:p>
        </w:tc>
        <w:tc>
          <w:tcPr>
            <w:tcW w:type="dxa" w:w="67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Texto principal y texto de apoyo o descripciones.</w:t>
            </w:r>
          </w:p>
        </w:tc>
      </w:tr>
      <w:tr>
        <w:trPr>
          <w:tblHeader w:val="false"/>
        </w:trPr>
        <w:tc>
          <w:tcPr>
            <w:tcW w:type="dxa" w:w="26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Advertencia</w:t>
            </w:r>
          </w:p>
        </w:tc>
        <w:tc>
          <w:tcPr>
            <w:tcW w:type="dxa" w:w="67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Alertas de stock bajo y avisos preventivos.</w:t>
            </w:r>
          </w:p>
        </w:tc>
      </w:tr>
      <w:tr>
        <w:trPr>
          <w:tblHeader w:val="false"/>
        </w:trPr>
        <w:tc>
          <w:tcPr>
            <w:tcW w:type="dxa" w:w="26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Peligro</w:t>
            </w:r>
          </w:p>
        </w:tc>
        <w:tc>
          <w:tcPr>
            <w:tcW w:type="dxa" w:w="67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Acciones destructivas o de riesgo (anular, eliminar).</w:t>
            </w:r>
          </w:p>
        </w:tc>
      </w:tr>
    </w:tbl>
    <w:p>
      <w:pPr>
        <w:pStyle w:val="Heading2"/>
        <w:spacing w:after="80" w:before="150"/>
      </w:pPr>
      <w:bookmarkStart w:name="bm8" w:id="8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4.4 Tipografía</w:t>
      </w:r>
      <w:bookmarkEnd w:id="8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La familia tipográfica es Inter, por su legibilidad en pantalla. Se define la siguiente escala:</w:t>
      </w:r>
    </w:p>
    <w:tbl>
      <w:tblPr>
        <w:tblW w:type="dxa" w:w="936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2400"/>
        <w:gridCol w:w="1500"/>
        <w:gridCol w:w="1700"/>
        <w:gridCol w:w="376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Estilo</w:t>
            </w:r>
          </w:p>
        </w:tc>
        <w:tc>
          <w:tcPr>
            <w:tcW w:type="dxa" w:w="15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Tamaño</w:t>
            </w:r>
          </w:p>
        </w:tc>
        <w:tc>
          <w:tcPr>
            <w:tcW w:type="dxa" w:w="17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Peso</w:t>
            </w:r>
          </w:p>
        </w:tc>
        <w:tc>
          <w:tcPr>
            <w:tcW w:type="dxa" w:w="37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Título principal</w:t>
            </w:r>
          </w:p>
        </w:tc>
        <w:tc>
          <w:tcPr>
            <w:tcW w:type="dxa" w:w="15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28 px</w:t>
            </w:r>
          </w:p>
        </w:tc>
        <w:tc>
          <w:tcPr>
            <w:tcW w:type="dxa" w:w="17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Negrita</w:t>
            </w:r>
          </w:p>
        </w:tc>
        <w:tc>
          <w:tcPr>
            <w:tcW w:type="dxa" w:w="37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Títulos de portada y de pantalla.</w:t>
            </w:r>
          </w:p>
        </w:tc>
      </w:tr>
      <w:tr>
        <w:trPr>
          <w:tblHeader w:val="false"/>
        </w:trPr>
        <w:tc>
          <w:tcPr>
            <w:tcW w:type="dxa" w:w="24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Título de sección</w:t>
            </w:r>
          </w:p>
        </w:tc>
        <w:tc>
          <w:tcPr>
            <w:tcW w:type="dxa" w:w="15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22 px</w:t>
            </w:r>
          </w:p>
        </w:tc>
        <w:tc>
          <w:tcPr>
            <w:tcW w:type="dxa" w:w="17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Negrita</w:t>
            </w:r>
          </w:p>
        </w:tc>
        <w:tc>
          <w:tcPr>
            <w:tcW w:type="dxa" w:w="37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Encabezados de sección.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Subtítulo</w:t>
            </w:r>
          </w:p>
        </w:tc>
        <w:tc>
          <w:tcPr>
            <w:tcW w:type="dxa" w:w="15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18 px</w:t>
            </w:r>
          </w:p>
        </w:tc>
        <w:tc>
          <w:tcPr>
            <w:tcW w:type="dxa" w:w="17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Seminegrita</w:t>
            </w:r>
          </w:p>
        </w:tc>
        <w:tc>
          <w:tcPr>
            <w:tcW w:type="dxa" w:w="37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Subtítulos y agrupaciones.</w:t>
            </w:r>
          </w:p>
        </w:tc>
      </w:tr>
      <w:tr>
        <w:trPr>
          <w:tblHeader w:val="false"/>
        </w:trPr>
        <w:tc>
          <w:tcPr>
            <w:tcW w:type="dxa" w:w="24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Cuerpo</w:t>
            </w:r>
          </w:p>
        </w:tc>
        <w:tc>
          <w:tcPr>
            <w:tcW w:type="dxa" w:w="15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 px</w:t>
            </w:r>
          </w:p>
        </w:tc>
        <w:tc>
          <w:tcPr>
            <w:tcW w:type="dxa" w:w="17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Regular</w:t>
            </w:r>
          </w:p>
        </w:tc>
        <w:tc>
          <w:tcPr>
            <w:tcW w:type="dxa" w:w="37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Texto general y contenido de formularios.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Texto secundario</w:t>
            </w:r>
          </w:p>
        </w:tc>
        <w:tc>
          <w:tcPr>
            <w:tcW w:type="dxa" w:w="15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13 px</w:t>
            </w:r>
          </w:p>
        </w:tc>
        <w:tc>
          <w:tcPr>
            <w:tcW w:type="dxa" w:w="17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Regular</w:t>
            </w:r>
          </w:p>
        </w:tc>
        <w:tc>
          <w:tcPr>
            <w:tcW w:type="dxa" w:w="37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Descripciones, ayudas y notas.</w:t>
            </w:r>
          </w:p>
        </w:tc>
      </w:tr>
      <w:tr>
        <w:trPr>
          <w:tblHeader w:val="false"/>
        </w:trPr>
        <w:tc>
          <w:tcPr>
            <w:tcW w:type="dxa" w:w="24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Etiqueta</w:t>
            </w:r>
          </w:p>
        </w:tc>
        <w:tc>
          <w:tcPr>
            <w:tcW w:type="dxa" w:w="15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12 px</w:t>
            </w:r>
          </w:p>
        </w:tc>
        <w:tc>
          <w:tcPr>
            <w:tcW w:type="dxa" w:w="17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Media</w:t>
            </w:r>
          </w:p>
        </w:tc>
        <w:tc>
          <w:tcPr>
            <w:tcW w:type="dxa" w:w="37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Etiquetas de campos y badges.</w:t>
            </w:r>
          </w:p>
        </w:tc>
      </w:tr>
    </w:tbl>
    <w:p>
      <w:pPr>
        <w:pStyle w:val="Heading2"/>
        <w:spacing w:after="80" w:before="150"/>
      </w:pPr>
      <w:bookmarkStart w:name="bm9" w:id="9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4.5 Iconografía</w:t>
      </w:r>
      <w:bookmarkEnd w:id="9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Se emplean iconos de línea (estilo lineal, en formato vectorial SVG), con un trazo uniforme y un tamaño base coherente con el texto que acompañan. Los iconos con significado incluyen una etiqueta o descripción para no depender solo del símbolo.</w:t>
      </w:r>
    </w:p>
    <w:p>
      <w:pPr>
        <w:pStyle w:val="Heading1"/>
        <w:pageBreakBefore/>
        <w:spacing w:after="110" w:before="220"/>
      </w:pPr>
      <w:bookmarkStart w:name="bm10" w:id="10"/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5. Rejilla, espaciado y puntos de quiebre</w:t>
      </w:r>
      <w:bookmarkEnd w:id="10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La disposición de los elementos se apoya en una rejilla y en una escala de espaciado uniforme, para dar orden y ritmo visual a las pantallas.</w:t>
      </w:r>
    </w:p>
    <w:p>
      <w:pPr>
        <w:pStyle w:val="Heading2"/>
        <w:spacing w:after="80" w:before="150"/>
      </w:pPr>
      <w:bookmarkStart w:name="bm11" w:id="11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5.1 Espaciado</w:t>
      </w:r>
      <w:bookmarkEnd w:id="11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El espaciado se basa en una escala de múltiplos de cuatro, lo que mantiene proporciones consistentes entre los elementos:</w:t>
      </w:r>
    </w:p>
    <w:tbl>
      <w:tblPr>
        <w:tblW w:type="dxa" w:w="936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71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Uso habitual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 px / 8 px</w:t>
            </w:r>
          </w:p>
        </w:tc>
        <w:tc>
          <w:tcPr>
            <w:tcW w:type="dxa" w:w="71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Separaciones internas pequeñas (icono y texto, campos).</w:t>
            </w:r>
          </w:p>
        </w:tc>
      </w:tr>
      <w:tr>
        <w:trPr>
          <w:tblHeader w:val="false"/>
        </w:trPr>
        <w:tc>
          <w:tcPr>
            <w:tcW w:type="dxa" w:w="22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12 px / 16 px</w:t>
            </w:r>
          </w:p>
        </w:tc>
        <w:tc>
          <w:tcPr>
            <w:tcW w:type="dxa" w:w="71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Separación entre elementos de un grupo y relleno de tarjetas.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24 px / 32 px</w:t>
            </w:r>
          </w:p>
        </w:tc>
        <w:tc>
          <w:tcPr>
            <w:tcW w:type="dxa" w:w="71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Separación entre secciones y márgenes de contenido.</w:t>
            </w:r>
          </w:p>
        </w:tc>
      </w:tr>
      <w:tr>
        <w:trPr>
          <w:tblHeader w:val="false"/>
        </w:trPr>
        <w:tc>
          <w:tcPr>
            <w:tcW w:type="dxa" w:w="22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48 px</w:t>
            </w:r>
          </w:p>
        </w:tc>
        <w:tc>
          <w:tcPr>
            <w:tcW w:type="dxa" w:w="71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Espacios amplios entre bloques principales.</w:t>
            </w:r>
          </w:p>
        </w:tc>
      </w:tr>
    </w:tbl>
    <w:p>
      <w:pPr>
        <w:pStyle w:val="Heading2"/>
        <w:spacing w:after="80" w:before="150"/>
      </w:pPr>
      <w:bookmarkStart w:name="bm12" w:id="12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5.2 Rejilla y radios</w:t>
      </w:r>
      <w:bookmarkEnd w:id="12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En la versión web se usa una rejilla de doce columnas con márgenes laterales; en móvil, una sola columna fluida. Las tarjetas y los botones emplean esquinas redondeadas suaves y sombras sutiles para diferenciar las superficies y dar sensación de profundidad.</w:t>
      </w:r>
    </w:p>
    <w:p>
      <w:pPr>
        <w:pStyle w:val="Heading2"/>
        <w:spacing w:after="80" w:before="150"/>
      </w:pPr>
      <w:bookmarkStart w:name="bm13" w:id="13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5.3 Puntos de quiebre</w:t>
      </w:r>
      <w:bookmarkEnd w:id="13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La interfaz es responsiva y se adapta a distintos tamaños de pantalla:</w:t>
      </w:r>
    </w:p>
    <w:tbl>
      <w:tblPr>
        <w:tblW w:type="dxa" w:w="936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2200"/>
        <w:gridCol w:w="2200"/>
        <w:gridCol w:w="496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Dispositivo</w:t>
            </w:r>
          </w:p>
        </w:tc>
        <w:tc>
          <w:tcPr>
            <w:tcW w:type="dxa" w:w="22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Ancho</w:t>
            </w:r>
          </w:p>
        </w:tc>
        <w:tc>
          <w:tcPr>
            <w:tcW w:type="dxa" w:w="49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Comportamiento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Móvil</w:t>
            </w:r>
          </w:p>
        </w:tc>
        <w:tc>
          <w:tcPr>
            <w:tcW w:type="dxa" w:w="22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Hasta 480 px</w:t>
            </w:r>
          </w:p>
        </w:tc>
        <w:tc>
          <w:tcPr>
            <w:tcW w:type="dxa" w:w="49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Una columna; navegación inferior; controles amplios.</w:t>
            </w:r>
          </w:p>
        </w:tc>
      </w:tr>
      <w:tr>
        <w:trPr>
          <w:tblHeader w:val="false"/>
        </w:trPr>
        <w:tc>
          <w:tcPr>
            <w:tcW w:type="dxa" w:w="22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Tablet</w:t>
            </w:r>
          </w:p>
        </w:tc>
        <w:tc>
          <w:tcPr>
            <w:tcW w:type="dxa" w:w="22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481 a 1024 px</w:t>
            </w:r>
          </w:p>
        </w:tc>
        <w:tc>
          <w:tcPr>
            <w:tcW w:type="dxa" w:w="49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Dos columnas; navegación lateral colapsable.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Escritorio</w:t>
            </w:r>
          </w:p>
        </w:tc>
        <w:tc>
          <w:tcPr>
            <w:tcW w:type="dxa" w:w="22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1025 px en adelante</w:t>
            </w:r>
          </w:p>
        </w:tc>
        <w:tc>
          <w:tcPr>
            <w:tcW w:type="dxa" w:w="49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Rejilla completa; navegación lateral fija.</w:t>
            </w:r>
          </w:p>
        </w:tc>
      </w:tr>
    </w:tbl>
    <w:sectPr>
      <w:footerReference w:type="default" r:id="rId7"/>
      <w:pgSz w:w="12240" w:h="15840" w:orient="portrait"/>
      <w:pgMar w:top="1080" w:right="1000" w:bottom="108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6502f1314c4440ed3598711c31506b3ea924ed67.png"/><Relationship Id="rId9" Type="http://schemas.openxmlformats.org/officeDocument/2006/relationships/image" Target="media/01bd9bd4f14e3a1653d11d858621ed644faf0ea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Cristian Dario Macias Espitia</dc:creator>
  <cp:lastModifiedBy>Un-named</cp:lastModifiedBy>
  <cp:revision>1</cp:revision>
  <dcterms:created xsi:type="dcterms:W3CDTF">2026-09-09T23:51:48.694Z</dcterms:created>
  <dcterms:modified xsi:type="dcterms:W3CDTF">2026-09-09T23:51:48.694Z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