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2"/>
          <w:szCs w:val="52"/>
        </w:rPr>
        <w:t xml:space="preserve">DOCUMENTO TÉCNICO DE DISEÑO</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600" w:line="264"/>
        <w:jc w:val="center"/>
      </w:pPr>
      <w:r>
        <w:rPr>
          <w:rFonts w:ascii="Arial" w:cs="Arial" w:eastAsia="Arial" w:hAnsi="Arial"/>
          <w:b/>
          <w:bCs/>
          <w:sz w:val="28"/>
          <w:szCs w:val="28"/>
        </w:rPr>
        <w:t xml:space="preserve">CRISTIAN DARÍO MACÍAS ESPITIA</w:t>
      </w:r>
    </w:p>
    <w:p>
      <w:pPr>
        <w:spacing w:after="0" w:before="27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500"/>
        <w:gridCol w:w="1200"/>
        <w:gridCol w:w="3400"/>
        <w:gridCol w:w="3260"/>
      </w:tblGrid>
      <w:tr>
        <w:trPr>
          <w:tblHeader/>
        </w:trPr>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5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11/09/2026</w:t>
            </w:r>
          </w:p>
        </w:tc>
        <w:tc>
          <w:tcPr>
            <w:tcW w:type="dxa" w:w="1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1</w:t>
            </w:r>
          </w:p>
        </w:tc>
        <w:tc>
          <w:tcPr>
            <w:tcW w:type="dxa" w:w="34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Cristian Darío Macías Espitia</w:t>
            </w:r>
          </w:p>
        </w:tc>
        <w:tc>
          <w:tcPr>
            <w:tcW w:type="dxa" w:w="3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Paleta INVENTRA, prototipo y ERS (rev.1)</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 objetivo y alcance</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pPr>
      <w:hyperlink w:history="1" w:anchor="bm2">
        <w:r>
          <w:rPr>
            <w:rFonts w:ascii="Arial" w:cs="Arial" w:eastAsia="Arial" w:hAnsi="Arial"/>
            <w:b/>
            <w:bCs/>
            <w:color w:val="1F3864"/>
            <w:sz w:val="21"/>
            <w:szCs w:val="21"/>
          </w:rPr>
          <w:t xml:space="preserve">2. Principios de diseño y experiencia de usuario</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pPr>
      <w:hyperlink w:history="1" w:anchor="bm3">
        <w:r>
          <w:rPr>
            <w:rFonts w:ascii="Arial" w:cs="Arial" w:eastAsia="Arial" w:hAnsi="Arial"/>
            <w:b/>
            <w:bCs/>
            <w:color w:val="1F3864"/>
            <w:sz w:val="21"/>
            <w:szCs w:val="21"/>
          </w:rPr>
          <w:t xml:space="preserve">3. Accesibilidad</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pPr>
      <w:hyperlink w:history="1" w:anchor="bm4">
        <w:r>
          <w:rPr>
            <w:rFonts w:ascii="Arial" w:cs="Arial" w:eastAsia="Arial" w:hAnsi="Arial"/>
            <w:b/>
            <w:bCs/>
            <w:color w:val="1F3864"/>
            <w:sz w:val="21"/>
            <w:szCs w:val="21"/>
          </w:rPr>
          <w:t xml:space="preserve">4. Identidad visual</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ind w:left="360"/>
      </w:pPr>
      <w:hyperlink w:history="1" w:anchor="bm5">
        <w:r>
          <w:rPr>
            <w:rFonts w:ascii="Arial" w:cs="Arial" w:eastAsia="Arial" w:hAnsi="Arial"/>
            <w:b w:val="false"/>
            <w:bCs w:val="false"/>
            <w:color w:val="1F3864"/>
            <w:sz w:val="20"/>
            <w:szCs w:val="20"/>
          </w:rPr>
          <w:t xml:space="preserve">4.1 Paleta de colores — modo claro</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4.2 Paleta de colores — modo oscuro</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ind w:left="360"/>
      </w:pPr>
      <w:hyperlink w:history="1" w:anchor="bm7">
        <w:r>
          <w:rPr>
            <w:rFonts w:ascii="Arial" w:cs="Arial" w:eastAsia="Arial" w:hAnsi="Arial"/>
            <w:b w:val="false"/>
            <w:bCs w:val="false"/>
            <w:color w:val="1F3864"/>
            <w:sz w:val="20"/>
            <w:szCs w:val="20"/>
          </w:rPr>
          <w:t xml:space="preserve">4.3 Uso del color</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ind w:left="360"/>
      </w:pPr>
      <w:hyperlink w:history="1" w:anchor="bm8">
        <w:r>
          <w:rPr>
            <w:rFonts w:ascii="Arial" w:cs="Arial" w:eastAsia="Arial" w:hAnsi="Arial"/>
            <w:b w:val="false"/>
            <w:bCs w:val="false"/>
            <w:color w:val="1F3864"/>
            <w:sz w:val="20"/>
            <w:szCs w:val="20"/>
          </w:rPr>
          <w:t xml:space="preserve">4.4 Tipografía</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9">
        <w:r>
          <w:rPr>
            <w:rFonts w:ascii="Arial" w:cs="Arial" w:eastAsia="Arial" w:hAnsi="Arial"/>
            <w:b w:val="false"/>
            <w:bCs w:val="false"/>
            <w:color w:val="1F3864"/>
            <w:sz w:val="20"/>
            <w:szCs w:val="20"/>
          </w:rPr>
          <w:t xml:space="preserve">4.5 Iconografía</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pPr>
      <w:hyperlink w:history="1" w:anchor="bm10">
        <w:r>
          <w:rPr>
            <w:rFonts w:ascii="Arial" w:cs="Arial" w:eastAsia="Arial" w:hAnsi="Arial"/>
            <w:b/>
            <w:bCs/>
            <w:color w:val="1F3864"/>
            <w:sz w:val="21"/>
            <w:szCs w:val="21"/>
          </w:rPr>
          <w:t xml:space="preserve">5. Rejilla, espaciado y puntos de quiebre</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ind w:left="360"/>
      </w:pPr>
      <w:hyperlink w:history="1" w:anchor="bm11">
        <w:r>
          <w:rPr>
            <w:rFonts w:ascii="Arial" w:cs="Arial" w:eastAsia="Arial" w:hAnsi="Arial"/>
            <w:b w:val="false"/>
            <w:bCs w:val="false"/>
            <w:color w:val="1F3864"/>
            <w:sz w:val="20"/>
            <w:szCs w:val="20"/>
          </w:rPr>
          <w:t xml:space="preserve">5.1 Espaciado</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ind w:left="360"/>
      </w:pPr>
      <w:hyperlink w:history="1" w:anchor="bm12">
        <w:r>
          <w:rPr>
            <w:rFonts w:ascii="Arial" w:cs="Arial" w:eastAsia="Arial" w:hAnsi="Arial"/>
            <w:b w:val="false"/>
            <w:bCs w:val="false"/>
            <w:color w:val="1F3864"/>
            <w:sz w:val="20"/>
            <w:szCs w:val="20"/>
          </w:rPr>
          <w:t xml:space="preserve">5.2 Rejilla y radios</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ind w:left="360"/>
      </w:pPr>
      <w:hyperlink w:history="1" w:anchor="bm13">
        <w:r>
          <w:rPr>
            <w:rFonts w:ascii="Arial" w:cs="Arial" w:eastAsia="Arial" w:hAnsi="Arial"/>
            <w:b w:val="false"/>
            <w:bCs w:val="false"/>
            <w:color w:val="1F3864"/>
            <w:sz w:val="20"/>
            <w:szCs w:val="20"/>
          </w:rPr>
          <w:t xml:space="preserve">5.3 Puntos de quiebre</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pPr>
      <w:hyperlink w:history="1" w:anchor="bm14">
        <w:r>
          <w:rPr>
            <w:rFonts w:ascii="Arial" w:cs="Arial" w:eastAsia="Arial" w:hAnsi="Arial"/>
            <w:b/>
            <w:bCs/>
            <w:color w:val="1F3864"/>
            <w:sz w:val="21"/>
            <w:szCs w:val="21"/>
          </w:rPr>
          <w:t xml:space="preserve">6. Componentes comunes de la interfaz</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6.1 Estados de los componentes interactivos</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6.2 Botones</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6.3 Campos de formulario</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ind w:left="360"/>
      </w:pPr>
      <w:hyperlink w:history="1" w:anchor="bm18">
        <w:r>
          <w:rPr>
            <w:rFonts w:ascii="Arial" w:cs="Arial" w:eastAsia="Arial" w:hAnsi="Arial"/>
            <w:b w:val="false"/>
            <w:bCs w:val="false"/>
            <w:color w:val="1F3864"/>
            <w:sz w:val="20"/>
            <w:szCs w:val="20"/>
          </w:rPr>
          <w:t xml:space="preserve">6.4 Mensajes, alertas y etiquetas de estado</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ind w:left="360"/>
      </w:pPr>
      <w:hyperlink w:history="1" w:anchor="bm19">
        <w:r>
          <w:rPr>
            <w:rFonts w:ascii="Arial" w:cs="Arial" w:eastAsia="Arial" w:hAnsi="Arial"/>
            <w:b w:val="false"/>
            <w:bCs w:val="false"/>
            <w:color w:val="1F3864"/>
            <w:sz w:val="20"/>
            <w:szCs w:val="20"/>
          </w:rPr>
          <w:t xml:space="preserve">6.5 Navegación, tarjetas y tablas</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6.6 Ventanas de confirmación</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pPr>
      <w:hyperlink w:history="1" w:anchor="bm21">
        <w:r>
          <w:rPr>
            <w:rFonts w:ascii="Arial" w:cs="Arial" w:eastAsia="Arial" w:hAnsi="Arial"/>
            <w:b/>
            <w:bCs/>
            <w:color w:val="1F3864"/>
            <w:sz w:val="21"/>
            <w:szCs w:val="21"/>
          </w:rPr>
          <w:t xml:space="preserve">7. Formularios de autenticación y registro</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7.1 Inicio de sesión</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ind w:left="360"/>
      </w:pPr>
      <w:hyperlink w:history="1" w:anchor="bm23">
        <w:r>
          <w:rPr>
            <w:rFonts w:ascii="Arial" w:cs="Arial" w:eastAsia="Arial" w:hAnsi="Arial"/>
            <w:b w:val="false"/>
            <w:bCs w:val="false"/>
            <w:color w:val="1F3864"/>
            <w:sz w:val="20"/>
            <w:szCs w:val="20"/>
          </w:rPr>
          <w:t xml:space="preserve">7.2 Registro de la licorería</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ind w:left="360"/>
      </w:pPr>
      <w:hyperlink w:history="1" w:anchor="bm24">
        <w:r>
          <w:rPr>
            <w:rFonts w:ascii="Arial" w:cs="Arial" w:eastAsia="Arial" w:hAnsi="Arial"/>
            <w:b w:val="false"/>
            <w:bCs w:val="false"/>
            <w:color w:val="1F3864"/>
            <w:sz w:val="20"/>
            <w:szCs w:val="20"/>
          </w:rPr>
          <w:t xml:space="preserve">7.3 Recuperación de contraseña</w:t>
        </w:r>
      </w:hyperlink>
      <w:r>
        <w:rPr>
          <w:rFonts w:ascii="Arial" w:cs="Arial" w:eastAsia="Arial" w:hAnsi="Arial"/>
          <w:sz w:val="20"/>
          <w:szCs w:val="20"/>
        </w:rPr>
        <w:t xml:space="preserve">	</w:t>
      </w:r>
      <w:r>
        <w:fldChar w:fldCharType="begin" w:dirty="true"/>
        <w:instrText xml:space="preserve">PAGEREF bm24</w:instrText>
        <w:fldChar w:fldCharType="end"/>
      </w:r>
    </w:p>
    <w:p>
      <w:pPr>
        <w:tabs>
          <w:tab w:val="right" w:pos="9200" w:leader="dot"/>
        </w:tabs>
        <w:spacing w:after="40" w:line="252"/>
        <w:ind w:left="360"/>
      </w:pPr>
      <w:hyperlink w:history="1" w:anchor="bm25">
        <w:r>
          <w:rPr>
            <w:rFonts w:ascii="Arial" w:cs="Arial" w:eastAsia="Arial" w:hAnsi="Arial"/>
            <w:b w:val="false"/>
            <w:bCs w:val="false"/>
            <w:color w:val="1F3864"/>
            <w:sz w:val="20"/>
            <w:szCs w:val="20"/>
          </w:rPr>
          <w:t xml:space="preserve">7.4 Validaciones y mensajes</w:t>
        </w:r>
      </w:hyperlink>
      <w:r>
        <w:rPr>
          <w:rFonts w:ascii="Arial" w:cs="Arial" w:eastAsia="Arial" w:hAnsi="Arial"/>
          <w:sz w:val="20"/>
          <w:szCs w:val="20"/>
        </w:rPr>
        <w:t xml:space="preserve">	</w:t>
      </w:r>
      <w:r>
        <w:fldChar w:fldCharType="begin" w:dirty="true"/>
        <w:instrText xml:space="preserve">PAGEREF bm25</w:instrText>
        <w:fldChar w:fldCharType="end"/>
      </w:r>
    </w:p>
    <w:p>
      <w:pPr>
        <w:tabs>
          <w:tab w:val="right" w:pos="9200" w:leader="dot"/>
        </w:tabs>
        <w:spacing w:after="40" w:line="252"/>
      </w:pPr>
      <w:hyperlink w:history="1" w:anchor="bm26">
        <w:r>
          <w:rPr>
            <w:rFonts w:ascii="Arial" w:cs="Arial" w:eastAsia="Arial" w:hAnsi="Arial"/>
            <w:b/>
            <w:bCs/>
            <w:color w:val="1F3864"/>
            <w:sz w:val="21"/>
            <w:szCs w:val="21"/>
          </w:rPr>
          <w:t xml:space="preserve">8. Pantallas principales</w:t>
        </w:r>
      </w:hyperlink>
      <w:r>
        <w:rPr>
          <w:rFonts w:ascii="Arial" w:cs="Arial" w:eastAsia="Arial" w:hAnsi="Arial"/>
          <w:sz w:val="20"/>
          <w:szCs w:val="20"/>
        </w:rPr>
        <w:t xml:space="preserve">	</w:t>
      </w:r>
      <w:r>
        <w:fldChar w:fldCharType="begin" w:dirty="true"/>
        <w:instrText xml:space="preserve">PAGEREF bm26</w:instrText>
        <w:fldChar w:fldCharType="end"/>
      </w:r>
    </w:p>
    <w:p>
      <w:pPr>
        <w:tabs>
          <w:tab w:val="right" w:pos="9200" w:leader="dot"/>
        </w:tabs>
        <w:spacing w:after="40" w:line="252"/>
        <w:ind w:left="360"/>
      </w:pPr>
      <w:hyperlink w:history="1" w:anchor="bm27">
        <w:r>
          <w:rPr>
            <w:rFonts w:ascii="Arial" w:cs="Arial" w:eastAsia="Arial" w:hAnsi="Arial"/>
            <w:b w:val="false"/>
            <w:bCs w:val="false"/>
            <w:color w:val="1F3864"/>
            <w:sz w:val="20"/>
            <w:szCs w:val="20"/>
          </w:rPr>
          <w:t xml:space="preserve">8.1 Página de presentación</w:t>
        </w:r>
      </w:hyperlink>
      <w:r>
        <w:rPr>
          <w:rFonts w:ascii="Arial" w:cs="Arial" w:eastAsia="Arial" w:hAnsi="Arial"/>
          <w:sz w:val="20"/>
          <w:szCs w:val="20"/>
        </w:rPr>
        <w:t xml:space="preserve">	</w:t>
      </w:r>
      <w:r>
        <w:fldChar w:fldCharType="begin" w:dirty="true"/>
        <w:instrText xml:space="preserve">PAGEREF bm27</w:instrText>
        <w:fldChar w:fldCharType="end"/>
      </w:r>
    </w:p>
    <w:p>
      <w:pPr>
        <w:tabs>
          <w:tab w:val="right" w:pos="9200" w:leader="dot"/>
        </w:tabs>
        <w:spacing w:after="40" w:line="252"/>
        <w:ind w:left="360"/>
      </w:pPr>
      <w:hyperlink w:history="1" w:anchor="bm28">
        <w:r>
          <w:rPr>
            <w:rFonts w:ascii="Arial" w:cs="Arial" w:eastAsia="Arial" w:hAnsi="Arial"/>
            <w:b w:val="false"/>
            <w:bCs w:val="false"/>
            <w:color w:val="1F3864"/>
            <w:sz w:val="20"/>
            <w:szCs w:val="20"/>
          </w:rPr>
          <w:t xml:space="preserve">8.2 Panel principal</w:t>
        </w:r>
      </w:hyperlink>
      <w:r>
        <w:rPr>
          <w:rFonts w:ascii="Arial" w:cs="Arial" w:eastAsia="Arial" w:hAnsi="Arial"/>
          <w:sz w:val="20"/>
          <w:szCs w:val="20"/>
        </w:rPr>
        <w:t xml:space="preserve">	</w:t>
      </w:r>
      <w:r>
        <w:fldChar w:fldCharType="begin" w:dirty="true"/>
        <w:instrText xml:space="preserve">PAGEREF bm28</w:instrText>
        <w:fldChar w:fldCharType="end"/>
      </w:r>
    </w:p>
    <w:p>
      <w:pPr>
        <w:tabs>
          <w:tab w:val="right" w:pos="9200" w:leader="dot"/>
        </w:tabs>
        <w:spacing w:after="40" w:line="252"/>
        <w:ind w:left="360"/>
      </w:pPr>
      <w:hyperlink w:history="1" w:anchor="bm29">
        <w:r>
          <w:rPr>
            <w:rFonts w:ascii="Arial" w:cs="Arial" w:eastAsia="Arial" w:hAnsi="Arial"/>
            <w:b w:val="false"/>
            <w:bCs w:val="false"/>
            <w:color w:val="1F3864"/>
            <w:sz w:val="20"/>
            <w:szCs w:val="20"/>
          </w:rPr>
          <w:t xml:space="preserve">8.3 Inventario: lista de productos</w:t>
        </w:r>
      </w:hyperlink>
      <w:r>
        <w:rPr>
          <w:rFonts w:ascii="Arial" w:cs="Arial" w:eastAsia="Arial" w:hAnsi="Arial"/>
          <w:sz w:val="20"/>
          <w:szCs w:val="20"/>
        </w:rPr>
        <w:t xml:space="preserve">	</w:t>
      </w:r>
      <w:r>
        <w:fldChar w:fldCharType="begin" w:dirty="true"/>
        <w:instrText xml:space="preserve">PAGEREF bm29</w:instrText>
        <w:fldChar w:fldCharType="end"/>
      </w:r>
    </w:p>
    <w:p>
      <w:pPr>
        <w:tabs>
          <w:tab w:val="right" w:pos="9200" w:leader="dot"/>
        </w:tabs>
        <w:spacing w:after="40" w:line="252"/>
        <w:ind w:left="360"/>
      </w:pPr>
      <w:hyperlink w:history="1" w:anchor="bm30">
        <w:r>
          <w:rPr>
            <w:rFonts w:ascii="Arial" w:cs="Arial" w:eastAsia="Arial" w:hAnsi="Arial"/>
            <w:b w:val="false"/>
            <w:bCs w:val="false"/>
            <w:color w:val="1F3864"/>
            <w:sz w:val="20"/>
            <w:szCs w:val="20"/>
          </w:rPr>
          <w:t xml:space="preserve">8.4 Inventario: registro y edición de producto</w:t>
        </w:r>
      </w:hyperlink>
      <w:r>
        <w:rPr>
          <w:rFonts w:ascii="Arial" w:cs="Arial" w:eastAsia="Arial" w:hAnsi="Arial"/>
          <w:sz w:val="20"/>
          <w:szCs w:val="20"/>
        </w:rPr>
        <w:t xml:space="preserve">	</w:t>
      </w:r>
      <w:r>
        <w:fldChar w:fldCharType="begin" w:dirty="true"/>
        <w:instrText xml:space="preserve">PAGEREF bm30</w:instrText>
        <w:fldChar w:fldCharType="end"/>
      </w:r>
    </w:p>
    <w:p>
      <w:pPr>
        <w:tabs>
          <w:tab w:val="right" w:pos="9200" w:leader="dot"/>
        </w:tabs>
        <w:spacing w:after="40" w:line="252"/>
        <w:ind w:left="360"/>
      </w:pPr>
      <w:hyperlink w:history="1" w:anchor="bm31">
        <w:r>
          <w:rPr>
            <w:rFonts w:ascii="Arial" w:cs="Arial" w:eastAsia="Arial" w:hAnsi="Arial"/>
            <w:b w:val="false"/>
            <w:bCs w:val="false"/>
            <w:color w:val="1F3864"/>
            <w:sz w:val="20"/>
            <w:szCs w:val="20"/>
          </w:rPr>
          <w:t xml:space="preserve">8.5 Punto de venta</w:t>
        </w:r>
      </w:hyperlink>
      <w:r>
        <w:rPr>
          <w:rFonts w:ascii="Arial" w:cs="Arial" w:eastAsia="Arial" w:hAnsi="Arial"/>
          <w:sz w:val="20"/>
          <w:szCs w:val="20"/>
        </w:rPr>
        <w:t xml:space="preserve">	</w:t>
      </w:r>
      <w:r>
        <w:fldChar w:fldCharType="begin" w:dirty="true"/>
        <w:instrText xml:space="preserve">PAGEREF bm31</w:instrText>
        <w:fldChar w:fldCharType="end"/>
      </w:r>
    </w:p>
    <w:p>
      <w:pPr>
        <w:tabs>
          <w:tab w:val="right" w:pos="9200" w:leader="dot"/>
        </w:tabs>
        <w:spacing w:after="40" w:line="252"/>
        <w:ind w:left="360"/>
      </w:pPr>
      <w:hyperlink w:history="1" w:anchor="bm32">
        <w:r>
          <w:rPr>
            <w:rFonts w:ascii="Arial" w:cs="Arial" w:eastAsia="Arial" w:hAnsi="Arial"/>
            <w:b w:val="false"/>
            <w:bCs w:val="false"/>
            <w:color w:val="1F3864"/>
            <w:sz w:val="20"/>
            <w:szCs w:val="20"/>
          </w:rPr>
          <w:t xml:space="preserve">8.6 Reportes</w:t>
        </w:r>
      </w:hyperlink>
      <w:r>
        <w:rPr>
          <w:rFonts w:ascii="Arial" w:cs="Arial" w:eastAsia="Arial" w:hAnsi="Arial"/>
          <w:sz w:val="20"/>
          <w:szCs w:val="20"/>
        </w:rPr>
        <w:t xml:space="preserve">	</w:t>
      </w:r>
      <w:r>
        <w:fldChar w:fldCharType="begin" w:dirty="true"/>
        <w:instrText xml:space="preserve">PAGEREF bm32</w:instrText>
        <w:fldChar w:fldCharType="end"/>
      </w:r>
    </w:p>
    <w:p>
      <w:pPr>
        <w:tabs>
          <w:tab w:val="right" w:pos="9200" w:leader="dot"/>
        </w:tabs>
        <w:spacing w:after="40" w:line="252"/>
      </w:pPr>
      <w:hyperlink w:history="1" w:anchor="bm33">
        <w:r>
          <w:rPr>
            <w:rFonts w:ascii="Arial" w:cs="Arial" w:eastAsia="Arial" w:hAnsi="Arial"/>
            <w:b/>
            <w:bCs/>
            <w:color w:val="1F3864"/>
            <w:sz w:val="21"/>
            <w:szCs w:val="21"/>
          </w:rPr>
          <w:t xml:space="preserve">9. Mensajes y estados de pantalla</w:t>
        </w:r>
      </w:hyperlink>
      <w:r>
        <w:rPr>
          <w:rFonts w:ascii="Arial" w:cs="Arial" w:eastAsia="Arial" w:hAnsi="Arial"/>
          <w:sz w:val="20"/>
          <w:szCs w:val="20"/>
        </w:rPr>
        <w:t xml:space="preserve">	</w:t>
      </w:r>
      <w:r>
        <w:fldChar w:fldCharType="begin" w:dirty="true"/>
        <w:instrText xml:space="preserve">PAGEREF bm33</w:instrText>
        <w:fldChar w:fldCharType="end"/>
      </w:r>
    </w:p>
    <w:p>
      <w:pPr>
        <w:tabs>
          <w:tab w:val="right" w:pos="9200" w:leader="dot"/>
        </w:tabs>
        <w:spacing w:after="40" w:line="252"/>
        <w:ind w:left="360"/>
      </w:pPr>
      <w:hyperlink w:history="1" w:anchor="bm34">
        <w:r>
          <w:rPr>
            <w:rFonts w:ascii="Arial" w:cs="Arial" w:eastAsia="Arial" w:hAnsi="Arial"/>
            <w:b w:val="false"/>
            <w:bCs w:val="false"/>
            <w:color w:val="1F3864"/>
            <w:sz w:val="20"/>
            <w:szCs w:val="20"/>
          </w:rPr>
          <w:t xml:space="preserve">9.1 Estados de una pantalla</w:t>
        </w:r>
      </w:hyperlink>
      <w:r>
        <w:rPr>
          <w:rFonts w:ascii="Arial" w:cs="Arial" w:eastAsia="Arial" w:hAnsi="Arial"/>
          <w:sz w:val="20"/>
          <w:szCs w:val="20"/>
        </w:rPr>
        <w:t xml:space="preserve">	</w:t>
      </w:r>
      <w:r>
        <w:fldChar w:fldCharType="begin" w:dirty="true"/>
        <w:instrText xml:space="preserve">PAGEREF bm34</w:instrText>
        <w:fldChar w:fldCharType="end"/>
      </w:r>
    </w:p>
    <w:p>
      <w:pPr>
        <w:tabs>
          <w:tab w:val="right" w:pos="9200" w:leader="dot"/>
        </w:tabs>
        <w:spacing w:after="40" w:line="252"/>
        <w:ind w:left="360"/>
      </w:pPr>
      <w:hyperlink w:history="1" w:anchor="bm35">
        <w:r>
          <w:rPr>
            <w:rFonts w:ascii="Arial" w:cs="Arial" w:eastAsia="Arial" w:hAnsi="Arial"/>
            <w:b w:val="false"/>
            <w:bCs w:val="false"/>
            <w:color w:val="1F3864"/>
            <w:sz w:val="20"/>
            <w:szCs w:val="20"/>
          </w:rPr>
          <w:t xml:space="preserve">9.2 Redacción de los mensajes</w:t>
        </w:r>
      </w:hyperlink>
      <w:r>
        <w:rPr>
          <w:rFonts w:ascii="Arial" w:cs="Arial" w:eastAsia="Arial" w:hAnsi="Arial"/>
          <w:sz w:val="20"/>
          <w:szCs w:val="20"/>
        </w:rPr>
        <w:t xml:space="preserve">	</w:t>
      </w:r>
      <w:r>
        <w:fldChar w:fldCharType="begin" w:dirty="true"/>
        <w:instrText xml:space="preserve">PAGEREF bm35</w:instrText>
        <w:fldChar w:fldCharType="end"/>
      </w:r>
    </w:p>
    <w:p>
      <w:pPr>
        <w:tabs>
          <w:tab w:val="right" w:pos="9200" w:leader="dot"/>
        </w:tabs>
        <w:spacing w:after="40" w:line="252"/>
      </w:pPr>
      <w:hyperlink w:history="1" w:anchor="bm36">
        <w:r>
          <w:rPr>
            <w:rFonts w:ascii="Arial" w:cs="Arial" w:eastAsia="Arial" w:hAnsi="Arial"/>
            <w:b/>
            <w:bCs/>
            <w:color w:val="1F3864"/>
            <w:sz w:val="21"/>
            <w:szCs w:val="21"/>
          </w:rPr>
          <w:t xml:space="preserve">10. Comportamiento responsivo y modo oscuro</w:t>
        </w:r>
      </w:hyperlink>
      <w:r>
        <w:rPr>
          <w:rFonts w:ascii="Arial" w:cs="Arial" w:eastAsia="Arial" w:hAnsi="Arial"/>
          <w:sz w:val="20"/>
          <w:szCs w:val="20"/>
        </w:rPr>
        <w:t xml:space="preserve">	</w:t>
      </w:r>
      <w:r>
        <w:fldChar w:fldCharType="begin" w:dirty="true"/>
        <w:instrText xml:space="preserve">PAGEREF bm36</w:instrText>
        <w:fldChar w:fldCharType="end"/>
      </w:r>
    </w:p>
    <w:p>
      <w:pPr>
        <w:tabs>
          <w:tab w:val="right" w:pos="9200" w:leader="dot"/>
        </w:tabs>
        <w:spacing w:after="40" w:line="252"/>
        <w:ind w:left="360"/>
      </w:pPr>
      <w:hyperlink w:history="1" w:anchor="bm37">
        <w:r>
          <w:rPr>
            <w:rFonts w:ascii="Arial" w:cs="Arial" w:eastAsia="Arial" w:hAnsi="Arial"/>
            <w:b w:val="false"/>
            <w:bCs w:val="false"/>
            <w:color w:val="1F3864"/>
            <w:sz w:val="20"/>
            <w:szCs w:val="20"/>
          </w:rPr>
          <w:t xml:space="preserve">10.1 Versión móvil</w:t>
        </w:r>
      </w:hyperlink>
      <w:r>
        <w:rPr>
          <w:rFonts w:ascii="Arial" w:cs="Arial" w:eastAsia="Arial" w:hAnsi="Arial"/>
          <w:sz w:val="20"/>
          <w:szCs w:val="20"/>
        </w:rPr>
        <w:t xml:space="preserve">	</w:t>
      </w:r>
      <w:r>
        <w:fldChar w:fldCharType="begin" w:dirty="true"/>
        <w:instrText xml:space="preserve">PAGEREF bm37</w:instrText>
        <w:fldChar w:fldCharType="end"/>
      </w:r>
    </w:p>
    <w:p>
      <w:pPr>
        <w:tabs>
          <w:tab w:val="right" w:pos="9200" w:leader="dot"/>
        </w:tabs>
        <w:spacing w:after="40" w:line="252"/>
        <w:ind w:left="360"/>
      </w:pPr>
      <w:hyperlink w:history="1" w:anchor="bm38">
        <w:r>
          <w:rPr>
            <w:rFonts w:ascii="Arial" w:cs="Arial" w:eastAsia="Arial" w:hAnsi="Arial"/>
            <w:b w:val="false"/>
            <w:bCs w:val="false"/>
            <w:color w:val="1F3864"/>
            <w:sz w:val="20"/>
            <w:szCs w:val="20"/>
          </w:rPr>
          <w:t xml:space="preserve">10.2 Tablet y escritorio</w:t>
        </w:r>
      </w:hyperlink>
      <w:r>
        <w:rPr>
          <w:rFonts w:ascii="Arial" w:cs="Arial" w:eastAsia="Arial" w:hAnsi="Arial"/>
          <w:sz w:val="20"/>
          <w:szCs w:val="20"/>
        </w:rPr>
        <w:t xml:space="preserve">	</w:t>
      </w:r>
      <w:r>
        <w:fldChar w:fldCharType="begin" w:dirty="true"/>
        <w:instrText xml:space="preserve">PAGEREF bm38</w:instrText>
        <w:fldChar w:fldCharType="end"/>
      </w:r>
    </w:p>
    <w:p>
      <w:pPr>
        <w:tabs>
          <w:tab w:val="right" w:pos="9200" w:leader="dot"/>
        </w:tabs>
        <w:spacing w:after="40" w:line="252"/>
        <w:ind w:left="360"/>
      </w:pPr>
      <w:hyperlink w:history="1" w:anchor="bm39">
        <w:r>
          <w:rPr>
            <w:rFonts w:ascii="Arial" w:cs="Arial" w:eastAsia="Arial" w:hAnsi="Arial"/>
            <w:b w:val="false"/>
            <w:bCs w:val="false"/>
            <w:color w:val="1F3864"/>
            <w:sz w:val="20"/>
            <w:szCs w:val="20"/>
          </w:rPr>
          <w:t xml:space="preserve">10.3 Modo oscuro</w:t>
        </w:r>
      </w:hyperlink>
      <w:r>
        <w:rPr>
          <w:rFonts w:ascii="Arial" w:cs="Arial" w:eastAsia="Arial" w:hAnsi="Arial"/>
          <w:sz w:val="20"/>
          <w:szCs w:val="20"/>
        </w:rPr>
        <w:t xml:space="preserve">	</w:t>
      </w:r>
      <w:r>
        <w:fldChar w:fldCharType="begin" w:dirty="true"/>
        <w:instrText xml:space="preserve">PAGEREF bm39</w:instrText>
        <w:fldChar w:fldCharType="end"/>
      </w:r>
    </w:p>
    <w:p>
      <w:pPr>
        <w:tabs>
          <w:tab w:val="right" w:pos="9200" w:leader="dot"/>
        </w:tabs>
        <w:spacing w:after="40" w:line="252"/>
      </w:pPr>
      <w:hyperlink w:history="1" w:anchor="bm40">
        <w:r>
          <w:rPr>
            <w:rFonts w:ascii="Arial" w:cs="Arial" w:eastAsia="Arial" w:hAnsi="Arial"/>
            <w:b/>
            <w:bCs/>
            <w:color w:val="1F3864"/>
            <w:sz w:val="21"/>
            <w:szCs w:val="21"/>
          </w:rPr>
          <w:t xml:space="preserve">11. Conclusión</w:t>
        </w:r>
      </w:hyperlink>
      <w:r>
        <w:rPr>
          <w:rFonts w:ascii="Arial" w:cs="Arial" w:eastAsia="Arial" w:hAnsi="Arial"/>
          <w:sz w:val="20"/>
          <w:szCs w:val="20"/>
        </w:rPr>
        <w:t xml:space="preserve">	</w:t>
      </w:r>
      <w:r>
        <w:fldChar w:fldCharType="begin" w:dirty="true"/>
        <w:instrText xml:space="preserve">PAGEREF bm40</w:instrText>
        <w:fldChar w:fldCharType="end"/>
      </w:r>
    </w:p>
    <w:p>
      <w:pPr>
        <w:tabs>
          <w:tab w:val="right" w:pos="9200" w:leader="dot"/>
        </w:tabs>
        <w:spacing w:after="40" w:line="252"/>
      </w:pPr>
      <w:hyperlink w:history="1" w:anchor="bm41">
        <w:r>
          <w:rPr>
            <w:rFonts w:ascii="Arial" w:cs="Arial" w:eastAsia="Arial" w:hAnsi="Arial"/>
            <w:b/>
            <w:bCs/>
            <w:color w:val="1F3864"/>
            <w:sz w:val="21"/>
            <w:szCs w:val="21"/>
          </w:rPr>
          <w:t xml:space="preserve">12. Glosario</w:t>
        </w:r>
      </w:hyperlink>
      <w:r>
        <w:rPr>
          <w:rFonts w:ascii="Arial" w:cs="Arial" w:eastAsia="Arial" w:hAnsi="Arial"/>
          <w:sz w:val="20"/>
          <w:szCs w:val="20"/>
        </w:rPr>
        <w:t xml:space="preserve">	</w:t>
      </w:r>
      <w:r>
        <w:fldChar w:fldCharType="begin" w:dirty="true"/>
        <w:instrText xml:space="preserve">PAGEREF bm41</w:instrText>
        <w:fldChar w:fldCharType="end"/>
      </w:r>
    </w:p>
    <w:p>
      <w:pPr>
        <w:tabs>
          <w:tab w:val="right" w:pos="9200" w:leader="dot"/>
        </w:tabs>
        <w:spacing w:after="40" w:line="252"/>
      </w:pPr>
      <w:hyperlink w:history="1" w:anchor="bm42">
        <w:r>
          <w:rPr>
            <w:rFonts w:ascii="Arial" w:cs="Arial" w:eastAsia="Arial" w:hAnsi="Arial"/>
            <w:b/>
            <w:bCs/>
            <w:color w:val="1F3864"/>
            <w:sz w:val="21"/>
            <w:szCs w:val="21"/>
          </w:rPr>
          <w:t xml:space="preserve">13. Referencias</w:t>
        </w:r>
      </w:hyperlink>
      <w:r>
        <w:rPr>
          <w:rFonts w:ascii="Arial" w:cs="Arial" w:eastAsia="Arial" w:hAnsi="Arial"/>
          <w:sz w:val="20"/>
          <w:szCs w:val="20"/>
        </w:rPr>
        <w:t xml:space="preserve">	</w:t>
      </w:r>
      <w:r>
        <w:fldChar w:fldCharType="begin" w:dirty="true"/>
        <w:instrText xml:space="preserve">PAGEREF bm42</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 objetivo y alcance</w:t>
      </w:r>
      <w:bookmarkEnd w:id="1"/>
    </w:p>
    <w:p>
      <w:pPr>
        <w:spacing w:after="110" w:line="262"/>
        <w:jc w:val="both"/>
      </w:pPr>
      <w:r>
        <w:rPr>
          <w:rFonts w:ascii="Arial" w:cs="Arial" w:eastAsia="Arial" w:hAnsi="Arial"/>
          <w:sz w:val="22"/>
          <w:szCs w:val="22"/>
        </w:rPr>
        <w:t xml:space="preserve">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pPr>
        <w:spacing w:after="110" w:line="262"/>
        <w:jc w:val="both"/>
      </w:pPr>
      <w:r>
        <w:rPr>
          <w:rFonts w:ascii="Arial" w:cs="Arial" w:eastAsia="Arial" w:hAnsi="Arial"/>
          <w:b/>
          <w:bCs/>
          <w:sz w:val="22"/>
          <w:szCs w:val="22"/>
        </w:rPr>
        <w:t xml:space="preserve">Objetivo. </w:t>
      </w:r>
      <w:r>
        <w:rPr>
          <w:rFonts w:ascii="Arial" w:cs="Arial" w:eastAsia="Arial" w:hAnsi="Arial"/>
          <w:sz w:val="22"/>
          <w:szCs w:val="22"/>
        </w:rPr>
        <w:t xml:space="preserve">Establecer los lineamientos visuales y de interacción que orientan el desarrollo de la interfaz, de modo que las pantallas mantengan una apariencia y un comportamiento uniformes.</w:t>
      </w:r>
    </w:p>
    <w:p>
      <w:pPr>
        <w:spacing w:after="110" w:line="262"/>
        <w:jc w:val="both"/>
      </w:pPr>
      <w:r>
        <w:rPr>
          <w:rFonts w:ascii="Arial" w:cs="Arial" w:eastAsia="Arial" w:hAnsi="Arial"/>
          <w:b/>
          <w:bCs/>
          <w:sz w:val="22"/>
          <w:szCs w:val="22"/>
        </w:rPr>
        <w:t xml:space="preserve">Alcance. </w:t>
      </w:r>
      <w:r>
        <w:rPr>
          <w:rFonts w:ascii="Arial" w:cs="Arial" w:eastAsia="Arial" w:hAnsi="Arial"/>
          <w:sz w:val="22"/>
          <w:szCs w:val="22"/>
        </w:rPr>
        <w:t xml:space="preserve">Cubre la aplicación web y su versión móvil. Se apoya en la especificación de requisitos (IEEE 830), en el modelo de datos (MER y diccionario) y en el prototipo de INVENTRA. No incluye la implementación del código, que corresponde a la etapa de construcción.</w:t>
      </w:r>
    </w:p>
    <w:p>
      <w:pPr>
        <w:pStyle w:val="Heading1"/>
        <w:pageBreakBefore/>
        <w:spacing w:after="110" w:before="220"/>
      </w:pPr>
      <w:bookmarkStart w:name="bm2" w:id="2"/>
      <w:r>
        <w:rPr>
          <w:rFonts w:ascii="Arial" w:cs="Arial" w:eastAsia="Arial" w:hAnsi="Arial"/>
          <w:b/>
          <w:bCs/>
          <w:color w:val="1F3864"/>
          <w:sz w:val="27"/>
          <w:szCs w:val="27"/>
        </w:rPr>
        <w:t xml:space="preserve">2. Principios de diseño y experiencia de usuario</w:t>
      </w:r>
      <w:bookmarkEnd w:id="2"/>
    </w:p>
    <w:p>
      <w:pPr>
        <w:spacing w:after="110" w:line="262"/>
        <w:jc w:val="both"/>
      </w:pPr>
      <w:r>
        <w:rPr>
          <w:rFonts w:ascii="Arial" w:cs="Arial" w:eastAsia="Arial" w:hAnsi="Arial"/>
          <w:sz w:val="22"/>
          <w:szCs w:val="22"/>
        </w:rPr>
        <w:t xml:space="preserve">Los usuarios de INVENTRA son propietarios y vendedores de licorerías, con distinto nivel de manejo de herramientas tecnológicas. El diseño prioriza la sencillez y la rapidez de uso, especialmente en el punto de venta. Se adoptan los siguientes principios:</w:t>
      </w:r>
    </w:p>
    <w:p>
      <w:pPr>
        <w:pStyle w:val="ListParagraph"/>
        <w:numPr>
          <w:ilvl w:val="0"/>
          <w:numId w:val="1"/>
        </w:numPr>
        <w:spacing w:after="60" w:line="258"/>
      </w:pPr>
      <w:r>
        <w:rPr>
          <w:rFonts w:ascii="Arial" w:cs="Arial" w:eastAsia="Arial" w:hAnsi="Arial"/>
          <w:b/>
          <w:bCs/>
          <w:sz w:val="22"/>
          <w:szCs w:val="22"/>
        </w:rPr>
        <w:t xml:space="preserve">Claridad. </w:t>
      </w:r>
      <w:r>
        <w:rPr>
          <w:rFonts w:ascii="Arial" w:cs="Arial" w:eastAsia="Arial" w:hAnsi="Arial"/>
          <w:sz w:val="22"/>
          <w:szCs w:val="22"/>
        </w:rPr>
        <w:t xml:space="preserve">Interfaces simples y directas, sin elementos innecesarios.</w:t>
      </w:r>
    </w:p>
    <w:p>
      <w:pPr>
        <w:pStyle w:val="ListParagraph"/>
        <w:numPr>
          <w:ilvl w:val="0"/>
          <w:numId w:val="1"/>
        </w:numPr>
        <w:spacing w:after="60" w:line="258"/>
      </w:pPr>
      <w:r>
        <w:rPr>
          <w:rFonts w:ascii="Arial" w:cs="Arial" w:eastAsia="Arial" w:hAnsi="Arial"/>
          <w:b/>
          <w:bCs/>
          <w:sz w:val="22"/>
          <w:szCs w:val="22"/>
        </w:rPr>
        <w:t xml:space="preserve">Consistencia. </w:t>
      </w:r>
      <w:r>
        <w:rPr>
          <w:rFonts w:ascii="Arial" w:cs="Arial" w:eastAsia="Arial" w:hAnsi="Arial"/>
          <w:sz w:val="22"/>
          <w:szCs w:val="22"/>
        </w:rPr>
        <w:t xml:space="preserve">Los mismos patrones y componentes se repiten en toda la aplicación.</w:t>
      </w:r>
    </w:p>
    <w:p>
      <w:pPr>
        <w:pStyle w:val="ListParagraph"/>
        <w:numPr>
          <w:ilvl w:val="0"/>
          <w:numId w:val="1"/>
        </w:numPr>
        <w:spacing w:after="60" w:line="258"/>
      </w:pPr>
      <w:r>
        <w:rPr>
          <w:rFonts w:ascii="Arial" w:cs="Arial" w:eastAsia="Arial" w:hAnsi="Arial"/>
          <w:b/>
          <w:bCs/>
          <w:sz w:val="22"/>
          <w:szCs w:val="22"/>
        </w:rPr>
        <w:t xml:space="preserve">Eficiencia. </w:t>
      </w:r>
      <w:r>
        <w:rPr>
          <w:rFonts w:ascii="Arial" w:cs="Arial" w:eastAsia="Arial" w:hAnsi="Arial"/>
          <w:sz w:val="22"/>
          <w:szCs w:val="22"/>
        </w:rPr>
        <w:t xml:space="preserve">Flujos cortos y con el menor número de pasos, sobre todo en el registro de ventas.</w:t>
      </w:r>
    </w:p>
    <w:p>
      <w:pPr>
        <w:pStyle w:val="ListParagraph"/>
        <w:numPr>
          <w:ilvl w:val="0"/>
          <w:numId w:val="1"/>
        </w:numPr>
        <w:spacing w:after="60" w:line="258"/>
      </w:pPr>
      <w:r>
        <w:rPr>
          <w:rFonts w:ascii="Arial" w:cs="Arial" w:eastAsia="Arial" w:hAnsi="Arial"/>
          <w:b/>
          <w:bCs/>
          <w:sz w:val="22"/>
          <w:szCs w:val="22"/>
        </w:rPr>
        <w:t xml:space="preserve">Prevención de errores. </w:t>
      </w:r>
      <w:r>
        <w:rPr>
          <w:rFonts w:ascii="Arial" w:cs="Arial" w:eastAsia="Arial" w:hAnsi="Arial"/>
          <w:sz w:val="22"/>
          <w:szCs w:val="22"/>
        </w:rPr>
        <w:t xml:space="preserve">Validaciones y confirmaciones en las acciones sensibles (anular, restaurar, inactivar).</w:t>
      </w:r>
    </w:p>
    <w:p>
      <w:pPr>
        <w:pStyle w:val="ListParagraph"/>
        <w:numPr>
          <w:ilvl w:val="0"/>
          <w:numId w:val="1"/>
        </w:numPr>
        <w:spacing w:after="60" w:line="258"/>
      </w:pPr>
      <w:r>
        <w:rPr>
          <w:rFonts w:ascii="Arial" w:cs="Arial" w:eastAsia="Arial" w:hAnsi="Arial"/>
          <w:b/>
          <w:bCs/>
          <w:sz w:val="22"/>
          <w:szCs w:val="22"/>
        </w:rPr>
        <w:t xml:space="preserve">Jerarquía visual. </w:t>
      </w:r>
      <w:r>
        <w:rPr>
          <w:rFonts w:ascii="Arial" w:cs="Arial" w:eastAsia="Arial" w:hAnsi="Arial"/>
          <w:sz w:val="22"/>
          <w:szCs w:val="22"/>
        </w:rPr>
        <w:t xml:space="preserve">La información y las acciones más importantes se destacan primero.</w:t>
      </w:r>
    </w:p>
    <w:p>
      <w:pPr>
        <w:pStyle w:val="ListParagraph"/>
        <w:numPr>
          <w:ilvl w:val="0"/>
          <w:numId w:val="1"/>
        </w:numPr>
        <w:spacing w:after="60" w:line="258"/>
      </w:pPr>
      <w:r>
        <w:rPr>
          <w:rFonts w:ascii="Arial" w:cs="Arial" w:eastAsia="Arial" w:hAnsi="Arial"/>
          <w:b/>
          <w:bCs/>
          <w:sz w:val="22"/>
          <w:szCs w:val="22"/>
        </w:rPr>
        <w:t xml:space="preserve">Retroalimentación. </w:t>
      </w:r>
      <w:r>
        <w:rPr>
          <w:rFonts w:ascii="Arial" w:cs="Arial" w:eastAsia="Arial" w:hAnsi="Arial"/>
          <w:sz w:val="22"/>
          <w:szCs w:val="22"/>
        </w:rPr>
        <w:t xml:space="preserve">El sistema informa siempre el resultado de cada acción (éxito, error o proceso en curso).</w:t>
      </w:r>
    </w:p>
    <w:p>
      <w:pPr>
        <w:pStyle w:val="Heading1"/>
        <w:pageBreakBefore/>
        <w:spacing w:after="110" w:before="220"/>
      </w:pPr>
      <w:bookmarkStart w:name="bm3" w:id="3"/>
      <w:r>
        <w:rPr>
          <w:rFonts w:ascii="Arial" w:cs="Arial" w:eastAsia="Arial" w:hAnsi="Arial"/>
          <w:b/>
          <w:bCs/>
          <w:color w:val="1F3864"/>
          <w:sz w:val="27"/>
          <w:szCs w:val="27"/>
        </w:rPr>
        <w:t xml:space="preserve">3. Accesibilidad</w:t>
      </w:r>
      <w:bookmarkEnd w:id="3"/>
    </w:p>
    <w:p>
      <w:pPr>
        <w:spacing w:after="110" w:line="262"/>
        <w:jc w:val="both"/>
      </w:pPr>
      <w:r>
        <w:rPr>
          <w:rFonts w:ascii="Arial" w:cs="Arial" w:eastAsia="Arial" w:hAnsi="Arial"/>
          <w:sz w:val="22"/>
          <w:szCs w:val="22"/>
        </w:rPr>
        <w:t xml:space="preserve">La interfaz se diseña para ser usable por la mayor cantidad de personas posible, tomando como referencia las pautas WCAG 2.1 en su nivel AA:</w:t>
      </w:r>
    </w:p>
    <w:p>
      <w:pPr>
        <w:pStyle w:val="ListParagraph"/>
        <w:numPr>
          <w:ilvl w:val="0"/>
          <w:numId w:val="1"/>
        </w:numPr>
        <w:spacing w:after="60" w:line="258"/>
      </w:pPr>
      <w:r>
        <w:rPr>
          <w:rFonts w:ascii="Arial" w:cs="Arial" w:eastAsia="Arial" w:hAnsi="Arial"/>
          <w:b/>
          <w:bCs/>
          <w:sz w:val="22"/>
          <w:szCs w:val="22"/>
        </w:rPr>
        <w:t xml:space="preserve">Contraste. </w:t>
      </w:r>
      <w:r>
        <w:rPr>
          <w:rFonts w:ascii="Arial" w:cs="Arial" w:eastAsia="Arial" w:hAnsi="Arial"/>
          <w:sz w:val="22"/>
          <w:szCs w:val="22"/>
        </w:rPr>
        <w:t xml:space="preserve">Se mantiene un contraste suficiente entre el texto y su fondo para que la lectura sea cómoda.</w:t>
      </w:r>
    </w:p>
    <w:p>
      <w:pPr>
        <w:pStyle w:val="ListParagraph"/>
        <w:numPr>
          <w:ilvl w:val="0"/>
          <w:numId w:val="1"/>
        </w:numPr>
        <w:spacing w:after="60" w:line="258"/>
      </w:pPr>
      <w:r>
        <w:rPr>
          <w:rFonts w:ascii="Arial" w:cs="Arial" w:eastAsia="Arial" w:hAnsi="Arial"/>
          <w:b/>
          <w:bCs/>
          <w:sz w:val="22"/>
          <w:szCs w:val="22"/>
        </w:rPr>
        <w:t xml:space="preserve">Tamaños táctiles. </w:t>
      </w:r>
      <w:r>
        <w:rPr>
          <w:rFonts w:ascii="Arial" w:cs="Arial" w:eastAsia="Arial" w:hAnsi="Arial"/>
          <w:sz w:val="22"/>
          <w:szCs w:val="22"/>
        </w:rPr>
        <w:t xml:space="preserve">En la versión móvil, los botones y campos tienen un área de toque amplia.</w:t>
      </w:r>
    </w:p>
    <w:p>
      <w:pPr>
        <w:pStyle w:val="ListParagraph"/>
        <w:numPr>
          <w:ilvl w:val="0"/>
          <w:numId w:val="1"/>
        </w:numPr>
        <w:spacing w:after="60" w:line="258"/>
      </w:pPr>
      <w:r>
        <w:rPr>
          <w:rFonts w:ascii="Arial" w:cs="Arial" w:eastAsia="Arial" w:hAnsi="Arial"/>
          <w:b/>
          <w:bCs/>
          <w:sz w:val="22"/>
          <w:szCs w:val="22"/>
        </w:rPr>
        <w:t xml:space="preserve">Foco visible. </w:t>
      </w:r>
      <w:r>
        <w:rPr>
          <w:rFonts w:ascii="Arial" w:cs="Arial" w:eastAsia="Arial" w:hAnsi="Arial"/>
          <w:sz w:val="22"/>
          <w:szCs w:val="22"/>
        </w:rPr>
        <w:t xml:space="preserve">Los elementos interactivos muestran claramente cuándo están enfocados.</w:t>
      </w:r>
    </w:p>
    <w:p>
      <w:pPr>
        <w:pStyle w:val="ListParagraph"/>
        <w:numPr>
          <w:ilvl w:val="0"/>
          <w:numId w:val="1"/>
        </w:numPr>
        <w:spacing w:after="60" w:line="258"/>
      </w:pPr>
      <w:r>
        <w:rPr>
          <w:rFonts w:ascii="Arial" w:cs="Arial" w:eastAsia="Arial" w:hAnsi="Arial"/>
          <w:b/>
          <w:bCs/>
          <w:sz w:val="22"/>
          <w:szCs w:val="22"/>
        </w:rPr>
        <w:t xml:space="preserve">Operación por teclado. </w:t>
      </w:r>
      <w:r>
        <w:rPr>
          <w:rFonts w:ascii="Arial" w:cs="Arial" w:eastAsia="Arial" w:hAnsi="Arial"/>
          <w:sz w:val="22"/>
          <w:szCs w:val="22"/>
        </w:rPr>
        <w:t xml:space="preserve">Los formularios y las acciones se pueden completar usando el teclado.</w:t>
      </w:r>
    </w:p>
    <w:p>
      <w:pPr>
        <w:pStyle w:val="ListParagraph"/>
        <w:numPr>
          <w:ilvl w:val="0"/>
          <w:numId w:val="1"/>
        </w:numPr>
        <w:spacing w:after="60" w:line="258"/>
      </w:pPr>
      <w:r>
        <w:rPr>
          <w:rFonts w:ascii="Arial" w:cs="Arial" w:eastAsia="Arial" w:hAnsi="Arial"/>
          <w:b/>
          <w:bCs/>
          <w:sz w:val="22"/>
          <w:szCs w:val="22"/>
        </w:rPr>
        <w:t xml:space="preserve">Etiquetas y textos alternativos. </w:t>
      </w:r>
      <w:r>
        <w:rPr>
          <w:rFonts w:ascii="Arial" w:cs="Arial" w:eastAsia="Arial" w:hAnsi="Arial"/>
          <w:sz w:val="22"/>
          <w:szCs w:val="22"/>
        </w:rPr>
        <w:t xml:space="preserve">Cada campo tiene su etiqueta y los iconos con significado incluyen una descripción.</w:t>
      </w:r>
    </w:p>
    <w:p>
      <w:pPr>
        <w:pStyle w:val="ListParagraph"/>
        <w:numPr>
          <w:ilvl w:val="0"/>
          <w:numId w:val="1"/>
        </w:numPr>
        <w:spacing w:after="60" w:line="258"/>
      </w:pPr>
      <w:r>
        <w:rPr>
          <w:rFonts w:ascii="Arial" w:cs="Arial" w:eastAsia="Arial" w:hAnsi="Arial"/>
          <w:b/>
          <w:bCs/>
          <w:sz w:val="22"/>
          <w:szCs w:val="22"/>
        </w:rPr>
        <w:t xml:space="preserve">Mensajes comprensibles. </w:t>
      </w:r>
      <w:r>
        <w:rPr>
          <w:rFonts w:ascii="Arial" w:cs="Arial" w:eastAsia="Arial" w:hAnsi="Arial"/>
          <w:sz w:val="22"/>
          <w:szCs w:val="22"/>
        </w:rPr>
        <w:t xml:space="preserve">Los errores se explican en lenguaje sencillo e indican cómo corregirlos.</w:t>
      </w:r>
    </w:p>
    <w:p>
      <w:pPr>
        <w:pStyle w:val="Heading1"/>
        <w:pageBreakBefore/>
        <w:spacing w:after="110" w:before="220"/>
      </w:pPr>
      <w:bookmarkStart w:name="bm4" w:id="4"/>
      <w:r>
        <w:rPr>
          <w:rFonts w:ascii="Arial" w:cs="Arial" w:eastAsia="Arial" w:hAnsi="Arial"/>
          <w:b/>
          <w:bCs/>
          <w:color w:val="1F3864"/>
          <w:sz w:val="27"/>
          <w:szCs w:val="27"/>
        </w:rPr>
        <w:t xml:space="preserve">4. Identidad visual</w:t>
      </w:r>
      <w:bookmarkEnd w:id="4"/>
    </w:p>
    <w:p>
      <w:pPr>
        <w:spacing w:after="110" w:line="262"/>
        <w:jc w:val="both"/>
      </w:pPr>
      <w:r>
        <w:rPr>
          <w:rFonts w:ascii="Arial" w:cs="Arial" w:eastAsia="Arial" w:hAnsi="Arial"/>
          <w:sz w:val="22"/>
          <w:szCs w:val="22"/>
        </w:rPr>
        <w:t xml:space="preserve">La identidad visual de INVENTRA se basa en una paleta sobria y profesional, con un color de acción (CTA) que resalta las acciones principales. La paleta cuenta con una variante clara y una oscura, que comparten los mismos roles.</w:t>
      </w:r>
    </w:p>
    <w:p>
      <w:pPr>
        <w:pStyle w:val="Heading2"/>
        <w:spacing w:after="80" w:before="150"/>
      </w:pPr>
      <w:bookmarkStart w:name="bm5" w:id="5"/>
      <w:r>
        <w:rPr>
          <w:rFonts w:ascii="Arial" w:cs="Arial" w:eastAsia="Arial" w:hAnsi="Arial"/>
          <w:b/>
          <w:bCs/>
          <w:color w:val="2E5496"/>
          <w:sz w:val="23"/>
          <w:szCs w:val="23"/>
        </w:rPr>
        <w:t xml:space="preserve">4.1 Paleta de colores — modo claro</w:t>
      </w:r>
      <w:bookmarkEnd w:id="5"/>
    </w:p>
    <w:p>
      <w:pPr>
        <w:spacing w:after="20" w:before="6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6097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 Paleta de colores en modo claro. Fuente: del autor.</w:t>
      </w:r>
    </w:p>
    <w:p>
      <w:pPr>
        <w:pStyle w:val="Heading2"/>
        <w:spacing w:after="80" w:before="150"/>
      </w:pPr>
      <w:bookmarkStart w:name="bm6" w:id="6"/>
      <w:r>
        <w:rPr>
          <w:rFonts w:ascii="Arial" w:cs="Arial" w:eastAsia="Arial" w:hAnsi="Arial"/>
          <w:b/>
          <w:bCs/>
          <w:color w:val="2E5496"/>
          <w:sz w:val="23"/>
          <w:szCs w:val="23"/>
        </w:rPr>
        <w:t xml:space="preserve">4.2 Paleta de colores — modo oscuro</w:t>
      </w:r>
      <w:bookmarkEnd w:id="6"/>
    </w:p>
    <w:p>
      <w:pPr>
        <w:spacing w:after="20" w:before="60"/>
        <w:jc w:val="center"/>
      </w:pPr>
      <w:r>
        <w:drawing>
          <wp:inline distT="0" distB="0" distL="0" distR="0">
            <wp:extent cx="5334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3717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2. Paleta de colores en modo oscuro. Fuente: del autor.</w:t>
      </w:r>
    </w:p>
    <w:p>
      <w:pPr>
        <w:pStyle w:val="Heading2"/>
        <w:spacing w:after="80" w:before="150"/>
      </w:pPr>
      <w:bookmarkStart w:name="bm7" w:id="7"/>
      <w:r>
        <w:rPr>
          <w:rFonts w:ascii="Arial" w:cs="Arial" w:eastAsia="Arial" w:hAnsi="Arial"/>
          <w:b/>
          <w:bCs/>
          <w:color w:val="2E5496"/>
          <w:sz w:val="23"/>
          <w:szCs w:val="23"/>
        </w:rPr>
        <w:t xml:space="preserve">4.3 Uso del color</w:t>
      </w:r>
      <w:bookmarkEnd w:id="7"/>
    </w:p>
    <w:p>
      <w:pPr>
        <w:spacing w:after="110" w:line="262"/>
        <w:jc w:val="both"/>
      </w:pPr>
      <w:r>
        <w:rPr>
          <w:rFonts w:ascii="Arial" w:cs="Arial" w:eastAsia="Arial" w:hAnsi="Arial"/>
          <w:sz w:val="22"/>
          <w:szCs w:val="22"/>
        </w:rPr>
        <w:t xml:space="preserve">Cada color cumple una función definida para conservar la coherencia y el significado en toda la aplicación:</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600"/>
        <w:gridCol w:w="6760"/>
      </w:tblGrid>
      <w:tr>
        <w:trPr>
          <w:tblHeader/>
        </w:trPr>
        <w:tc>
          <w:tcPr>
            <w:tcW w:type="dxa" w:w="2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Rol</w:t>
            </w:r>
          </w:p>
        </w:tc>
        <w:tc>
          <w:tcPr>
            <w:tcW w:type="dxa" w:w="6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Azul primario</w:t>
            </w:r>
          </w:p>
        </w:tc>
        <w:tc>
          <w:tcPr>
            <w:tcW w:type="dxa" w:w="6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Encabezados, barra de navegación y elementos de marca.</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Azul secundario</w:t>
            </w:r>
          </w:p>
        </w:tc>
        <w:tc>
          <w:tcPr>
            <w:tcW w:type="dxa" w:w="6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Acentos, enlaces y elementos destacados secundarios.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CTA (verde)</w:t>
            </w:r>
          </w:p>
        </w:tc>
        <w:tc>
          <w:tcPr>
            <w:tcW w:type="dxa" w:w="6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Únicamente la acción principal de cada pantalla (guardar, registrar venta, confirmar).</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Fondo y superficie</w:t>
            </w:r>
          </w:p>
        </w:tc>
        <w:tc>
          <w:tcPr>
            <w:tcW w:type="dxa" w:w="6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Fondo general y superficies de tarjetas y paneles.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Borde</w:t>
            </w:r>
          </w:p>
        </w:tc>
        <w:tc>
          <w:tcPr>
            <w:tcW w:type="dxa" w:w="6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Separadores y contornos de campos y tarjetas.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Texto y texto secundario</w:t>
            </w:r>
          </w:p>
        </w:tc>
        <w:tc>
          <w:tcPr>
            <w:tcW w:type="dxa" w:w="6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Texto principal y texto de apoyo o descripciones.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Advertencia</w:t>
            </w:r>
          </w:p>
        </w:tc>
        <w:tc>
          <w:tcPr>
            <w:tcW w:type="dxa" w:w="6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Alertas de stock bajo y avisos preventivos.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Peligro</w:t>
            </w:r>
          </w:p>
        </w:tc>
        <w:tc>
          <w:tcPr>
            <w:tcW w:type="dxa" w:w="6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Acciones destructivas o de riesgo (anular, eliminar).</w:t>
            </w:r>
          </w:p>
        </w:tc>
      </w:tr>
    </w:tbl>
    <w:p>
      <w:pPr>
        <w:pStyle w:val="Heading2"/>
        <w:spacing w:after="80" w:before="150"/>
      </w:pPr>
      <w:bookmarkStart w:name="bm8" w:id="8"/>
      <w:r>
        <w:rPr>
          <w:rFonts w:ascii="Arial" w:cs="Arial" w:eastAsia="Arial" w:hAnsi="Arial"/>
          <w:b/>
          <w:bCs/>
          <w:color w:val="2E5496"/>
          <w:sz w:val="23"/>
          <w:szCs w:val="23"/>
        </w:rPr>
        <w:t xml:space="preserve">4.4 Tipografía</w:t>
      </w:r>
      <w:bookmarkEnd w:id="8"/>
    </w:p>
    <w:p>
      <w:pPr>
        <w:spacing w:after="110" w:line="262"/>
        <w:jc w:val="both"/>
      </w:pPr>
      <w:r>
        <w:rPr>
          <w:rFonts w:ascii="Arial" w:cs="Arial" w:eastAsia="Arial" w:hAnsi="Arial"/>
          <w:sz w:val="22"/>
          <w:szCs w:val="22"/>
        </w:rPr>
        <w:t xml:space="preserve">La familia tipográfica es Inter, por su legibilidad en pantalla. Se define la siguiente escala: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400"/>
        <w:gridCol w:w="1500"/>
        <w:gridCol w:w="1700"/>
        <w:gridCol w:w="3760"/>
      </w:tblGrid>
      <w:tr>
        <w:trPr>
          <w:tblHeader/>
        </w:trPr>
        <w:tc>
          <w:tcPr>
            <w:tcW w:type="dxa" w:w="2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Estilo</w:t>
            </w:r>
          </w:p>
        </w:tc>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Tamaño</w:t>
            </w:r>
          </w:p>
        </w:tc>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Peso</w:t>
            </w:r>
          </w:p>
        </w:tc>
        <w:tc>
          <w:tcPr>
            <w:tcW w:type="dxa" w:w="3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Título principal</w:t>
            </w:r>
          </w:p>
        </w:tc>
        <w:tc>
          <w:tcPr>
            <w:tcW w:type="dxa" w:w="15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28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Negrita</w:t>
            </w:r>
          </w:p>
        </w:tc>
        <w:tc>
          <w:tcPr>
            <w:tcW w:type="dxa" w:w="3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Títulos de portada y de pantalla.</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Título de sección</w:t>
            </w:r>
          </w:p>
        </w:tc>
        <w:tc>
          <w:tcPr>
            <w:tcW w:type="dxa" w:w="15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22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Negrita</w:t>
            </w:r>
          </w:p>
        </w:tc>
        <w:tc>
          <w:tcPr>
            <w:tcW w:type="dxa" w:w="3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Encabezados de sección.</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Subtítulo</w:t>
            </w:r>
          </w:p>
        </w:tc>
        <w:tc>
          <w:tcPr>
            <w:tcW w:type="dxa" w:w="15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18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Seminegrita</w:t>
            </w:r>
          </w:p>
        </w:tc>
        <w:tc>
          <w:tcPr>
            <w:tcW w:type="dxa" w:w="3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Subtítulos y agrupaciones.</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Cuerpo</w:t>
            </w:r>
          </w:p>
        </w:tc>
        <w:tc>
          <w:tcPr>
            <w:tcW w:type="dxa" w:w="15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15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Regular</w:t>
            </w:r>
          </w:p>
        </w:tc>
        <w:tc>
          <w:tcPr>
            <w:tcW w:type="dxa" w:w="3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Texto general y contenido de formularios.</w:t>
            </w:r>
          </w:p>
        </w:tc>
      </w:tr>
      <w:tr>
        <w:trPr>
          <w:tblHeader w:val="false"/>
        </w:trPr>
        <w:tc>
          <w:tcPr>
            <w:tcW w:type="dxa" w:w="24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Texto secundario</w:t>
            </w:r>
          </w:p>
        </w:tc>
        <w:tc>
          <w:tcPr>
            <w:tcW w:type="dxa" w:w="15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13 px</w:t>
            </w:r>
          </w:p>
        </w:tc>
        <w:tc>
          <w:tcPr>
            <w:tcW w:type="dxa" w:w="17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Regular</w:t>
            </w:r>
          </w:p>
        </w:tc>
        <w:tc>
          <w:tcPr>
            <w:tcW w:type="dxa" w:w="3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Descripciones, ayudas y notas.</w:t>
            </w:r>
          </w:p>
        </w:tc>
      </w:tr>
      <w:tr>
        <w:trPr>
          <w:tblHeader w:val="false"/>
        </w:trPr>
        <w:tc>
          <w:tcPr>
            <w:tcW w:type="dxa" w:w="24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Etiqueta</w:t>
            </w:r>
          </w:p>
        </w:tc>
        <w:tc>
          <w:tcPr>
            <w:tcW w:type="dxa" w:w="15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12 px</w:t>
            </w:r>
          </w:p>
        </w:tc>
        <w:tc>
          <w:tcPr>
            <w:tcW w:type="dxa" w:w="17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Media</w:t>
            </w:r>
          </w:p>
        </w:tc>
        <w:tc>
          <w:tcPr>
            <w:tcW w:type="dxa" w:w="3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Etiquetas de campos y badges.</w:t>
            </w:r>
          </w:p>
        </w:tc>
      </w:tr>
    </w:tbl>
    <w:p>
      <w:pPr>
        <w:pStyle w:val="Heading2"/>
        <w:spacing w:after="80" w:before="150"/>
      </w:pPr>
      <w:bookmarkStart w:name="bm9" w:id="9"/>
      <w:r>
        <w:rPr>
          <w:rFonts w:ascii="Arial" w:cs="Arial" w:eastAsia="Arial" w:hAnsi="Arial"/>
          <w:b/>
          <w:bCs/>
          <w:color w:val="2E5496"/>
          <w:sz w:val="23"/>
          <w:szCs w:val="23"/>
        </w:rPr>
        <w:t xml:space="preserve">4.5 Iconografía</w:t>
      </w:r>
      <w:bookmarkEnd w:id="9"/>
    </w:p>
    <w:p>
      <w:pPr>
        <w:spacing w:after="110" w:line="262"/>
        <w:jc w:val="both"/>
      </w:pPr>
      <w:r>
        <w:rPr>
          <w:rFonts w:ascii="Arial" w:cs="Arial" w:eastAsia="Arial" w:hAnsi="Arial"/>
          <w:sz w:val="22"/>
          <w:szCs w:val="22"/>
        </w:rPr>
        <w:t xml:space="preserve">Se emplean iconos de línea (estilo lineal, en formato vectorial SVG), con un trazo uniforme y un tamaño base coherente con el texto que acompañan. Los iconos con significado incluyen una etiqueta o descripción para no depender solo del símbolo.</w:t>
      </w:r>
    </w:p>
    <w:p>
      <w:pPr>
        <w:pStyle w:val="Heading1"/>
        <w:pageBreakBefore/>
        <w:spacing w:after="110" w:before="220"/>
      </w:pPr>
      <w:bookmarkStart w:name="bm10" w:id="10"/>
      <w:r>
        <w:rPr>
          <w:rFonts w:ascii="Arial" w:cs="Arial" w:eastAsia="Arial" w:hAnsi="Arial"/>
          <w:b/>
          <w:bCs/>
          <w:color w:val="1F3864"/>
          <w:sz w:val="27"/>
          <w:szCs w:val="27"/>
        </w:rPr>
        <w:t xml:space="preserve">5. Rejilla, espaciado y puntos de quiebre</w:t>
      </w:r>
      <w:bookmarkEnd w:id="10"/>
    </w:p>
    <w:p>
      <w:pPr>
        <w:spacing w:after="110" w:line="262"/>
        <w:jc w:val="both"/>
      </w:pPr>
      <w:r>
        <w:rPr>
          <w:rFonts w:ascii="Arial" w:cs="Arial" w:eastAsia="Arial" w:hAnsi="Arial"/>
          <w:sz w:val="22"/>
          <w:szCs w:val="22"/>
        </w:rPr>
        <w:t xml:space="preserve">La disposición de los elementos se apoya en una rejilla y en una escala de espaciado uniforme, para dar orden y ritmo visual a las pantallas.</w:t>
      </w:r>
    </w:p>
    <w:p>
      <w:pPr>
        <w:pStyle w:val="Heading2"/>
        <w:spacing w:after="80" w:before="150"/>
      </w:pPr>
      <w:bookmarkStart w:name="bm11" w:id="11"/>
      <w:r>
        <w:rPr>
          <w:rFonts w:ascii="Arial" w:cs="Arial" w:eastAsia="Arial" w:hAnsi="Arial"/>
          <w:b/>
          <w:bCs/>
          <w:color w:val="2E5496"/>
          <w:sz w:val="23"/>
          <w:szCs w:val="23"/>
        </w:rPr>
        <w:t xml:space="preserve">5.1 Espaciado</w:t>
      </w:r>
      <w:bookmarkEnd w:id="11"/>
    </w:p>
    <w:p>
      <w:pPr>
        <w:spacing w:after="110" w:line="262"/>
        <w:jc w:val="both"/>
      </w:pPr>
      <w:r>
        <w:rPr>
          <w:rFonts w:ascii="Arial" w:cs="Arial" w:eastAsia="Arial" w:hAnsi="Arial"/>
          <w:sz w:val="22"/>
          <w:szCs w:val="22"/>
        </w:rPr>
        <w:t xml:space="preserve">El espaciado se basa en una escala de múltiplos de cuatro, lo que mantiene proporciones consistentes entre los elementos:</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200"/>
        <w:gridCol w:w="7160"/>
      </w:tblGrid>
      <w:tr>
        <w:trPr>
          <w:tblHeader/>
        </w:trPr>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Valor</w:t>
            </w:r>
          </w:p>
        </w:tc>
        <w:tc>
          <w:tcPr>
            <w:tcW w:type="dxa" w:w="71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 habitual</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4 px / 8 px</w:t>
            </w:r>
          </w:p>
        </w:tc>
        <w:tc>
          <w:tcPr>
            <w:tcW w:type="dxa" w:w="71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Separaciones internas pequeñas (icono y texto, campos).</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12 px / 16 px</w:t>
            </w:r>
          </w:p>
        </w:tc>
        <w:tc>
          <w:tcPr>
            <w:tcW w:type="dxa" w:w="71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Separación entre elementos de un grupo y relleno de tarjetas.</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24 px / 32 px</w:t>
            </w:r>
          </w:p>
        </w:tc>
        <w:tc>
          <w:tcPr>
            <w:tcW w:type="dxa" w:w="71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Separación entre secciones y márgenes de contenido.</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48 px</w:t>
            </w:r>
          </w:p>
        </w:tc>
        <w:tc>
          <w:tcPr>
            <w:tcW w:type="dxa" w:w="71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Espacios amplios entre bloques principales.</w:t>
            </w:r>
          </w:p>
        </w:tc>
      </w:tr>
    </w:tbl>
    <w:p>
      <w:pPr>
        <w:pStyle w:val="Heading2"/>
        <w:spacing w:after="80" w:before="150"/>
      </w:pPr>
      <w:bookmarkStart w:name="bm12" w:id="12"/>
      <w:r>
        <w:rPr>
          <w:rFonts w:ascii="Arial" w:cs="Arial" w:eastAsia="Arial" w:hAnsi="Arial"/>
          <w:b/>
          <w:bCs/>
          <w:color w:val="2E5496"/>
          <w:sz w:val="23"/>
          <w:szCs w:val="23"/>
        </w:rPr>
        <w:t xml:space="preserve">5.2 Rejilla y radios</w:t>
      </w:r>
      <w:bookmarkEnd w:id="12"/>
    </w:p>
    <w:p>
      <w:pPr>
        <w:spacing w:after="110" w:line="262"/>
        <w:jc w:val="both"/>
      </w:pPr>
      <w:r>
        <w:rPr>
          <w:rFonts w:ascii="Arial" w:cs="Arial" w:eastAsia="Arial" w:hAnsi="Arial"/>
          <w:sz w:val="22"/>
          <w:szCs w:val="22"/>
        </w:rPr>
        <w:t xml:space="preserve">En la versión web se usa una rejilla de doce columnas con márgenes laterales; en móvil, una sola columna fluida. Las tarjetas y los botones emplean esquinas redondeadas suaves y sombras sutiles para diferenciar las superficies y dar sensación de profundidad.</w:t>
      </w:r>
    </w:p>
    <w:p>
      <w:pPr>
        <w:pStyle w:val="Heading2"/>
        <w:spacing w:after="80" w:before="150"/>
      </w:pPr>
      <w:bookmarkStart w:name="bm13" w:id="13"/>
      <w:r>
        <w:rPr>
          <w:rFonts w:ascii="Arial" w:cs="Arial" w:eastAsia="Arial" w:hAnsi="Arial"/>
          <w:b/>
          <w:bCs/>
          <w:color w:val="2E5496"/>
          <w:sz w:val="23"/>
          <w:szCs w:val="23"/>
        </w:rPr>
        <w:t xml:space="preserve">5.3 Puntos de quiebre</w:t>
      </w:r>
      <w:bookmarkEnd w:id="13"/>
    </w:p>
    <w:p>
      <w:pPr>
        <w:spacing w:after="110" w:line="262"/>
        <w:jc w:val="both"/>
      </w:pPr>
      <w:r>
        <w:rPr>
          <w:rFonts w:ascii="Arial" w:cs="Arial" w:eastAsia="Arial" w:hAnsi="Arial"/>
          <w:sz w:val="22"/>
          <w:szCs w:val="22"/>
        </w:rPr>
        <w:t xml:space="preserve">La interfaz es responsiva y se adapta a distintos tamaños de pantalla: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200"/>
        <w:gridCol w:w="2200"/>
        <w:gridCol w:w="4960"/>
      </w:tblGrid>
      <w:tr>
        <w:trPr>
          <w:tblHeader/>
        </w:trPr>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Dispositivo</w:t>
            </w:r>
          </w:p>
        </w:tc>
        <w:tc>
          <w:tcPr>
            <w:tcW w:type="dxa" w:w="2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Ancho</w:t>
            </w:r>
          </w:p>
        </w:tc>
        <w:tc>
          <w:tcPr>
            <w:tcW w:type="dxa" w:w="49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Comportamiento</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Móvil</w:t>
            </w:r>
          </w:p>
        </w:tc>
        <w:tc>
          <w:tcPr>
            <w:tcW w:type="dxa" w:w="2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Hasta 480 px</w:t>
            </w:r>
          </w:p>
        </w:tc>
        <w:tc>
          <w:tcPr>
            <w:tcW w:type="dxa" w:w="49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Una columna; navegación inferior; controles amplios.</w:t>
            </w:r>
          </w:p>
        </w:tc>
      </w:tr>
      <w:tr>
        <w:trPr>
          <w:tblHeader w:val="false"/>
        </w:trPr>
        <w:tc>
          <w:tcPr>
            <w:tcW w:type="dxa" w:w="22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Tablet</w:t>
            </w:r>
          </w:p>
        </w:tc>
        <w:tc>
          <w:tcPr>
            <w:tcW w:type="dxa" w:w="22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481 a 1024 px</w:t>
            </w:r>
          </w:p>
        </w:tc>
        <w:tc>
          <w:tcPr>
            <w:tcW w:type="dxa" w:w="49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Dos columnas; navegación lateral colapsable.</w:t>
            </w:r>
          </w:p>
        </w:tc>
      </w:tr>
      <w:tr>
        <w:trPr>
          <w:tblHeader w:val="false"/>
        </w:trPr>
        <w:tc>
          <w:tcPr>
            <w:tcW w:type="dxa" w:w="2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Escritorio</w:t>
            </w:r>
          </w:p>
        </w:tc>
        <w:tc>
          <w:tcPr>
            <w:tcW w:type="dxa" w:w="2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1025 px en adelante</w:t>
            </w:r>
          </w:p>
        </w:tc>
        <w:tc>
          <w:tcPr>
            <w:tcW w:type="dxa" w:w="49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Rejilla completa; navegación lateral fija.</w:t>
            </w:r>
          </w:p>
        </w:tc>
      </w:tr>
    </w:tbl>
    <w:p>
      <w:pPr>
        <w:pStyle w:val="Heading1"/>
        <w:pageBreakBefore/>
        <w:spacing w:after="110" w:before="220"/>
      </w:pPr>
      <w:bookmarkStart w:name="bm14" w:id="14"/>
      <w:r>
        <w:rPr>
          <w:rFonts w:ascii="Arial" w:cs="Arial" w:eastAsia="Arial" w:hAnsi="Arial"/>
          <w:b/>
          <w:bCs/>
          <w:color w:val="1F3864"/>
          <w:sz w:val="27"/>
          <w:szCs w:val="27"/>
        </w:rPr>
        <w:t xml:space="preserve">6. Componentes comunes de la interfaz</w:t>
      </w:r>
      <w:bookmarkEnd w:id="14"/>
    </w:p>
    <w:p>
      <w:pPr>
        <w:spacing w:after="110" w:line="262"/>
        <w:jc w:val="both"/>
      </w:pPr>
      <w:r>
        <w:rPr>
          <w:rFonts w:ascii="Arial" w:cs="Arial" w:eastAsia="Arial" w:hAnsi="Arial"/>
          <w:sz w:val="22"/>
          <w:szCs w:val="22"/>
        </w:rPr>
        <w:t xml:space="preserve">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pPr>
        <w:pStyle w:val="Heading2"/>
        <w:spacing w:after="80" w:before="150"/>
      </w:pPr>
      <w:bookmarkStart w:name="bm15" w:id="15"/>
      <w:r>
        <w:rPr>
          <w:rFonts w:ascii="Arial" w:cs="Arial" w:eastAsia="Arial" w:hAnsi="Arial"/>
          <w:b/>
          <w:bCs/>
          <w:color w:val="2E5496"/>
          <w:sz w:val="23"/>
          <w:szCs w:val="23"/>
        </w:rPr>
        <w:t xml:space="preserve">6.1 Estados de los componentes interactivos</w:t>
      </w:r>
      <w:bookmarkEnd w:id="15"/>
    </w:p>
    <w:p>
      <w:pPr>
        <w:spacing w:after="110" w:line="262"/>
        <w:jc w:val="both"/>
      </w:pPr>
      <w:r>
        <w:rPr>
          <w:rFonts w:ascii="Arial" w:cs="Arial" w:eastAsia="Arial" w:hAnsi="Arial"/>
          <w:sz w:val="22"/>
          <w:szCs w:val="22"/>
        </w:rPr>
        <w:t xml:space="preserve">Todo elemento con el que el usuario puede interactuar cambia de apariencia según su situación. Los estados son los mismos para botones, campos, enlaces y elementos de navegación, de modo que el comportamiento resulte reconocible en cualquier pantalla: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4000"/>
        <w:gridCol w:w="36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Estado</w:t>
            </w:r>
          </w:p>
        </w:tc>
        <w:tc>
          <w:tcPr>
            <w:tcW w:type="dxa" w:w="40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Cuándo se presenta</w:t>
            </w:r>
          </w:p>
        </w:tc>
        <w:tc>
          <w:tcPr>
            <w:tcW w:type="dxa" w:w="36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Señal visual</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Normal</w:t>
            </w:r>
          </w:p>
        </w:tc>
        <w:tc>
          <w:tcPr>
            <w:tcW w:type="dxa" w:w="40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El elemento está disponible y en reposo.</w:t>
            </w:r>
          </w:p>
        </w:tc>
        <w:tc>
          <w:tcPr>
            <w:tcW w:type="dxa" w:w="36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Color y borde definidos para su variante.</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Puntero encima</w:t>
            </w:r>
          </w:p>
        </w:tc>
        <w:tc>
          <w:tcPr>
            <w:tcW w:type="dxa" w:w="40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El cursor se sitúa sobre el elemento.</w:t>
            </w:r>
          </w:p>
        </w:tc>
        <w:tc>
          <w:tcPr>
            <w:tcW w:type="dxa" w:w="36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El color de fondo se oscurece ligeramente.</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Foco</w:t>
            </w:r>
          </w:p>
        </w:tc>
        <w:tc>
          <w:tcPr>
            <w:tcW w:type="dxa" w:w="40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El elemento se selecciona con el teclado o al escribir en él.</w:t>
            </w:r>
          </w:p>
        </w:tc>
        <w:tc>
          <w:tcPr>
            <w:tcW w:type="dxa" w:w="36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Anillo de foco en azul secundario alrededor del elemento.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Presionado</w:t>
            </w:r>
          </w:p>
        </w:tc>
        <w:tc>
          <w:tcPr>
            <w:tcW w:type="dxa" w:w="40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El usuario mantiene pulsado el elemento.</w:t>
            </w:r>
          </w:p>
        </w:tc>
        <w:tc>
          <w:tcPr>
            <w:tcW w:type="dxa" w:w="36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Tono más oscuro y leve reducción de la sombra.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Deshabilitado</w:t>
            </w:r>
          </w:p>
        </w:tc>
        <w:tc>
          <w:tcPr>
            <w:tcW w:type="dxa" w:w="40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La acción no está permitida en ese momento.</w:t>
            </w:r>
          </w:p>
        </w:tc>
        <w:tc>
          <w:tcPr>
            <w:tcW w:type="dxa" w:w="36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Colores atenuados y cursor no disponible.</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En proceso</w:t>
            </w:r>
          </w:p>
        </w:tc>
        <w:tc>
          <w:tcPr>
            <w:tcW w:type="dxa" w:w="40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La acción se está ejecutando.</w:t>
            </w:r>
          </w:p>
        </w:tc>
        <w:tc>
          <w:tcPr>
            <w:tcW w:type="dxa" w:w="36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Indicador de carga y bloqueo temporal del botón.</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Error</w:t>
            </w:r>
          </w:p>
        </w:tc>
        <w:tc>
          <w:tcPr>
            <w:tcW w:type="dxa" w:w="40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El dato ingresado no cumple una validación.</w:t>
            </w:r>
          </w:p>
        </w:tc>
        <w:tc>
          <w:tcPr>
            <w:tcW w:type="dxa" w:w="36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Borde en color de peligro y mensaje explicativo.</w:t>
            </w:r>
          </w:p>
        </w:tc>
      </w:tr>
    </w:tbl>
    <w:p>
      <w:pPr>
        <w:pStyle w:val="Heading2"/>
        <w:spacing w:after="80" w:before="150"/>
      </w:pPr>
      <w:bookmarkStart w:name="bm16" w:id="16"/>
      <w:r>
        <w:rPr>
          <w:rFonts w:ascii="Arial" w:cs="Arial" w:eastAsia="Arial" w:hAnsi="Arial"/>
          <w:b/>
          <w:bCs/>
          <w:color w:val="2E5496"/>
          <w:sz w:val="23"/>
          <w:szCs w:val="23"/>
        </w:rPr>
        <w:t xml:space="preserve">6.2 Botones</w:t>
      </w:r>
      <w:bookmarkEnd w:id="16"/>
    </w:p>
    <w:p>
      <w:pPr>
        <w:spacing w:after="110" w:line="262"/>
        <w:jc w:val="both"/>
      </w:pPr>
      <w:r>
        <w:rPr>
          <w:rFonts w:ascii="Arial" w:cs="Arial" w:eastAsia="Arial" w:hAnsi="Arial"/>
          <w:sz w:val="22"/>
          <w:szCs w:val="22"/>
        </w:rPr>
        <w:t xml:space="preserve">Los botones concentran las acciones de cada pantalla. Se definen cuatro variantes, diferenciadas por su importancia dentro del flujo: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4600"/>
        <w:gridCol w:w="30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Variante</w:t>
            </w:r>
          </w:p>
        </w:tc>
        <w:tc>
          <w:tcPr>
            <w:tcW w:type="dxa" w:w="4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c>
          <w:tcPr>
            <w:tcW w:type="dxa" w:w="30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Color</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Primario</w:t>
            </w:r>
          </w:p>
        </w:tc>
        <w:tc>
          <w:tcPr>
            <w:tcW w:type="dxa" w:w="4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Acción principal de la pantalla: registrar venta, guardar, confirmar.</w:t>
            </w:r>
          </w:p>
        </w:tc>
        <w:tc>
          <w:tcPr>
            <w:tcW w:type="dxa" w:w="30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CTA verde con texto blanco.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Secundario</w:t>
            </w:r>
          </w:p>
        </w:tc>
        <w:tc>
          <w:tcPr>
            <w:tcW w:type="dxa" w:w="4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Acciones de apoyo: cancelar, volver, exportar.</w:t>
            </w:r>
          </w:p>
        </w:tc>
        <w:tc>
          <w:tcPr>
            <w:tcW w:type="dxa" w:w="30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Fondo claro con borde y texto en azul secundario.</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De texto</w:t>
            </w:r>
          </w:p>
        </w:tc>
        <w:tc>
          <w:tcPr>
            <w:tcW w:type="dxa" w:w="4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Acciones de baja jerarquía y enlaces dentro de un bloque.</w:t>
            </w:r>
          </w:p>
        </w:tc>
        <w:tc>
          <w:tcPr>
            <w:tcW w:type="dxa" w:w="30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Sin fondo ni borde, texto en azul secundario.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De peligro</w:t>
            </w:r>
          </w:p>
        </w:tc>
        <w:tc>
          <w:tcPr>
            <w:tcW w:type="dxa" w:w="4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Acciones destructivas o irreversibles: anular, eliminar.</w:t>
            </w:r>
          </w:p>
        </w:tc>
        <w:tc>
          <w:tcPr>
            <w:tcW w:type="dxa" w:w="30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Rojo de peligro con texto blanco.</w:t>
            </w:r>
          </w:p>
        </w:tc>
      </w:tr>
    </w:tbl>
    <w:p>
      <w:pPr>
        <w:spacing w:after="20" w:before="6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4193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3. Variantes de botón y sus estados. Fuente: del autor.</w:t>
      </w:r>
    </w:p>
    <w:p>
      <w:pPr>
        <w:spacing w:after="110" w:line="262"/>
        <w:jc w:val="both"/>
      </w:pPr>
      <w:r>
        <w:rPr>
          <w:rFonts w:ascii="Arial" w:cs="Arial" w:eastAsia="Arial" w:hAnsi="Arial"/>
          <w:sz w:val="22"/>
          <w:szCs w:val="22"/>
        </w:rPr>
        <w:t xml:space="preserve">Reglas de uso:</w:t>
      </w:r>
    </w:p>
    <w:p>
      <w:pPr>
        <w:pStyle w:val="ListParagraph"/>
        <w:numPr>
          <w:ilvl w:val="0"/>
          <w:numId w:val="1"/>
        </w:numPr>
        <w:spacing w:after="60" w:line="258"/>
      </w:pPr>
      <w:r>
        <w:rPr>
          <w:rFonts w:ascii="Arial" w:cs="Arial" w:eastAsia="Arial" w:hAnsi="Arial"/>
          <w:sz w:val="22"/>
          <w:szCs w:val="22"/>
        </w:rPr>
        <w:t xml:space="preserve">Cada pantalla tiene una sola acción principal, expresada con un botón primario.</w:t>
      </w:r>
    </w:p>
    <w:p>
      <w:pPr>
        <w:pStyle w:val="ListParagraph"/>
        <w:numPr>
          <w:ilvl w:val="0"/>
          <w:numId w:val="1"/>
        </w:numPr>
        <w:spacing w:after="60" w:line="258"/>
      </w:pPr>
      <w:r>
        <w:rPr>
          <w:rFonts w:ascii="Arial" w:cs="Arial" w:eastAsia="Arial" w:hAnsi="Arial"/>
          <w:sz w:val="22"/>
          <w:szCs w:val="22"/>
        </w:rPr>
        <w:t xml:space="preserve">La etiqueta del botón nombra la acción que ejecuta (Guardar producto, Cobrar, Anular venta) y no expresiones genéricas.</w:t>
      </w:r>
    </w:p>
    <w:p>
      <w:pPr>
        <w:pStyle w:val="ListParagraph"/>
        <w:numPr>
          <w:ilvl w:val="0"/>
          <w:numId w:val="1"/>
        </w:numPr>
        <w:spacing w:after="60" w:line="258"/>
      </w:pPr>
      <w:r>
        <w:rPr>
          <w:rFonts w:ascii="Arial" w:cs="Arial" w:eastAsia="Arial" w:hAnsi="Arial"/>
          <w:sz w:val="22"/>
          <w:szCs w:val="22"/>
        </w:rPr>
        <w:t xml:space="preserve">En formularios y en la versión móvil el botón principal ocupa el ancho disponible.</w:t>
      </w:r>
    </w:p>
    <w:p>
      <w:pPr>
        <w:pStyle w:val="ListParagraph"/>
        <w:numPr>
          <w:ilvl w:val="0"/>
          <w:numId w:val="1"/>
        </w:numPr>
        <w:spacing w:after="60" w:line="258"/>
      </w:pPr>
      <w:r>
        <w:rPr>
          <w:rFonts w:ascii="Arial" w:cs="Arial" w:eastAsia="Arial" w:hAnsi="Arial"/>
          <w:sz w:val="22"/>
          <w:szCs w:val="22"/>
        </w:rPr>
        <w:t xml:space="preserve">Las acciones destructivas usan la variante de peligro y siempre solicitan confirmación.</w:t>
      </w:r>
    </w:p>
    <w:p>
      <w:pPr>
        <w:pStyle w:val="Heading2"/>
        <w:spacing w:after="80" w:before="150"/>
      </w:pPr>
      <w:bookmarkStart w:name="bm17" w:id="17"/>
      <w:r>
        <w:rPr>
          <w:rFonts w:ascii="Arial" w:cs="Arial" w:eastAsia="Arial" w:hAnsi="Arial"/>
          <w:b/>
          <w:bCs/>
          <w:color w:val="2E5496"/>
          <w:sz w:val="23"/>
          <w:szCs w:val="23"/>
        </w:rPr>
        <w:t xml:space="preserve">6.3 Campos de formulario</w:t>
      </w:r>
      <w:bookmarkEnd w:id="17"/>
    </w:p>
    <w:p>
      <w:pPr>
        <w:spacing w:after="110" w:line="262"/>
        <w:jc w:val="both"/>
      </w:pPr>
      <w:r>
        <w:rPr>
          <w:rFonts w:ascii="Arial" w:cs="Arial" w:eastAsia="Arial" w:hAnsi="Arial"/>
          <w:sz w:val="22"/>
          <w:szCs w:val="22"/>
        </w:rPr>
        <w:t xml:space="preserve">Los campos comparten una misma estructura: etiqueta visible sobre el control, área de captura de altura uniforme y, debajo, el texto de ayuda o el mensaje de validación. La etiqueta no se reemplaza por el texto de ejemplo interno, que desaparece al escribir.</w:t>
      </w:r>
    </w:p>
    <w:p>
      <w:pPr>
        <w:spacing w:after="20" w:before="60"/>
        <w:jc w:val="center"/>
      </w:pPr>
      <w:r>
        <w:drawing>
          <wp:inline distT="0" distB="0" distL="0" distR="0">
            <wp:extent cx="59055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2574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4. Estados del campo de texto. Fuente: del autor.</w:t>
      </w:r>
    </w:p>
    <w:p>
      <w:pPr>
        <w:pStyle w:val="ListParagraph"/>
        <w:numPr>
          <w:ilvl w:val="0"/>
          <w:numId w:val="1"/>
        </w:numPr>
        <w:spacing w:after="60" w:line="258"/>
      </w:pPr>
      <w:r>
        <w:rPr>
          <w:rFonts w:ascii="Arial" w:cs="Arial" w:eastAsia="Arial" w:hAnsi="Arial"/>
          <w:b/>
          <w:bCs/>
          <w:sz w:val="22"/>
          <w:szCs w:val="22"/>
        </w:rPr>
        <w:t xml:space="preserve">Normal. </w:t>
      </w:r>
      <w:r>
        <w:rPr>
          <w:rFonts w:ascii="Arial" w:cs="Arial" w:eastAsia="Arial" w:hAnsi="Arial"/>
          <w:sz w:val="22"/>
          <w:szCs w:val="22"/>
        </w:rPr>
        <w:t xml:space="preserve">Borde neutro y texto de ejemplo en gris; el texto de ayuda describe el formato esperado.</w:t>
      </w:r>
    </w:p>
    <w:p>
      <w:pPr>
        <w:pStyle w:val="ListParagraph"/>
        <w:numPr>
          <w:ilvl w:val="0"/>
          <w:numId w:val="1"/>
        </w:numPr>
        <w:spacing w:after="60" w:line="258"/>
      </w:pPr>
      <w:r>
        <w:rPr>
          <w:rFonts w:ascii="Arial" w:cs="Arial" w:eastAsia="Arial" w:hAnsi="Arial"/>
          <w:b/>
          <w:bCs/>
          <w:sz w:val="22"/>
          <w:szCs w:val="22"/>
        </w:rPr>
        <w:t xml:space="preserve">Enfocado. </w:t>
      </w:r>
      <w:r>
        <w:rPr>
          <w:rFonts w:ascii="Arial" w:cs="Arial" w:eastAsia="Arial" w:hAnsi="Arial"/>
          <w:sz w:val="22"/>
          <w:szCs w:val="22"/>
        </w:rPr>
        <w:t xml:space="preserve">Borde en azul secundario y anillo de foco, visible también al navegar con el teclado.</w:t>
      </w:r>
    </w:p>
    <w:p>
      <w:pPr>
        <w:pStyle w:val="ListParagraph"/>
        <w:numPr>
          <w:ilvl w:val="0"/>
          <w:numId w:val="1"/>
        </w:numPr>
        <w:spacing w:after="60" w:line="258"/>
      </w:pPr>
      <w:r>
        <w:rPr>
          <w:rFonts w:ascii="Arial" w:cs="Arial" w:eastAsia="Arial" w:hAnsi="Arial"/>
          <w:b/>
          <w:bCs/>
          <w:sz w:val="22"/>
          <w:szCs w:val="22"/>
        </w:rPr>
        <w:t xml:space="preserve">Con error. </w:t>
      </w:r>
      <w:r>
        <w:rPr>
          <w:rFonts w:ascii="Arial" w:cs="Arial" w:eastAsia="Arial" w:hAnsi="Arial"/>
          <w:sz w:val="22"/>
          <w:szCs w:val="22"/>
        </w:rPr>
        <w:t xml:space="preserve">Borde en color de peligro y mensaje que indica la causa y la forma de corregirla.</w:t>
      </w:r>
    </w:p>
    <w:p>
      <w:pPr>
        <w:pStyle w:val="ListParagraph"/>
        <w:numPr>
          <w:ilvl w:val="0"/>
          <w:numId w:val="1"/>
        </w:numPr>
        <w:spacing w:after="60" w:line="258"/>
      </w:pPr>
      <w:r>
        <w:rPr>
          <w:rFonts w:ascii="Arial" w:cs="Arial" w:eastAsia="Arial" w:hAnsi="Arial"/>
          <w:b/>
          <w:bCs/>
          <w:sz w:val="22"/>
          <w:szCs w:val="22"/>
        </w:rPr>
        <w:t xml:space="preserve">Deshabilitado. </w:t>
      </w:r>
      <w:r>
        <w:rPr>
          <w:rFonts w:ascii="Arial" w:cs="Arial" w:eastAsia="Arial" w:hAnsi="Arial"/>
          <w:sz w:val="22"/>
          <w:szCs w:val="22"/>
        </w:rPr>
        <w:t xml:space="preserve">Fondo atenuado y contenido no editable; se emplea cuando el dato depende de otra selección.</w:t>
      </w:r>
    </w:p>
    <w:p>
      <w:pPr>
        <w:spacing w:after="110" w:line="262"/>
        <w:jc w:val="both"/>
      </w:pPr>
      <w:r>
        <w:rPr>
          <w:rFonts w:ascii="Arial" w:cs="Arial" w:eastAsia="Arial" w:hAnsi="Arial"/>
          <w:sz w:val="22"/>
          <w:szCs w:val="22"/>
        </w:rPr>
        <w:t xml:space="preserve">Además del campo de texto, se emplean listas desplegables, campos numéricos, selectores de fecha, casillas de verificación y el buscador con filtros. Todos conservan la misma altura, el mismo radio de esquina y los mismos estados.</w:t>
      </w:r>
    </w:p>
    <w:p>
      <w:pPr>
        <w:pStyle w:val="Heading2"/>
        <w:spacing w:after="80" w:before="150"/>
      </w:pPr>
      <w:bookmarkStart w:name="bm18" w:id="18"/>
      <w:r>
        <w:rPr>
          <w:rFonts w:ascii="Arial" w:cs="Arial" w:eastAsia="Arial" w:hAnsi="Arial"/>
          <w:b/>
          <w:bCs/>
          <w:color w:val="2E5496"/>
          <w:sz w:val="23"/>
          <w:szCs w:val="23"/>
        </w:rPr>
        <w:t xml:space="preserve">6.4 Mensajes, alertas y etiquetas de estado</w:t>
      </w:r>
      <w:bookmarkEnd w:id="18"/>
    </w:p>
    <w:p>
      <w:pPr>
        <w:spacing w:after="110" w:line="262"/>
        <w:jc w:val="both"/>
      </w:pPr>
      <w:r>
        <w:rPr>
          <w:rFonts w:ascii="Arial" w:cs="Arial" w:eastAsia="Arial" w:hAnsi="Arial"/>
          <w:sz w:val="22"/>
          <w:szCs w:val="22"/>
        </w:rPr>
        <w:t xml:space="preserve">La retroalimentación al usuario se entrega mediante mensajes de bloque, ubicados dentro del contenido, y avisos emergentes de corta duración para las confirmaciones. El color y el icono identifican el tipo de mensaje:</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2300"/>
        <w:gridCol w:w="53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Tipo</w:t>
            </w:r>
          </w:p>
        </w:tc>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Color</w:t>
            </w:r>
          </w:p>
        </w:tc>
        <w:tc>
          <w:tcPr>
            <w:tcW w:type="dxa" w:w="53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Uso</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Éxito</w:t>
            </w:r>
          </w:p>
        </w:tc>
        <w:tc>
          <w:tcPr>
            <w:tcW w:type="dxa" w:w="23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CTA verde</w:t>
            </w:r>
          </w:p>
        </w:tc>
        <w:tc>
          <w:tcPr>
            <w:tcW w:type="dxa" w:w="53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Confirma que la operación se completó.</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Advertencia</w:t>
            </w:r>
          </w:p>
        </w:tc>
        <w:tc>
          <w:tcPr>
            <w:tcW w:type="dxa" w:w="23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Naranja de advertencia</w:t>
            </w:r>
          </w:p>
        </w:tc>
        <w:tc>
          <w:tcPr>
            <w:tcW w:type="dxa" w:w="53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Avisos de stock bajo y situaciones que requieren atención.</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Error</w:t>
            </w:r>
          </w:p>
        </w:tc>
        <w:tc>
          <w:tcPr>
            <w:tcW w:type="dxa" w:w="23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Rojo de peligro</w:t>
            </w:r>
          </w:p>
        </w:tc>
        <w:tc>
          <w:tcPr>
            <w:tcW w:type="dxa" w:w="53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La operación no pudo completarse e indica cómo continuar.</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Información</w:t>
            </w:r>
          </w:p>
        </w:tc>
        <w:tc>
          <w:tcPr>
            <w:tcW w:type="dxa" w:w="23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Azul secundario</w:t>
            </w:r>
          </w:p>
        </w:tc>
        <w:tc>
          <w:tcPr>
            <w:tcW w:type="dxa" w:w="53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Datos de contexto, como el envío de una factura en ambiente de pruebas.</w:t>
            </w:r>
          </w:p>
        </w:tc>
      </w:tr>
    </w:tbl>
    <w:p>
      <w:pPr>
        <w:spacing w:after="110" w:line="262"/>
        <w:jc w:val="both"/>
      </w:pPr>
      <w:r>
        <w:rPr>
          <w:rFonts w:ascii="Arial" w:cs="Arial" w:eastAsia="Arial" w:hAnsi="Arial"/>
          <w:sz w:val="22"/>
          <w:szCs w:val="22"/>
        </w:rPr>
        <w:t xml:space="preserve">Las etiquetas de estado identifican la situación de un registro dentro de las listas y los detalles. Se emplean los estados definidos en el modelo de datos: activo e inactivo para productos y usuarios, stock bajo y agotado para existencias, registrada y anulada para ventas, y activa o suspendida para la suscripción de la licorería.</w:t>
      </w:r>
    </w:p>
    <w:p>
      <w:pPr>
        <w:spacing w:after="20" w:before="60"/>
        <w:jc w:val="center"/>
      </w:pPr>
      <w:r>
        <w:drawing>
          <wp:inline distT="0" distB="0" distL="0" distR="0">
            <wp:extent cx="5334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813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5. Mensajes del sistema y etiquetas de estado. Fuente: del autor.</w:t>
      </w:r>
    </w:p>
    <w:p>
      <w:pPr>
        <w:pStyle w:val="Heading2"/>
        <w:spacing w:after="80" w:before="150"/>
      </w:pPr>
      <w:bookmarkStart w:name="bm19" w:id="19"/>
      <w:r>
        <w:rPr>
          <w:rFonts w:ascii="Arial" w:cs="Arial" w:eastAsia="Arial" w:hAnsi="Arial"/>
          <w:b/>
          <w:bCs/>
          <w:color w:val="2E5496"/>
          <w:sz w:val="23"/>
          <w:szCs w:val="23"/>
        </w:rPr>
        <w:t xml:space="preserve">6.5 Navegación, tarjetas y tablas</w:t>
      </w:r>
      <w:bookmarkEnd w:id="19"/>
    </w:p>
    <w:p>
      <w:pPr>
        <w:spacing w:after="110" w:line="262"/>
        <w:jc w:val="both"/>
      </w:pPr>
      <w:r>
        <w:rPr>
          <w:rFonts w:ascii="Arial" w:cs="Arial" w:eastAsia="Arial" w:hAnsi="Arial"/>
          <w:sz w:val="22"/>
          <w:szCs w:val="22"/>
        </w:rPr>
        <w:t xml:space="preserve">La estructura de la aplicación se apoya en tres componentes de disposición:</w:t>
      </w:r>
    </w:p>
    <w:p>
      <w:pPr>
        <w:pStyle w:val="ListParagraph"/>
        <w:numPr>
          <w:ilvl w:val="0"/>
          <w:numId w:val="1"/>
        </w:numPr>
        <w:spacing w:after="60" w:line="258"/>
      </w:pPr>
      <w:r>
        <w:rPr>
          <w:rFonts w:ascii="Arial" w:cs="Arial" w:eastAsia="Arial" w:hAnsi="Arial"/>
          <w:b/>
          <w:bCs/>
          <w:sz w:val="22"/>
          <w:szCs w:val="22"/>
        </w:rPr>
        <w:t xml:space="preserve">Navegación. </w:t>
      </w:r>
      <w:r>
        <w:rPr>
          <w:rFonts w:ascii="Arial" w:cs="Arial" w:eastAsia="Arial" w:hAnsi="Arial"/>
          <w:sz w:val="22"/>
          <w:szCs w:val="22"/>
        </w:rPr>
        <w:t xml:space="preserve">En escritorio, una barra lateral fija en azul primario con los módulos habilitados según el rol y el plan; en la parte superior, el título de la pantalla, las acciones de contexto y el acceso al perfil. En móvil, la navegación se traslada a la parte inferior.</w:t>
      </w:r>
    </w:p>
    <w:p>
      <w:pPr>
        <w:pStyle w:val="ListParagraph"/>
        <w:numPr>
          <w:ilvl w:val="0"/>
          <w:numId w:val="1"/>
        </w:numPr>
        <w:spacing w:after="60" w:line="258"/>
      </w:pPr>
      <w:r>
        <w:rPr>
          <w:rFonts w:ascii="Arial" w:cs="Arial" w:eastAsia="Arial" w:hAnsi="Arial"/>
          <w:b/>
          <w:bCs/>
          <w:sz w:val="22"/>
          <w:szCs w:val="22"/>
        </w:rPr>
        <w:t xml:space="preserve">Tarjetas de indicador. </w:t>
      </w:r>
      <w:r>
        <w:rPr>
          <w:rFonts w:ascii="Arial" w:cs="Arial" w:eastAsia="Arial" w:hAnsi="Arial"/>
          <w:sz w:val="22"/>
          <w:szCs w:val="22"/>
        </w:rPr>
        <w:t xml:space="preserve">Presentan una cifra principal con su descripción y la variación frente al periodo anterior. Se usan en el panel principal y en reportes.</w:t>
      </w:r>
    </w:p>
    <w:p>
      <w:pPr>
        <w:pStyle w:val="ListParagraph"/>
        <w:numPr>
          <w:ilvl w:val="0"/>
          <w:numId w:val="1"/>
        </w:numPr>
        <w:spacing w:after="60" w:line="258"/>
      </w:pPr>
      <w:r>
        <w:rPr>
          <w:rFonts w:ascii="Arial" w:cs="Arial" w:eastAsia="Arial" w:hAnsi="Arial"/>
          <w:b/>
          <w:bCs/>
          <w:sz w:val="22"/>
          <w:szCs w:val="22"/>
        </w:rPr>
        <w:t xml:space="preserve">Tablas. </w:t>
      </w:r>
      <w:r>
        <w:rPr>
          <w:rFonts w:ascii="Arial" w:cs="Arial" w:eastAsia="Arial" w:hAnsi="Arial"/>
          <w:sz w:val="22"/>
          <w:szCs w:val="22"/>
        </w:rPr>
        <w:t xml:space="preserve">Muestran los listados de productos, ventas y movimientos. Incluyen encabezado fijo, buscador, filtros rápidos, etiquetas de estado en la última columna y paginación cuando el volumen lo requiere.</w:t>
      </w:r>
    </w:p>
    <w:p>
      <w:pPr>
        <w:spacing w:after="20" w:before="60"/>
        <w:jc w:val="center"/>
      </w:pPr>
      <w:r>
        <w:drawing>
          <wp:inline distT="0" distB="0" distL="0" distR="0">
            <wp:extent cx="6096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6764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6. Barra de navegación, tarjeta de indicador y tabla de listado. Fuente: del autor.</w:t>
      </w:r>
    </w:p>
    <w:p>
      <w:pPr>
        <w:pStyle w:val="Heading2"/>
        <w:spacing w:after="80" w:before="150"/>
      </w:pPr>
      <w:bookmarkStart w:name="bm20" w:id="20"/>
      <w:r>
        <w:rPr>
          <w:rFonts w:ascii="Arial" w:cs="Arial" w:eastAsia="Arial" w:hAnsi="Arial"/>
          <w:b/>
          <w:bCs/>
          <w:color w:val="2E5496"/>
          <w:sz w:val="23"/>
          <w:szCs w:val="23"/>
        </w:rPr>
        <w:t xml:space="preserve">6.6 Ventanas de confirmación</w:t>
      </w:r>
      <w:bookmarkEnd w:id="20"/>
    </w:p>
    <w:p>
      <w:pPr>
        <w:spacing w:after="110" w:line="262"/>
        <w:jc w:val="both"/>
      </w:pPr>
      <w:r>
        <w:rPr>
          <w:rFonts w:ascii="Arial" w:cs="Arial" w:eastAsia="Arial" w:hAnsi="Arial"/>
          <w:sz w:val="22"/>
          <w:szCs w:val="22"/>
        </w:rPr>
        <w:t xml:space="preserve">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pPr>
        <w:spacing w:after="20" w:before="6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479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7. Ventana de confirmación de una acción sensible. Fuente: del autor.</w:t>
      </w:r>
    </w:p>
    <w:p>
      <w:pPr>
        <w:spacing w:after="110" w:line="262"/>
        <w:jc w:val="both"/>
      </w:pPr>
      <w:r>
        <w:rPr>
          <w:rFonts w:ascii="Arial" w:cs="Arial" w:eastAsia="Arial" w:hAnsi="Arial"/>
          <w:sz w:val="22"/>
          <w:szCs w:val="22"/>
        </w:rPr>
        <w:t xml:space="preserve">Requieren confirmación, entre otras, la anulación de una venta, la inactivación de un producto o un usuario, el traslado de mercancía entre sedes y la restauración de una copia de seguridad.</w:t>
      </w:r>
    </w:p>
    <w:p>
      <w:pPr>
        <w:pStyle w:val="Heading1"/>
        <w:pageBreakBefore/>
        <w:spacing w:after="110" w:before="220"/>
      </w:pPr>
      <w:bookmarkStart w:name="bm21" w:id="21"/>
      <w:r>
        <w:rPr>
          <w:rFonts w:ascii="Arial" w:cs="Arial" w:eastAsia="Arial" w:hAnsi="Arial"/>
          <w:b/>
          <w:bCs/>
          <w:color w:val="1F3864"/>
          <w:sz w:val="27"/>
          <w:szCs w:val="27"/>
        </w:rPr>
        <w:t xml:space="preserve">7. Formularios de autenticación y registro</w:t>
      </w:r>
      <w:bookmarkEnd w:id="21"/>
    </w:p>
    <w:p>
      <w:pPr>
        <w:spacing w:after="110" w:line="262"/>
        <w:jc w:val="both"/>
      </w:pPr>
      <w:r>
        <w:rPr>
          <w:rFonts w:ascii="Arial" w:cs="Arial" w:eastAsia="Arial" w:hAnsi="Arial"/>
          <w:sz w:val="22"/>
          <w:szCs w:val="22"/>
        </w:rPr>
        <w:t xml:space="preserve">El acceso a INVENTRA se realiza mediante una cuenta de usuario asociada a una licorería. Los formularios de autenticación y registro comparten una misma disposición: un panel de marca a la izquierda, con la propuesta de valor del producto, y el formulario a la derecha, con los campos estrictamente necesarios para completar la acción.</w:t>
      </w:r>
    </w:p>
    <w:p>
      <w:pPr>
        <w:pStyle w:val="Heading2"/>
        <w:spacing w:after="80" w:before="150"/>
      </w:pPr>
      <w:bookmarkStart w:name="bm22" w:id="22"/>
      <w:r>
        <w:rPr>
          <w:rFonts w:ascii="Arial" w:cs="Arial" w:eastAsia="Arial" w:hAnsi="Arial"/>
          <w:b/>
          <w:bCs/>
          <w:color w:val="2E5496"/>
          <w:sz w:val="23"/>
          <w:szCs w:val="23"/>
        </w:rPr>
        <w:t xml:space="preserve">7.1 Inicio de sesión</w:t>
      </w:r>
      <w:bookmarkEnd w:id="22"/>
    </w:p>
    <w:p>
      <w:pPr>
        <w:spacing w:after="110" w:line="262"/>
        <w:jc w:val="both"/>
      </w:pPr>
      <w:r>
        <w:rPr>
          <w:rFonts w:ascii="Arial" w:cs="Arial" w:eastAsia="Arial" w:hAnsi="Arial"/>
          <w:sz w:val="22"/>
          <w:szCs w:val="22"/>
        </w:rPr>
        <w:t xml:space="preserve">El formulario solicita el correo electrónico y la contraseña. Incluye la opción de mantener la sesión iniciada, el enlace de recuperación de contraseña y el acceso al registro para quienes aún no tienen cuenta.</w:t>
      </w:r>
    </w:p>
    <w:p>
      <w:pPr>
        <w:spacing w:after="20" w:before="60"/>
        <w:jc w:val="center"/>
      </w:pPr>
      <w:r>
        <w:drawing>
          <wp:inline distT="0" distB="0" distL="0" distR="0">
            <wp:extent cx="6096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0480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8. Pantalla de inicio de sesión. Fuente: del autor.</w:t>
      </w:r>
    </w:p>
    <w:p>
      <w:pPr>
        <w:pStyle w:val="ListParagraph"/>
        <w:numPr>
          <w:ilvl w:val="0"/>
          <w:numId w:val="1"/>
        </w:numPr>
        <w:spacing w:after="60" w:line="258"/>
      </w:pPr>
      <w:r>
        <w:rPr>
          <w:rFonts w:ascii="Arial" w:cs="Arial" w:eastAsia="Arial" w:hAnsi="Arial"/>
          <w:sz w:val="22"/>
          <w:szCs w:val="22"/>
        </w:rPr>
        <w:t xml:space="preserve">El botón principal permanece deshabilitado mientras falte alguno de los dos campos.</w:t>
      </w:r>
    </w:p>
    <w:p>
      <w:pPr>
        <w:pStyle w:val="ListParagraph"/>
        <w:numPr>
          <w:ilvl w:val="0"/>
          <w:numId w:val="1"/>
        </w:numPr>
        <w:spacing w:after="60" w:line="258"/>
      </w:pPr>
      <w:r>
        <w:rPr>
          <w:rFonts w:ascii="Arial" w:cs="Arial" w:eastAsia="Arial" w:hAnsi="Arial"/>
          <w:sz w:val="22"/>
          <w:szCs w:val="22"/>
        </w:rPr>
        <w:t xml:space="preserve">Si las credenciales no coinciden, el mensaje es el mismo para el correo y para la contraseña, de modo que no se revele cuáles cuentas existen.</w:t>
      </w:r>
    </w:p>
    <w:p>
      <w:pPr>
        <w:pStyle w:val="ListParagraph"/>
        <w:numPr>
          <w:ilvl w:val="0"/>
          <w:numId w:val="1"/>
        </w:numPr>
        <w:spacing w:after="60" w:line="258"/>
      </w:pPr>
      <w:r>
        <w:rPr>
          <w:rFonts w:ascii="Arial" w:cs="Arial" w:eastAsia="Arial" w:hAnsi="Arial"/>
          <w:sz w:val="22"/>
          <w:szCs w:val="22"/>
        </w:rPr>
        <w:t xml:space="preserve">Tras varios intentos fallidos consecutivos la cuenta se bloquea de forma temporal y el formulario informa la situación.</w:t>
      </w:r>
    </w:p>
    <w:p>
      <w:pPr>
        <w:pStyle w:val="ListParagraph"/>
        <w:numPr>
          <w:ilvl w:val="0"/>
          <w:numId w:val="1"/>
        </w:numPr>
        <w:spacing w:after="60" w:line="258"/>
      </w:pPr>
      <w:r>
        <w:rPr>
          <w:rFonts w:ascii="Arial" w:cs="Arial" w:eastAsia="Arial" w:hAnsi="Arial"/>
          <w:sz w:val="22"/>
          <w:szCs w:val="22"/>
        </w:rPr>
        <w:t xml:space="preserve">Si la cuenta está inactiva o la suscripción se encuentra suspendida, el acceso se deniega con un mensaje que indica el motivo.</w:t>
      </w:r>
    </w:p>
    <w:p>
      <w:pPr>
        <w:pStyle w:val="Heading2"/>
        <w:spacing w:after="80" w:before="150"/>
      </w:pPr>
      <w:bookmarkStart w:name="bm23" w:id="23"/>
      <w:r>
        <w:rPr>
          <w:rFonts w:ascii="Arial" w:cs="Arial" w:eastAsia="Arial" w:hAnsi="Arial"/>
          <w:b/>
          <w:bCs/>
          <w:color w:val="2E5496"/>
          <w:sz w:val="23"/>
          <w:szCs w:val="23"/>
        </w:rPr>
        <w:t xml:space="preserve">7.2 Registro de la licorería</w:t>
      </w:r>
      <w:bookmarkEnd w:id="23"/>
    </w:p>
    <w:p>
      <w:pPr>
        <w:spacing w:after="110" w:line="262"/>
        <w:jc w:val="both"/>
      </w:pPr>
      <w:r>
        <w:rPr>
          <w:rFonts w:ascii="Arial" w:cs="Arial" w:eastAsia="Arial" w:hAnsi="Arial"/>
          <w:sz w:val="22"/>
          <w:szCs w:val="22"/>
        </w:rPr>
        <w:t xml:space="preserve">El registro crea al mismo tiempo la licorería y su primer usuario, con rol de administrador. Se piden únicamente cuatro datos: el nombre del negocio, el nombre y apellido del responsable, el correo electrónico y la contraseña.</w:t>
      </w:r>
    </w:p>
    <w:p>
      <w:pPr>
        <w:spacing w:after="20" w:before="60"/>
        <w:jc w:val="center"/>
      </w:pPr>
      <w:r>
        <w:drawing>
          <wp:inline distT="0" distB="0" distL="0" distR="0">
            <wp:extent cx="60960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481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9. Pantalla de registro de la licorería. Fuente: del autor.</w:t>
      </w:r>
    </w:p>
    <w:p>
      <w:pPr>
        <w:pStyle w:val="ListParagraph"/>
        <w:numPr>
          <w:ilvl w:val="0"/>
          <w:numId w:val="1"/>
        </w:numPr>
        <w:spacing w:after="60" w:line="258"/>
      </w:pPr>
      <w:r>
        <w:rPr>
          <w:rFonts w:ascii="Arial" w:cs="Arial" w:eastAsia="Arial" w:hAnsi="Arial"/>
          <w:sz w:val="22"/>
          <w:szCs w:val="22"/>
        </w:rPr>
        <w:t xml:space="preserve">El correo electrónico identifica al usuario y no puede estar registrado previamente.</w:t>
      </w:r>
    </w:p>
    <w:p>
      <w:pPr>
        <w:pStyle w:val="ListParagraph"/>
        <w:numPr>
          <w:ilvl w:val="0"/>
          <w:numId w:val="1"/>
        </w:numPr>
        <w:spacing w:after="60" w:line="258"/>
      </w:pPr>
      <w:r>
        <w:rPr>
          <w:rFonts w:ascii="Arial" w:cs="Arial" w:eastAsia="Arial" w:hAnsi="Arial"/>
          <w:sz w:val="22"/>
          <w:szCs w:val="22"/>
        </w:rPr>
        <w:t xml:space="preserve">La contraseña exige una longitud mínima de ocho caracteres; el campo permite mostrar u ocultar el contenido escrito.</w:t>
      </w:r>
    </w:p>
    <w:p>
      <w:pPr>
        <w:pStyle w:val="ListParagraph"/>
        <w:numPr>
          <w:ilvl w:val="0"/>
          <w:numId w:val="1"/>
        </w:numPr>
        <w:spacing w:after="60" w:line="258"/>
      </w:pPr>
      <w:r>
        <w:rPr>
          <w:rFonts w:ascii="Arial" w:cs="Arial" w:eastAsia="Arial" w:hAnsi="Arial"/>
          <w:sz w:val="22"/>
          <w:szCs w:val="22"/>
        </w:rPr>
        <w:t xml:space="preserve">Al completar el registro, la licorería queda asociada al plan Básico y el usuario ingresa directamente al panel principal.</w:t>
      </w:r>
    </w:p>
    <w:p>
      <w:pPr>
        <w:pStyle w:val="Heading2"/>
        <w:spacing w:after="80" w:before="150"/>
      </w:pPr>
      <w:bookmarkStart w:name="bm24" w:id="24"/>
      <w:r>
        <w:rPr>
          <w:rFonts w:ascii="Arial" w:cs="Arial" w:eastAsia="Arial" w:hAnsi="Arial"/>
          <w:b/>
          <w:bCs/>
          <w:color w:val="2E5496"/>
          <w:sz w:val="23"/>
          <w:szCs w:val="23"/>
        </w:rPr>
        <w:t xml:space="preserve">7.3 Recuperación de contraseña</w:t>
      </w:r>
      <w:bookmarkEnd w:id="24"/>
    </w:p>
    <w:p>
      <w:pPr>
        <w:spacing w:after="110" w:line="262"/>
        <w:jc w:val="both"/>
      </w:pPr>
      <w:r>
        <w:rPr>
          <w:rFonts w:ascii="Arial" w:cs="Arial" w:eastAsia="Arial" w:hAnsi="Arial"/>
          <w:sz w:val="22"/>
          <w:szCs w:val="22"/>
        </w:rPr>
        <w:t xml:space="preserve">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pPr>
        <w:pStyle w:val="Heading2"/>
        <w:spacing w:after="80" w:before="150"/>
      </w:pPr>
      <w:bookmarkStart w:name="bm25" w:id="25"/>
      <w:r>
        <w:rPr>
          <w:rFonts w:ascii="Arial" w:cs="Arial" w:eastAsia="Arial" w:hAnsi="Arial"/>
          <w:b/>
          <w:bCs/>
          <w:color w:val="2E5496"/>
          <w:sz w:val="23"/>
          <w:szCs w:val="23"/>
        </w:rPr>
        <w:t xml:space="preserve">7.4 Validaciones y mensajes</w:t>
      </w:r>
      <w:bookmarkEnd w:id="25"/>
    </w:p>
    <w:p>
      <w:pPr>
        <w:spacing w:after="110" w:line="262"/>
        <w:jc w:val="both"/>
      </w:pPr>
      <w:r>
        <w:rPr>
          <w:rFonts w:ascii="Arial" w:cs="Arial" w:eastAsia="Arial" w:hAnsi="Arial"/>
          <w:sz w:val="22"/>
          <w:szCs w:val="22"/>
        </w:rPr>
        <w:t xml:space="preserve">Las validaciones se ejecutan al salir de cada campo y nuevamente al enviar el formulario. El mensaje se ubica bajo el campo correspondiente, en color de peligro, y el foco se traslada al primer campo con error.</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100"/>
        <w:gridCol w:w="3100"/>
        <w:gridCol w:w="4160"/>
      </w:tblGrid>
      <w:tr>
        <w:trPr>
          <w:tblHeader/>
        </w:trPr>
        <w:tc>
          <w:tcPr>
            <w:tcW w:type="dxa" w:w="21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Campo</w:t>
            </w:r>
          </w:p>
        </w:tc>
        <w:tc>
          <w:tcPr>
            <w:tcW w:type="dxa" w:w="31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Regla</w:t>
            </w:r>
          </w:p>
        </w:tc>
        <w:tc>
          <w:tcPr>
            <w:tcW w:type="dxa" w:w="41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Mensaje</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Correo electrónico</w:t>
            </w:r>
          </w:p>
        </w:tc>
        <w:tc>
          <w:tcPr>
            <w:tcW w:type="dxa" w:w="31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Obligatorio y con formato válido.</w:t>
            </w:r>
          </w:p>
        </w:tc>
        <w:tc>
          <w:tcPr>
            <w:tcW w:type="dxa" w:w="41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Ingresa un correo electrónico válido.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Contraseña</w:t>
            </w:r>
          </w:p>
        </w:tc>
        <w:tc>
          <w:tcPr>
            <w:tcW w:type="dxa" w:w="31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Obligatoria.</w:t>
            </w:r>
          </w:p>
        </w:tc>
        <w:tc>
          <w:tcPr>
            <w:tcW w:type="dxa" w:w="41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La contraseña es obligatoria.</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Contraseña (registro)</w:t>
            </w:r>
          </w:p>
        </w:tc>
        <w:tc>
          <w:tcPr>
            <w:tcW w:type="dxa" w:w="31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Mínimo ocho caracteres.</w:t>
            </w:r>
          </w:p>
        </w:tc>
        <w:tc>
          <w:tcPr>
            <w:tcW w:type="dxa" w:w="41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La contraseña debe tener mínimo 8 caracteres.</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Nombre del negocio</w:t>
            </w:r>
          </w:p>
        </w:tc>
        <w:tc>
          <w:tcPr>
            <w:tcW w:type="dxa" w:w="31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Obligatorio.</w:t>
            </w:r>
          </w:p>
        </w:tc>
        <w:tc>
          <w:tcPr>
            <w:tcW w:type="dxa" w:w="41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Ingresa el nombre de tu negocio.</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Nombre y apellido</w:t>
            </w:r>
          </w:p>
        </w:tc>
        <w:tc>
          <w:tcPr>
            <w:tcW w:type="dxa" w:w="31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Obligatorio.</w:t>
            </w:r>
          </w:p>
        </w:tc>
        <w:tc>
          <w:tcPr>
            <w:tcW w:type="dxa" w:w="41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Ingresa tu nombre y apellido.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Credenciales</w:t>
            </w:r>
          </w:p>
        </w:tc>
        <w:tc>
          <w:tcPr>
            <w:tcW w:type="dxa" w:w="31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Deben corresponder a una cuenta activa.</w:t>
            </w:r>
          </w:p>
        </w:tc>
        <w:tc>
          <w:tcPr>
            <w:tcW w:type="dxa" w:w="41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El correo o la contraseña no son correctos.</w:t>
            </w:r>
          </w:p>
        </w:tc>
      </w:tr>
    </w:tbl>
    <w:p>
      <w:pPr>
        <w:pStyle w:val="Heading1"/>
        <w:pageBreakBefore/>
        <w:spacing w:after="110" w:before="220"/>
      </w:pPr>
      <w:bookmarkStart w:name="bm26" w:id="26"/>
      <w:r>
        <w:rPr>
          <w:rFonts w:ascii="Arial" w:cs="Arial" w:eastAsia="Arial" w:hAnsi="Arial"/>
          <w:b/>
          <w:bCs/>
          <w:color w:val="1F3864"/>
          <w:sz w:val="27"/>
          <w:szCs w:val="27"/>
        </w:rPr>
        <w:t xml:space="preserve">8. Pantallas principales</w:t>
      </w:r>
      <w:bookmarkEnd w:id="26"/>
    </w:p>
    <w:p>
      <w:pPr>
        <w:spacing w:after="110" w:line="262"/>
        <w:jc w:val="both"/>
      </w:pPr>
      <w:r>
        <w:rPr>
          <w:rFonts w:ascii="Arial" w:cs="Arial" w:eastAsia="Arial" w:hAnsi="Arial"/>
          <w:sz w:val="22"/>
          <w:szCs w:val="22"/>
        </w:rPr>
        <w:t xml:space="preserve">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pPr>
        <w:pStyle w:val="Heading2"/>
        <w:spacing w:after="80" w:before="150"/>
      </w:pPr>
      <w:bookmarkStart w:name="bm27" w:id="27"/>
      <w:r>
        <w:rPr>
          <w:rFonts w:ascii="Arial" w:cs="Arial" w:eastAsia="Arial" w:hAnsi="Arial"/>
          <w:b/>
          <w:bCs/>
          <w:color w:val="2E5496"/>
          <w:sz w:val="23"/>
          <w:szCs w:val="23"/>
        </w:rPr>
        <w:t xml:space="preserve">8.1 Página de presentación</w:t>
      </w:r>
      <w:bookmarkEnd w:id="27"/>
    </w:p>
    <w:p>
      <w:pPr>
        <w:spacing w:after="110" w:line="262"/>
        <w:jc w:val="both"/>
      </w:pPr>
      <w:r>
        <w:rPr>
          <w:rFonts w:ascii="Arial" w:cs="Arial" w:eastAsia="Arial" w:hAnsi="Arial"/>
          <w:sz w:val="22"/>
          <w:szCs w:val="22"/>
        </w:rPr>
        <w:t xml:space="preserve">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pPr>
        <w:spacing w:after="20" w:before="60"/>
        <w:jc w:val="center"/>
      </w:pPr>
      <w:r>
        <w:drawing>
          <wp:inline distT="0" distB="0" distL="0" distR="0">
            <wp:extent cx="6096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00037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10. Página de presentación. Fuente: del autor.</w:t>
      </w:r>
    </w:p>
    <w:p>
      <w:pPr>
        <w:pStyle w:val="Heading2"/>
        <w:spacing w:after="80" w:before="150"/>
      </w:pPr>
      <w:bookmarkStart w:name="bm28" w:id="28"/>
      <w:r>
        <w:rPr>
          <w:rFonts w:ascii="Arial" w:cs="Arial" w:eastAsia="Arial" w:hAnsi="Arial"/>
          <w:b/>
          <w:bCs/>
          <w:color w:val="2E5496"/>
          <w:sz w:val="23"/>
          <w:szCs w:val="23"/>
        </w:rPr>
        <w:t xml:space="preserve">8.2 Panel principal</w:t>
      </w:r>
      <w:bookmarkEnd w:id="28"/>
    </w:p>
    <w:p>
      <w:pPr>
        <w:spacing w:after="110" w:line="262"/>
        <w:jc w:val="both"/>
      </w:pPr>
      <w:r>
        <w:rPr>
          <w:rFonts w:ascii="Arial" w:cs="Arial" w:eastAsia="Arial" w:hAnsi="Arial"/>
          <w:sz w:val="22"/>
          <w:szCs w:val="22"/>
        </w:rPr>
        <w:t xml:space="preserve">Es la primera pantalla tras iniciar sesión y resume el estado del negocio. La navegación lateral da acceso a los módulos habilitados según el rol y el plan contratado; la barra superior muestra el título de la pantalla, la sede activa y el acceso al perfil.</w:t>
      </w:r>
    </w:p>
    <w:p>
      <w:pPr>
        <w:pStyle w:val="ListParagraph"/>
        <w:numPr>
          <w:ilvl w:val="0"/>
          <w:numId w:val="1"/>
        </w:numPr>
        <w:spacing w:after="60" w:line="258"/>
      </w:pPr>
      <w:r>
        <w:rPr>
          <w:rFonts w:ascii="Arial" w:cs="Arial" w:eastAsia="Arial" w:hAnsi="Arial"/>
          <w:sz w:val="22"/>
          <w:szCs w:val="22"/>
        </w:rPr>
        <w:t xml:space="preserve">Cuatro tarjetas de indicador: ventas del día, productos activos en el catálogo, productos con stock bajo y utilidad del mes, cada una con su variación frente al periodo anterior.</w:t>
      </w:r>
    </w:p>
    <w:p>
      <w:pPr>
        <w:pStyle w:val="ListParagraph"/>
        <w:numPr>
          <w:ilvl w:val="0"/>
          <w:numId w:val="1"/>
        </w:numPr>
        <w:spacing w:after="60" w:line="258"/>
      </w:pPr>
      <w:r>
        <w:rPr>
          <w:rFonts w:ascii="Arial" w:cs="Arial" w:eastAsia="Arial" w:hAnsi="Arial"/>
          <w:sz w:val="22"/>
          <w:szCs w:val="22"/>
        </w:rPr>
        <w:t xml:space="preserve">Panel de alertas de stock bajo, con la existencia restante de cada producto y el acceso al listado completo.</w:t>
      </w:r>
    </w:p>
    <w:p>
      <w:pPr>
        <w:pStyle w:val="ListParagraph"/>
        <w:numPr>
          <w:ilvl w:val="0"/>
          <w:numId w:val="1"/>
        </w:numPr>
        <w:spacing w:after="60" w:line="258"/>
      </w:pPr>
      <w:r>
        <w:rPr>
          <w:rFonts w:ascii="Arial" w:cs="Arial" w:eastAsia="Arial" w:hAnsi="Arial"/>
          <w:sz w:val="22"/>
          <w:szCs w:val="22"/>
        </w:rPr>
        <w:t xml:space="preserve">Gráfico de ventas de la semana, para identificar los días de mayor movimiento.</w:t>
      </w:r>
    </w:p>
    <w:p>
      <w:pPr>
        <w:spacing w:after="20" w:before="60"/>
        <w:jc w:val="center"/>
      </w:pPr>
      <w:r>
        <w:drawing>
          <wp:inline distT="0" distB="0" distL="0" distR="0">
            <wp:extent cx="6096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575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11. Panel principal. Fuente: del autor.</w:t>
      </w:r>
    </w:p>
    <w:p>
      <w:pPr>
        <w:pStyle w:val="Heading2"/>
        <w:spacing w:after="80" w:before="150"/>
      </w:pPr>
      <w:bookmarkStart w:name="bm29" w:id="29"/>
      <w:r>
        <w:rPr>
          <w:rFonts w:ascii="Arial" w:cs="Arial" w:eastAsia="Arial" w:hAnsi="Arial"/>
          <w:b/>
          <w:bCs/>
          <w:color w:val="2E5496"/>
          <w:sz w:val="23"/>
          <w:szCs w:val="23"/>
        </w:rPr>
        <w:t xml:space="preserve">8.3 Inventario: lista de productos</w:t>
      </w:r>
      <w:bookmarkEnd w:id="29"/>
    </w:p>
    <w:p>
      <w:pPr>
        <w:spacing w:after="110" w:line="262"/>
        <w:jc w:val="both"/>
      </w:pPr>
      <w:r>
        <w:rPr>
          <w:rFonts w:ascii="Arial" w:cs="Arial" w:eastAsia="Arial" w:hAnsi="Arial"/>
          <w:sz w:val="22"/>
          <w:szCs w:val="22"/>
        </w:rPr>
        <w:t xml:space="preserve">Concentra la consulta del catálogo. Sobre la tabla se ubican el buscador por nombre o código y los filtros rápidos por situación de existencias. La tabla presenta el producto, su categoría, el precio de venta, las existencias, la etiqueta de estado y la acción de edición. La acción principal de la pantalla, situada en la barra superior, es el registro de un producto nuevo.</w:t>
      </w:r>
    </w:p>
    <w:p>
      <w:pPr>
        <w:spacing w:after="20" w:before="60"/>
        <w:jc w:val="center"/>
      </w:pPr>
      <w:r>
        <w:drawing>
          <wp:inline distT="0" distB="0" distL="0" distR="0">
            <wp:extent cx="6096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8575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12. Inventario: lista de productos. Fuente: del autor.</w:t>
      </w:r>
    </w:p>
    <w:p>
      <w:pPr>
        <w:pStyle w:val="Heading2"/>
        <w:spacing w:after="80" w:before="150"/>
      </w:pPr>
      <w:bookmarkStart w:name="bm30" w:id="30"/>
      <w:r>
        <w:rPr>
          <w:rFonts w:ascii="Arial" w:cs="Arial" w:eastAsia="Arial" w:hAnsi="Arial"/>
          <w:b/>
          <w:bCs/>
          <w:color w:val="2E5496"/>
          <w:sz w:val="23"/>
          <w:szCs w:val="23"/>
        </w:rPr>
        <w:t xml:space="preserve">8.4 Inventario: registro y edición de producto</w:t>
      </w:r>
      <w:bookmarkEnd w:id="30"/>
    </w:p>
    <w:p>
      <w:pPr>
        <w:spacing w:after="110" w:line="262"/>
        <w:jc w:val="both"/>
      </w:pPr>
      <w:r>
        <w:rPr>
          <w:rFonts w:ascii="Arial" w:cs="Arial" w:eastAsia="Arial" w:hAnsi="Arial"/>
          <w:sz w:val="22"/>
          <w:szCs w:val="22"/>
        </w:rPr>
        <w:t xml:space="preserve">El mismo formulario se emplea para crear y para editar. Agrupa los datos de identificación del producto (nombre, categoría, presentación y código de barras) y los datos comerciales y de existencias (precio de compra, precio de venta, stock inicial y stock mínimo de alerta). El precio de venta se registra de forma independiente del costo: el sistema puede sugerirlo a partir del margen, pero nunca lo modifica de manera automática.</w:t>
      </w:r>
    </w:p>
    <w:p>
      <w:pPr>
        <w:spacing w:after="20" w:before="60"/>
        <w:jc w:val="center"/>
      </w:pPr>
      <w:r>
        <w:drawing>
          <wp:inline distT="0" distB="0" distL="0" distR="0">
            <wp:extent cx="4953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45720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13. Formulario de registro y edición de producto. Fuente: del autor.</w:t>
      </w:r>
    </w:p>
    <w:p>
      <w:pPr>
        <w:pStyle w:val="Heading2"/>
        <w:spacing w:after="80" w:before="150"/>
      </w:pPr>
      <w:bookmarkStart w:name="bm31" w:id="31"/>
      <w:r>
        <w:rPr>
          <w:rFonts w:ascii="Arial" w:cs="Arial" w:eastAsia="Arial" w:hAnsi="Arial"/>
          <w:b/>
          <w:bCs/>
          <w:color w:val="2E5496"/>
          <w:sz w:val="23"/>
          <w:szCs w:val="23"/>
        </w:rPr>
        <w:t xml:space="preserve">8.5 Punto de venta</w:t>
      </w:r>
      <w:bookmarkEnd w:id="31"/>
    </w:p>
    <w:p>
      <w:pPr>
        <w:spacing w:after="110" w:line="262"/>
        <w:jc w:val="both"/>
      </w:pPr>
      <w:r>
        <w:rPr>
          <w:rFonts w:ascii="Arial" w:cs="Arial" w:eastAsia="Arial" w:hAnsi="Arial"/>
          <w:sz w:val="22"/>
          <w:szCs w:val="22"/>
        </w:rPr>
        <w:t xml:space="preserve">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subtotal, el descuento, el total, los medios de pago y la acción de cobro, que muestra el valor a cobrar en la propia etiqueta del botón.</w:t>
      </w:r>
    </w:p>
    <w:p>
      <w:pPr>
        <w:spacing w:after="110" w:line="262"/>
        <w:jc w:val="both"/>
      </w:pPr>
      <w:r>
        <w:rPr>
          <w:rFonts w:ascii="Arial" w:cs="Arial" w:eastAsia="Arial" w:hAnsi="Arial"/>
          <w:sz w:val="22"/>
          <w:szCs w:val="22"/>
        </w:rPr>
        <w:t xml:space="preserve">Al confirmar el cobro, el sistema descuenta las existencias consumiendo los lotes más antiguos, registra el costo real despachado y genera el comprobante de la venta.</w:t>
      </w:r>
    </w:p>
    <w:p>
      <w:pPr>
        <w:spacing w:after="20" w:before="60"/>
        <w:jc w:val="center"/>
      </w:pPr>
      <w:r>
        <w:drawing>
          <wp:inline distT="0" distB="0" distL="0" distR="0">
            <wp:extent cx="6096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8765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14. Punto de venta. Fuente: del autor.</w:t>
      </w:r>
    </w:p>
    <w:p>
      <w:pPr>
        <w:pStyle w:val="Heading2"/>
        <w:spacing w:after="80" w:before="150"/>
      </w:pPr>
      <w:bookmarkStart w:name="bm32" w:id="32"/>
      <w:r>
        <w:rPr>
          <w:rFonts w:ascii="Arial" w:cs="Arial" w:eastAsia="Arial" w:hAnsi="Arial"/>
          <w:b/>
          <w:bCs/>
          <w:color w:val="2E5496"/>
          <w:sz w:val="23"/>
          <w:szCs w:val="23"/>
        </w:rPr>
        <w:t xml:space="preserve">8.6 Reportes</w:t>
      </w:r>
      <w:bookmarkEnd w:id="32"/>
    </w:p>
    <w:p>
      <w:pPr>
        <w:spacing w:after="110" w:line="262"/>
        <w:jc w:val="both"/>
      </w:pPr>
      <w:r>
        <w:rPr>
          <w:rFonts w:ascii="Arial" w:cs="Arial" w:eastAsia="Arial" w:hAnsi="Arial"/>
          <w:sz w:val="22"/>
          <w:szCs w:val="22"/>
        </w:rPr>
        <w:t xml:space="preserve">Presenta los resultados del periodo seleccionado, que se indica en la barra superior junto a la acción de exportación. En la parte alta se ubican los indicadores del mes —ventas, utilidad y ticket promedio— y debajo, el comportamiento de las ventas por día y el listado de productos más vendidos con las unidades despachadas. La utilidad se calcula con el costo histórico de los lotes consumidos, no con el costo actual del producto.</w:t>
      </w:r>
    </w:p>
    <w:p>
      <w:pPr>
        <w:spacing w:after="20" w:before="60"/>
        <w:jc w:val="center"/>
      </w:pPr>
      <w:r>
        <w:drawing>
          <wp:inline distT="0" distB="0" distL="0" distR="0">
            <wp:extent cx="6096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5750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15. Reportes. Fuente: del autor.</w:t>
      </w:r>
    </w:p>
    <w:p>
      <w:pPr>
        <w:pStyle w:val="Heading1"/>
        <w:pageBreakBefore/>
        <w:spacing w:after="110" w:before="220"/>
      </w:pPr>
      <w:bookmarkStart w:name="bm33" w:id="33"/>
      <w:r>
        <w:rPr>
          <w:rFonts w:ascii="Arial" w:cs="Arial" w:eastAsia="Arial" w:hAnsi="Arial"/>
          <w:b/>
          <w:bCs/>
          <w:color w:val="1F3864"/>
          <w:sz w:val="27"/>
          <w:szCs w:val="27"/>
        </w:rPr>
        <w:t xml:space="preserve">9. Mensajes y estados de pantalla</w:t>
      </w:r>
      <w:bookmarkEnd w:id="33"/>
    </w:p>
    <w:p>
      <w:pPr>
        <w:spacing w:after="110" w:line="262"/>
        <w:jc w:val="both"/>
      </w:pPr>
      <w:r>
        <w:rPr>
          <w:rFonts w:ascii="Arial" w:cs="Arial" w:eastAsia="Arial" w:hAnsi="Arial"/>
          <w:sz w:val="22"/>
          <w:szCs w:val="22"/>
        </w:rPr>
        <w:t xml:space="preserve">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pPr>
        <w:spacing w:after="20" w:before="60"/>
        <w:jc w:val="center"/>
      </w:pPr>
      <w:r>
        <w:drawing>
          <wp:inline distT="0" distB="0" distL="0" distR="0">
            <wp:extent cx="6096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305050"/>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16. Mensajes del sistema y estado vacío. Fuente: del autor.</w:t>
      </w:r>
    </w:p>
    <w:p>
      <w:pPr>
        <w:pStyle w:val="Heading2"/>
        <w:spacing w:after="80" w:before="150"/>
      </w:pPr>
      <w:bookmarkStart w:name="bm34" w:id="34"/>
      <w:r>
        <w:rPr>
          <w:rFonts w:ascii="Arial" w:cs="Arial" w:eastAsia="Arial" w:hAnsi="Arial"/>
          <w:b/>
          <w:bCs/>
          <w:color w:val="2E5496"/>
          <w:sz w:val="23"/>
          <w:szCs w:val="23"/>
        </w:rPr>
        <w:t xml:space="preserve">9.1 Estados de una pantalla</w:t>
      </w:r>
      <w:bookmarkEnd w:id="34"/>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700"/>
        <w:gridCol w:w="3200"/>
        <w:gridCol w:w="4460"/>
      </w:tblGrid>
      <w:tr>
        <w:trPr>
          <w:tblHeader/>
        </w:trPr>
        <w:tc>
          <w:tcPr>
            <w:tcW w:type="dxa" w:w="17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Estado</w:t>
            </w:r>
          </w:p>
        </w:tc>
        <w:tc>
          <w:tcPr>
            <w:tcW w:type="dxa" w:w="3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Cuándo se presenta</w:t>
            </w:r>
          </w:p>
        </w:tc>
        <w:tc>
          <w:tcPr>
            <w:tcW w:type="dxa" w:w="44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Qué muestra la pantalla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 datos</w:t>
            </w:r>
          </w:p>
        </w:tc>
        <w:tc>
          <w:tcPr>
            <w:tcW w:type="dxa" w:w="3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Funcionamiento normal.</w:t>
            </w:r>
          </w:p>
        </w:tc>
        <w:tc>
          <w:tcPr>
            <w:tcW w:type="dxa" w:w="4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El contenido propio de la pantalla.</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Cargando</w:t>
            </w:r>
          </w:p>
        </w:tc>
        <w:tc>
          <w:tcPr>
            <w:tcW w:type="dxa" w:w="32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Mientras se consulta la información.</w:t>
            </w:r>
          </w:p>
        </w:tc>
        <w:tc>
          <w:tcPr>
            <w:tcW w:type="dxa" w:w="4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Marcadores de carga en el lugar del contenido, conservando la estructura.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Vacío inicial</w:t>
            </w:r>
          </w:p>
        </w:tc>
        <w:tc>
          <w:tcPr>
            <w:tcW w:type="dxa" w:w="3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El usuario aún no ha registrado datos.</w:t>
            </w:r>
          </w:p>
        </w:tc>
        <w:tc>
          <w:tcPr>
            <w:tcW w:type="dxa" w:w="4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Mensaje breve, explicación de un renglón y la acción para crear el primer registro.</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Sin resultados</w:t>
            </w:r>
          </w:p>
        </w:tc>
        <w:tc>
          <w:tcPr>
            <w:tcW w:type="dxa" w:w="32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La búsqueda o el filtro no arroja coincidencias.</w:t>
            </w:r>
          </w:p>
        </w:tc>
        <w:tc>
          <w:tcPr>
            <w:tcW w:type="dxa" w:w="4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Aviso de que no se encontraron resultados y sugerencia de modificar la búsqueda.</w:t>
            </w:r>
          </w:p>
        </w:tc>
      </w:tr>
      <w:tr>
        <w:trPr>
          <w:tblHeader w:val="false"/>
        </w:trPr>
        <w:tc>
          <w:tcPr>
            <w:tcW w:type="dxa" w:w="17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Error</w:t>
            </w:r>
          </w:p>
        </w:tc>
        <w:tc>
          <w:tcPr>
            <w:tcW w:type="dxa" w:w="3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Falla la operación o la conexión.</w:t>
            </w:r>
          </w:p>
        </w:tc>
        <w:tc>
          <w:tcPr>
            <w:tcW w:type="dxa" w:w="44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Mensaje en color de peligro con la causa y la opción de reintentar.</w:t>
            </w:r>
          </w:p>
        </w:tc>
      </w:tr>
      <w:tr>
        <w:trPr>
          <w:tblHeader w:val="false"/>
        </w:trPr>
        <w:tc>
          <w:tcPr>
            <w:tcW w:type="dxa" w:w="17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Sin permiso</w:t>
            </w:r>
          </w:p>
        </w:tc>
        <w:tc>
          <w:tcPr>
            <w:tcW w:type="dxa" w:w="32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El rol o el plan no habilitan la función.</w:t>
            </w:r>
          </w:p>
        </w:tc>
        <w:tc>
          <w:tcPr>
            <w:tcW w:type="dxa" w:w="44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Explicación del motivo y, cuando corresponde, la vía para cambiar de plan.</w:t>
            </w:r>
          </w:p>
        </w:tc>
      </w:tr>
    </w:tbl>
    <w:p>
      <w:pPr>
        <w:pStyle w:val="Heading2"/>
        <w:spacing w:after="80" w:before="150"/>
      </w:pPr>
      <w:bookmarkStart w:name="bm35" w:id="35"/>
      <w:r>
        <w:rPr>
          <w:rFonts w:ascii="Arial" w:cs="Arial" w:eastAsia="Arial" w:hAnsi="Arial"/>
          <w:b/>
          <w:bCs/>
          <w:color w:val="2E5496"/>
          <w:sz w:val="23"/>
          <w:szCs w:val="23"/>
        </w:rPr>
        <w:t xml:space="preserve">9.2 Redacción de los mensajes</w:t>
      </w:r>
      <w:bookmarkEnd w:id="35"/>
    </w:p>
    <w:p>
      <w:pPr>
        <w:spacing w:after="110" w:line="262"/>
        <w:jc w:val="both"/>
      </w:pPr>
      <w:r>
        <w:rPr>
          <w:rFonts w:ascii="Arial" w:cs="Arial" w:eastAsia="Arial" w:hAnsi="Arial"/>
          <w:sz w:val="22"/>
          <w:szCs w:val="22"/>
        </w:rPr>
        <w:t xml:space="preserve">Los textos siguen las mismas reglas en toda la aplicación:</w:t>
      </w:r>
    </w:p>
    <w:p>
      <w:pPr>
        <w:pStyle w:val="ListParagraph"/>
        <w:numPr>
          <w:ilvl w:val="0"/>
          <w:numId w:val="1"/>
        </w:numPr>
        <w:spacing w:after="60" w:line="258"/>
      </w:pPr>
      <w:r>
        <w:rPr>
          <w:rFonts w:ascii="Arial" w:cs="Arial" w:eastAsia="Arial" w:hAnsi="Arial"/>
          <w:sz w:val="22"/>
          <w:szCs w:val="22"/>
        </w:rPr>
        <w:t xml:space="preserve">Lenguaje sencillo y directo, sin términos técnicos ni códigos de error visibles para el usuario.</w:t>
      </w:r>
    </w:p>
    <w:p>
      <w:pPr>
        <w:pStyle w:val="ListParagraph"/>
        <w:numPr>
          <w:ilvl w:val="0"/>
          <w:numId w:val="1"/>
        </w:numPr>
        <w:spacing w:after="60" w:line="258"/>
      </w:pPr>
      <w:r>
        <w:rPr>
          <w:rFonts w:ascii="Arial" w:cs="Arial" w:eastAsia="Arial" w:hAnsi="Arial"/>
          <w:sz w:val="22"/>
          <w:szCs w:val="22"/>
        </w:rPr>
        <w:t xml:space="preserve">El mensaje describe qué ocurrió y qué hacer a continuación, en una sola frase cuando es posible.</w:t>
      </w:r>
    </w:p>
    <w:p>
      <w:pPr>
        <w:pStyle w:val="ListParagraph"/>
        <w:numPr>
          <w:ilvl w:val="0"/>
          <w:numId w:val="1"/>
        </w:numPr>
        <w:spacing w:after="60" w:line="258"/>
      </w:pPr>
      <w:r>
        <w:rPr>
          <w:rFonts w:ascii="Arial" w:cs="Arial" w:eastAsia="Arial" w:hAnsi="Arial"/>
          <w:sz w:val="22"/>
          <w:szCs w:val="22"/>
        </w:rPr>
        <w:t xml:space="preserve">Los mensajes de validación se ubican junto al campo que los origina; los de operación, en la parte superior del contenido o como aviso emergente.</w:t>
      </w:r>
    </w:p>
    <w:p>
      <w:pPr>
        <w:pStyle w:val="ListParagraph"/>
        <w:numPr>
          <w:ilvl w:val="0"/>
          <w:numId w:val="1"/>
        </w:numPr>
        <w:spacing w:after="60" w:line="258"/>
      </w:pPr>
      <w:r>
        <w:rPr>
          <w:rFonts w:ascii="Arial" w:cs="Arial" w:eastAsia="Arial" w:hAnsi="Arial"/>
          <w:sz w:val="22"/>
          <w:szCs w:val="22"/>
        </w:rPr>
        <w:t xml:space="preserve">Las confirmaciones de una acción rápida desaparecen solas; los errores permanecen hasta que el usuario los atiende.</w:t>
      </w:r>
    </w:p>
    <w:p>
      <w:pPr>
        <w:pStyle w:val="ListParagraph"/>
        <w:numPr>
          <w:ilvl w:val="0"/>
          <w:numId w:val="1"/>
        </w:numPr>
        <w:spacing w:after="60" w:line="258"/>
      </w:pPr>
      <w:r>
        <w:rPr>
          <w:rFonts w:ascii="Arial" w:cs="Arial" w:eastAsia="Arial" w:hAnsi="Arial"/>
          <w:sz w:val="22"/>
          <w:szCs w:val="22"/>
        </w:rPr>
        <w:t xml:space="preserve">No se responsabiliza al usuario del error ni se emplean expresiones de alarma.</w:t>
      </w:r>
    </w:p>
    <w:p>
      <w:pPr>
        <w:pStyle w:val="Heading1"/>
        <w:pageBreakBefore/>
        <w:spacing w:after="110" w:before="220"/>
      </w:pPr>
      <w:bookmarkStart w:name="bm36" w:id="36"/>
      <w:r>
        <w:rPr>
          <w:rFonts w:ascii="Arial" w:cs="Arial" w:eastAsia="Arial" w:hAnsi="Arial"/>
          <w:b/>
          <w:bCs/>
          <w:color w:val="1F3864"/>
          <w:sz w:val="27"/>
          <w:szCs w:val="27"/>
        </w:rPr>
        <w:t xml:space="preserve">10. Comportamiento responsivo y modo oscuro</w:t>
      </w:r>
      <w:bookmarkEnd w:id="36"/>
    </w:p>
    <w:p>
      <w:pPr>
        <w:spacing w:after="110" w:line="262"/>
        <w:jc w:val="both"/>
      </w:pPr>
      <w:r>
        <w:rPr>
          <w:rFonts w:ascii="Arial" w:cs="Arial" w:eastAsia="Arial" w:hAnsi="Arial"/>
          <w:sz w:val="22"/>
          <w:szCs w:val="22"/>
        </w:rPr>
        <w:t xml:space="preserve">La interfaz se adapta a los tamaños definidos en la sección 5.3. La adaptación no consiste en reducir la pantalla de escritorio, sino en reorganizar el contenido para conservar la facilidad de uso en cada dispositivo.</w:t>
      </w:r>
    </w:p>
    <w:p>
      <w:pPr>
        <w:pStyle w:val="Heading2"/>
        <w:spacing w:after="80" w:before="150"/>
      </w:pPr>
      <w:bookmarkStart w:name="bm37" w:id="37"/>
      <w:r>
        <w:rPr>
          <w:rFonts w:ascii="Arial" w:cs="Arial" w:eastAsia="Arial" w:hAnsi="Arial"/>
          <w:b/>
          <w:bCs/>
          <w:color w:val="2E5496"/>
          <w:sz w:val="23"/>
          <w:szCs w:val="23"/>
        </w:rPr>
        <w:t xml:space="preserve">10.1 Versión móvil</w:t>
      </w:r>
      <w:bookmarkEnd w:id="37"/>
    </w:p>
    <w:p>
      <w:pPr>
        <w:spacing w:after="110" w:line="262"/>
        <w:jc w:val="both"/>
      </w:pPr>
      <w:r>
        <w:rPr>
          <w:rFonts w:ascii="Arial" w:cs="Arial" w:eastAsia="Arial" w:hAnsi="Arial"/>
          <w:sz w:val="22"/>
          <w:szCs w:val="22"/>
        </w:rPr>
        <w:t xml:space="preserve">En el teléfono el contenido se presenta en una sola columna y la navegación lateral se traslada a una barra inferior con los accesos de uso frecuente. Los controles aumentan su área de toque y las tablas se convierten en listas, de modo que cada registro ocupe un renglón legible.</w:t>
      </w:r>
    </w:p>
    <w:p>
      <w:pPr>
        <w:pStyle w:val="ListParagraph"/>
        <w:numPr>
          <w:ilvl w:val="0"/>
          <w:numId w:val="1"/>
        </w:numPr>
        <w:spacing w:after="60" w:line="258"/>
      </w:pPr>
      <w:r>
        <w:rPr>
          <w:rFonts w:ascii="Arial" w:cs="Arial" w:eastAsia="Arial" w:hAnsi="Arial"/>
          <w:sz w:val="22"/>
          <w:szCs w:val="22"/>
        </w:rPr>
        <w:t xml:space="preserve">Inicio de sesión: formulario centrado, con los campos y el botón a todo el ancho.</w:t>
      </w:r>
    </w:p>
    <w:p>
      <w:pPr>
        <w:pStyle w:val="ListParagraph"/>
        <w:numPr>
          <w:ilvl w:val="0"/>
          <w:numId w:val="1"/>
        </w:numPr>
        <w:spacing w:after="60" w:line="258"/>
      </w:pPr>
      <w:r>
        <w:rPr>
          <w:rFonts w:ascii="Arial" w:cs="Arial" w:eastAsia="Arial" w:hAnsi="Arial"/>
          <w:sz w:val="22"/>
          <w:szCs w:val="22"/>
        </w:rPr>
        <w:t xml:space="preserve">Panel: los indicadores se agrupan de a dos por fila y las alertas de stock quedan inmediatamente debajo.</w:t>
      </w:r>
    </w:p>
    <w:p>
      <w:pPr>
        <w:pStyle w:val="ListParagraph"/>
        <w:numPr>
          <w:ilvl w:val="0"/>
          <w:numId w:val="1"/>
        </w:numPr>
        <w:spacing w:after="60" w:line="258"/>
      </w:pPr>
      <w:r>
        <w:rPr>
          <w:rFonts w:ascii="Arial" w:cs="Arial" w:eastAsia="Arial" w:hAnsi="Arial"/>
          <w:sz w:val="22"/>
          <w:szCs w:val="22"/>
        </w:rPr>
        <w:t xml:space="preserve">Punto de venta: buscador, lista de la venta en curso, total y medios de pago en una sola columna, con la acción de cobro fija en la parte inferior.</w:t>
      </w:r>
    </w:p>
    <w:p>
      <w:pPr>
        <w:spacing w:after="20" w:before="60"/>
        <w:jc w:val="center"/>
      </w:pPr>
      <w:r>
        <w:drawing>
          <wp:inline distT="0" distB="0" distL="0" distR="0">
            <wp:extent cx="6096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7146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17. Versión móvil: inicio de sesión, panel y punto de venta. Fuente: del autor.</w:t>
      </w:r>
    </w:p>
    <w:p>
      <w:pPr>
        <w:pStyle w:val="Heading2"/>
        <w:spacing w:after="80" w:before="150"/>
      </w:pPr>
      <w:bookmarkStart w:name="bm38" w:id="38"/>
      <w:r>
        <w:rPr>
          <w:rFonts w:ascii="Arial" w:cs="Arial" w:eastAsia="Arial" w:hAnsi="Arial"/>
          <w:b/>
          <w:bCs/>
          <w:color w:val="2E5496"/>
          <w:sz w:val="23"/>
          <w:szCs w:val="23"/>
        </w:rPr>
        <w:t xml:space="preserve">10.2 Tablet y escritorio</w:t>
      </w:r>
      <w:bookmarkEnd w:id="38"/>
    </w:p>
    <w:p>
      <w:pPr>
        <w:spacing w:after="110" w:line="262"/>
        <w:jc w:val="both"/>
      </w:pPr>
      <w:r>
        <w:rPr>
          <w:rFonts w:ascii="Arial" w:cs="Arial" w:eastAsia="Arial" w:hAnsi="Arial"/>
          <w:sz w:val="22"/>
          <w:szCs w:val="22"/>
        </w:rPr>
        <w:t xml:space="preserve">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pPr>
        <w:pStyle w:val="Heading2"/>
        <w:spacing w:after="80" w:before="150"/>
      </w:pPr>
      <w:bookmarkStart w:name="bm39" w:id="39"/>
      <w:r>
        <w:rPr>
          <w:rFonts w:ascii="Arial" w:cs="Arial" w:eastAsia="Arial" w:hAnsi="Arial"/>
          <w:b/>
          <w:bCs/>
          <w:color w:val="2E5496"/>
          <w:sz w:val="23"/>
          <w:szCs w:val="23"/>
        </w:rPr>
        <w:t xml:space="preserve">10.3 Modo oscuro</w:t>
      </w:r>
      <w:bookmarkEnd w:id="39"/>
    </w:p>
    <w:p>
      <w:pPr>
        <w:spacing w:after="110" w:line="262"/>
        <w:jc w:val="both"/>
      </w:pPr>
      <w:r>
        <w:rPr>
          <w:rFonts w:ascii="Arial" w:cs="Arial" w:eastAsia="Arial" w:hAnsi="Arial"/>
          <w:sz w:val="22"/>
          <w:szCs w:val="22"/>
        </w:rPr>
        <w:t xml:space="preserve">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w:t>
      </w:r>
    </w:p>
    <w:p>
      <w:pPr>
        <w:spacing w:after="20" w:before="60"/>
        <w:jc w:val="center"/>
      </w:pPr>
      <w:r>
        <w:drawing>
          <wp:inline distT="0" distB="0" distL="0" distR="0">
            <wp:extent cx="6096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057525"/>
                    </a:xfrm>
                    <a:prstGeom prst="rect">
                      <a:avLst/>
                    </a:prstGeom>
                  </pic:spPr>
                </pic:pic>
              </a:graphicData>
            </a:graphic>
          </wp:inline>
        </w:drawing>
      </w:r>
    </w:p>
    <w:p>
      <w:pPr>
        <w:spacing w:after="150" w:before="6"/>
        <w:jc w:val="center"/>
      </w:pPr>
      <w:r>
        <w:rPr>
          <w:rFonts w:ascii="Arial" w:cs="Arial" w:eastAsia="Arial" w:hAnsi="Arial"/>
          <w:i/>
          <w:iCs/>
          <w:color w:val="5B6678"/>
          <w:sz w:val="18"/>
          <w:szCs w:val="18"/>
        </w:rPr>
        <w:t xml:space="preserve">Figura 18. Panel principal en modo oscuro. Fuente: del autor.</w:t>
      </w:r>
    </w:p>
    <w:p>
      <w:pPr>
        <w:pStyle w:val="Heading1"/>
        <w:pageBreakBefore/>
        <w:spacing w:after="110" w:before="220"/>
      </w:pPr>
      <w:bookmarkStart w:name="bm40" w:id="40"/>
      <w:r>
        <w:rPr>
          <w:rFonts w:ascii="Arial" w:cs="Arial" w:eastAsia="Arial" w:hAnsi="Arial"/>
          <w:b/>
          <w:bCs/>
          <w:color w:val="1F3864"/>
          <w:sz w:val="27"/>
          <w:szCs w:val="27"/>
        </w:rPr>
        <w:t xml:space="preserve">11. Conclusión</w:t>
      </w:r>
      <w:bookmarkEnd w:id="40"/>
    </w:p>
    <w:p>
      <w:pPr>
        <w:spacing w:after="110" w:line="262"/>
        <w:jc w:val="both"/>
      </w:pPr>
      <w:r>
        <w:rPr>
          <w:rFonts w:ascii="Arial" w:cs="Arial" w:eastAsia="Arial" w:hAnsi="Arial"/>
          <w:sz w:val="22"/>
          <w:szCs w:val="22"/>
        </w:rPr>
        <w:t xml:space="preserve">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pPr>
        <w:spacing w:after="110" w:line="262"/>
        <w:jc w:val="both"/>
      </w:pPr>
      <w:r>
        <w:rPr>
          <w:rFonts w:ascii="Arial" w:cs="Arial" w:eastAsia="Arial" w:hAnsi="Arial"/>
          <w:sz w:val="22"/>
          <w:szCs w:val="22"/>
        </w:rPr>
        <w:t xml:space="preserve">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pPr>
        <w:pStyle w:val="Heading1"/>
        <w:pageBreakBefore/>
        <w:spacing w:after="110" w:before="220"/>
      </w:pPr>
      <w:bookmarkStart w:name="bm41" w:id="41"/>
      <w:r>
        <w:rPr>
          <w:rFonts w:ascii="Arial" w:cs="Arial" w:eastAsia="Arial" w:hAnsi="Arial"/>
          <w:b/>
          <w:bCs/>
          <w:color w:val="1F3864"/>
          <w:sz w:val="27"/>
          <w:szCs w:val="27"/>
        </w:rPr>
        <w:t xml:space="preserve">12. Glosario</w:t>
      </w:r>
      <w:bookmarkEnd w:id="41"/>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100"/>
        <w:gridCol w:w="7260"/>
      </w:tblGrid>
      <w:tr>
        <w:trPr>
          <w:tblHeader/>
        </w:trPr>
        <w:tc>
          <w:tcPr>
            <w:tcW w:type="dxa" w:w="21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Término</w:t>
            </w:r>
          </w:p>
        </w:tc>
        <w:tc>
          <w:tcPr>
            <w:tcW w:type="dxa" w:w="7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Definición</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Accesibilidad</w:t>
            </w:r>
          </w:p>
        </w:tc>
        <w:tc>
          <w:tcPr>
            <w:tcW w:type="dxa" w:w="7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Conjunto de prácticas que permiten que la interfaz pueda ser usada por personas con distintas capacidades y condiciones de uso.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Componente</w:t>
            </w:r>
          </w:p>
        </w:tc>
        <w:tc>
          <w:tcPr>
            <w:tcW w:type="dxa" w:w="72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Elemento reutilizable de la interfaz, con una función y una apariencia definidas, que se repite en distintas pantallas.</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CTA</w:t>
            </w:r>
          </w:p>
        </w:tc>
        <w:tc>
          <w:tcPr>
            <w:tcW w:type="dxa" w:w="7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Color y botón reservados para la acción principal de una pantalla, del inglés «call to action» o llamado a la acción.</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Estado</w:t>
            </w:r>
          </w:p>
        </w:tc>
        <w:tc>
          <w:tcPr>
            <w:tcW w:type="dxa" w:w="72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Situación en que se encuentra un componente o una pantalla y que determina su apariencia y su comportamiento.</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Etiqueta de estado</w:t>
            </w:r>
          </w:p>
        </w:tc>
        <w:tc>
          <w:tcPr>
            <w:tcW w:type="dxa" w:w="7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Marca breve y de color que identifica la situación de un registro, como activo, stock bajo o anulada.</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Modo oscuro</w:t>
            </w:r>
          </w:p>
        </w:tc>
        <w:tc>
          <w:tcPr>
            <w:tcW w:type="dxa" w:w="72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Variante de la interfaz con fondos oscuros y texto claro, pensada para ambientes de poca luz.</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Punto de quiebre</w:t>
            </w:r>
          </w:p>
        </w:tc>
        <w:tc>
          <w:tcPr>
            <w:tcW w:type="dxa" w:w="7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Ancho de pantalla a partir del cual la disposición del contenido cambia.</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Rejilla</w:t>
            </w:r>
          </w:p>
        </w:tc>
        <w:tc>
          <w:tcPr>
            <w:tcW w:type="dxa" w:w="72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Sistema de columnas y márgenes que ordena la ubicación de los elementos en la pantalla.</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Responsivo</w:t>
            </w:r>
          </w:p>
        </w:tc>
        <w:tc>
          <w:tcPr>
            <w:tcW w:type="dxa" w:w="7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Capacidad de la interfaz de adaptar su disposición al tamaño de la pantalla en que se muestra.</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Sistema de diseño</w:t>
            </w:r>
          </w:p>
        </w:tc>
        <w:tc>
          <w:tcPr>
            <w:tcW w:type="dxa" w:w="72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Conjunto de reglas, estilos y componentes que garantiza la coherencia visual y de comportamiento del producto.</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Texto de ayuda</w:t>
            </w:r>
          </w:p>
        </w:tc>
        <w:tc>
          <w:tcPr>
            <w:tcW w:type="dxa" w:w="7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Indicación breve bajo un campo que explica el dato esperado o su formato.</w:t>
            </w:r>
          </w:p>
        </w:tc>
      </w:tr>
      <w:tr>
        <w:trPr>
          <w:tblHeader w:val="false"/>
        </w:trPr>
        <w:tc>
          <w:tcPr>
            <w:tcW w:type="dxa" w:w="21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Ventana modal</w:t>
            </w:r>
          </w:p>
        </w:tc>
        <w:tc>
          <w:tcPr>
            <w:tcW w:type="dxa" w:w="72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Ventana que se superpone al contenido y exige una respuesta antes de continuar.</w:t>
            </w:r>
          </w:p>
        </w:tc>
      </w:tr>
      <w:tr>
        <w:trPr>
          <w:tblHeader w:val="false"/>
        </w:trPr>
        <w:tc>
          <w:tcPr>
            <w:tcW w:type="dxa" w:w="21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WCAG</w:t>
            </w:r>
          </w:p>
        </w:tc>
        <w:tc>
          <w:tcPr>
            <w:tcW w:type="dxa" w:w="7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Pautas internacionales de accesibilidad para contenido web, publicadas por el W3C.</w:t>
            </w:r>
          </w:p>
        </w:tc>
      </w:tr>
    </w:tbl>
    <w:p>
      <w:pPr>
        <w:pStyle w:val="Heading1"/>
        <w:pageBreakBefore/>
        <w:spacing w:after="110" w:before="220"/>
      </w:pPr>
      <w:bookmarkStart w:name="bm42" w:id="42"/>
      <w:r>
        <w:rPr>
          <w:rFonts w:ascii="Arial" w:cs="Arial" w:eastAsia="Arial" w:hAnsi="Arial"/>
          <w:b/>
          <w:bCs/>
          <w:color w:val="1F3864"/>
          <w:sz w:val="27"/>
          <w:szCs w:val="27"/>
        </w:rPr>
        <w:t xml:space="preserve">13. Referencias</w:t>
      </w:r>
      <w:bookmarkEnd w:id="42"/>
    </w:p>
    <w:p>
      <w:pPr>
        <w:spacing w:after="110" w:line="262"/>
        <w:jc w:val="both"/>
      </w:pPr>
      <w:r>
        <w:rPr>
          <w:rFonts w:ascii="Arial" w:cs="Arial" w:eastAsia="Arial" w:hAnsi="Arial"/>
          <w:sz w:val="22"/>
          <w:szCs w:val="22"/>
        </w:rPr>
        <w:t xml:space="preserve">Documentos del proyecto:</w:t>
      </w:r>
    </w:p>
    <w:p>
      <w:pPr>
        <w:pStyle w:val="ListParagraph"/>
        <w:numPr>
          <w:ilvl w:val="0"/>
          <w:numId w:val="1"/>
        </w:numPr>
        <w:spacing w:after="60" w:line="258"/>
      </w:pPr>
      <w:r>
        <w:rPr>
          <w:rFonts w:ascii="Arial" w:cs="Arial" w:eastAsia="Arial" w:hAnsi="Arial"/>
          <w:sz w:val="22"/>
          <w:szCs w:val="22"/>
        </w:rPr>
        <w:t xml:space="preserve">Especificación de requisitos de software INVENTRA (IEEE 830), revisión 1.</w:t>
      </w:r>
    </w:p>
    <w:p>
      <w:pPr>
        <w:pStyle w:val="ListParagraph"/>
        <w:numPr>
          <w:ilvl w:val="0"/>
          <w:numId w:val="1"/>
        </w:numPr>
        <w:spacing w:after="60" w:line="258"/>
      </w:pPr>
      <w:r>
        <w:rPr>
          <w:rFonts w:ascii="Arial" w:cs="Arial" w:eastAsia="Arial" w:hAnsi="Arial"/>
          <w:sz w:val="22"/>
          <w:szCs w:val="22"/>
        </w:rPr>
        <w:t xml:space="preserve">Modelo entidad-relación, modelo relacional y diccionario de datos de INVENTRA, revisión 1.</w:t>
      </w:r>
    </w:p>
    <w:p>
      <w:pPr>
        <w:pStyle w:val="ListParagraph"/>
        <w:numPr>
          <w:ilvl w:val="0"/>
          <w:numId w:val="1"/>
        </w:numPr>
        <w:spacing w:after="60" w:line="258"/>
      </w:pPr>
      <w:r>
        <w:rPr>
          <w:rFonts w:ascii="Arial" w:cs="Arial" w:eastAsia="Arial" w:hAnsi="Arial"/>
          <w:sz w:val="22"/>
          <w:szCs w:val="22"/>
        </w:rPr>
        <w:t xml:space="preserve">Documento de análisis y diseño en UML de INVENTRA, revisión 1.</w:t>
      </w:r>
    </w:p>
    <w:p>
      <w:pPr>
        <w:pStyle w:val="ListParagraph"/>
        <w:numPr>
          <w:ilvl w:val="0"/>
          <w:numId w:val="1"/>
        </w:numPr>
        <w:spacing w:after="60" w:line="258"/>
      </w:pPr>
      <w:r>
        <w:rPr>
          <w:rFonts w:ascii="Arial" w:cs="Arial" w:eastAsia="Arial" w:hAnsi="Arial"/>
          <w:sz w:val="22"/>
          <w:szCs w:val="22"/>
        </w:rPr>
        <w:t xml:space="preserve">Prototipo de interfaz de INVENTRA (web y móvil, modo claro y modo oscuro).</w:t>
      </w:r>
    </w:p>
    <w:p>
      <w:pPr>
        <w:spacing w:after="110" w:line="262"/>
        <w:jc w:val="both"/>
      </w:pPr>
      <w:r>
        <w:rPr>
          <w:rFonts w:ascii="Arial" w:cs="Arial" w:eastAsia="Arial" w:hAnsi="Arial"/>
          <w:sz w:val="22"/>
          <w:szCs w:val="22"/>
        </w:rPr>
        <w:t xml:space="preserve">Fuentes externas:</w:t>
      </w:r>
    </w:p>
    <w:p>
      <w:pPr>
        <w:pStyle w:val="ListParagraph"/>
        <w:numPr>
          <w:ilvl w:val="0"/>
          <w:numId w:val="1"/>
        </w:numPr>
        <w:spacing w:after="60" w:line="258"/>
      </w:pPr>
      <w:r>
        <w:rPr>
          <w:rFonts w:ascii="Arial" w:cs="Arial" w:eastAsia="Arial" w:hAnsi="Arial"/>
          <w:sz w:val="22"/>
          <w:szCs w:val="22"/>
        </w:rPr>
        <w:t xml:space="preserve">World Wide Web Consortium. Web Content Accessibility Guidelines (WCAG) 2.1. W3C, 2018.</w:t>
      </w:r>
    </w:p>
    <w:p>
      <w:pPr>
        <w:pStyle w:val="ListParagraph"/>
        <w:numPr>
          <w:ilvl w:val="0"/>
          <w:numId w:val="1"/>
        </w:numPr>
        <w:spacing w:after="60" w:line="258"/>
      </w:pPr>
      <w:r>
        <w:rPr>
          <w:rFonts w:ascii="Arial" w:cs="Arial" w:eastAsia="Arial" w:hAnsi="Arial"/>
          <w:sz w:val="22"/>
          <w:szCs w:val="22"/>
        </w:rPr>
        <w:t xml:space="preserve">Nielsen, J. Diez heurísticas generales para el diseño de interfaces de usuario. Nielsen Norman Group, 1994.</w:t>
      </w:r>
    </w:p>
    <w:p>
      <w:pPr>
        <w:pStyle w:val="ListParagraph"/>
        <w:numPr>
          <w:ilvl w:val="0"/>
          <w:numId w:val="1"/>
        </w:numPr>
        <w:spacing w:after="60" w:line="258"/>
      </w:pPr>
      <w:r>
        <w:rPr>
          <w:rFonts w:ascii="Arial" w:cs="Arial" w:eastAsia="Arial" w:hAnsi="Arial"/>
          <w:sz w:val="22"/>
          <w:szCs w:val="22"/>
        </w:rPr>
        <w:t xml:space="preserve">Krug, S. No me hagas pensar: una aproximación a la usabilidad en la web. 3.ª edición. Pearson, 2015.</w:t>
      </w:r>
    </w:p>
    <w:p>
      <w:pPr>
        <w:pStyle w:val="ListParagraph"/>
        <w:numPr>
          <w:ilvl w:val="0"/>
          <w:numId w:val="1"/>
        </w:numPr>
        <w:spacing w:after="60" w:line="258"/>
      </w:pPr>
      <w:r>
        <w:rPr>
          <w:rFonts w:ascii="Arial" w:cs="Arial" w:eastAsia="Arial" w:hAnsi="Arial"/>
          <w:sz w:val="22"/>
          <w:szCs w:val="22"/>
        </w:rPr>
        <w:t xml:space="preserve">Familia tipográfica Inter, de distribución libre bajo licencia SIL Open Font License.</w:t>
      </w: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12daa0b404f7bb4de008d44b72ad9af650626d5.png"/><Relationship Id="rId9" Type="http://schemas.openxmlformats.org/officeDocument/2006/relationships/image" Target="media/0266f7a6ed8d2d92e19304ef9d90ca70b2444f71.png"/><Relationship Id="rId10" Type="http://schemas.openxmlformats.org/officeDocument/2006/relationships/image" Target="media/776390b0f98c0eab657e029e090190d3594b77ac.png"/><Relationship Id="rId11" Type="http://schemas.openxmlformats.org/officeDocument/2006/relationships/image" Target="media/fb25fc2bf408f40a2bc2256e18e68ece802530f3.png"/><Relationship Id="rId12" Type="http://schemas.openxmlformats.org/officeDocument/2006/relationships/image" Target="media/5a96bcbc4daefd51ce2063bfe7d7ea1568bae233.png"/><Relationship Id="rId13" Type="http://schemas.openxmlformats.org/officeDocument/2006/relationships/image" Target="media/c379abdf77f4127957cf82c3a460a47d89e43ded.png"/><Relationship Id="rId14" Type="http://schemas.openxmlformats.org/officeDocument/2006/relationships/image" Target="media/7ed790fab55a7e38b486dd10cebe439d5227856b.png"/><Relationship Id="rId15" Type="http://schemas.openxmlformats.org/officeDocument/2006/relationships/image" Target="media/feea482ca4f5a271b3ffe860d99589a7347df5c9.png"/><Relationship Id="rId16" Type="http://schemas.openxmlformats.org/officeDocument/2006/relationships/image" Target="media/14146369b6e0423063f67a24ae2fdbb88329d09d.png"/><Relationship Id="rId17" Type="http://schemas.openxmlformats.org/officeDocument/2006/relationships/image" Target="media/028afa3b078b75303214be99dabe92e78945c238.png"/><Relationship Id="rId18" Type="http://schemas.openxmlformats.org/officeDocument/2006/relationships/image" Target="media/03b9b31baeff6d19651bd835ce574e3773abaefe.png"/><Relationship Id="rId19" Type="http://schemas.openxmlformats.org/officeDocument/2006/relationships/image" Target="media/51cd183d95a47aa127ce8f35ed276e1a9999b855.png"/><Relationship Id="rId20" Type="http://schemas.openxmlformats.org/officeDocument/2006/relationships/image" Target="media/7e55a5949630c714c9356e7e96b86a2c2af4a0f4.png"/><Relationship Id="rId21" Type="http://schemas.openxmlformats.org/officeDocument/2006/relationships/image" Target="media/e38b8f4ced507176d4688a930c620f2797d8b7a1.png"/><Relationship Id="rId22" Type="http://schemas.openxmlformats.org/officeDocument/2006/relationships/image" Target="media/85e2918e2e54c63974e63a483dfbc1f42e141fef.png"/><Relationship Id="rId23" Type="http://schemas.openxmlformats.org/officeDocument/2006/relationships/image" Target="media/244a67b7fd1229e880c958f62663e750bc399fc6.png"/><Relationship Id="rId24" Type="http://schemas.openxmlformats.org/officeDocument/2006/relationships/image" Target="media/e82ba50a69bb164e73ad43f425c14b44dd7fbed1.png"/><Relationship Id="rId25" Type="http://schemas.openxmlformats.org/officeDocument/2006/relationships/image" Target="media/eede7ee58d246bb17f49b902f8813d952667a541.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2026-09-11T13:27:44.924Z</dcterms:created>
  <dcterms:modified xsi:type="dcterms:W3CDTF">2026-09-11T13:27:44.924Z</dcterms:modified>
</cp:coreProperties>
</file>

<file path=docProps/custom.xml><?xml version="1.0" encoding="utf-8"?>
<Properties xmlns="http://schemas.openxmlformats.org/officeDocument/2006/custom-properties" xmlns:vt="http://schemas.openxmlformats.org/officeDocument/2006/docPropsVTypes"/>
</file>