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 w:line="264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PROPUESTA TÉCNICA Y ECONÓMICA</w:t>
      </w:r>
    </w:p>
    <w:p>
      <w:pPr>
        <w:spacing w:after="0" w:before="150" w:line="264"/>
        <w:jc w:val="center"/>
      </w:pPr>
      <w:r>
        <w:rPr>
          <w:rFonts w:ascii="Arial" w:cs="Arial" w:eastAsia="Arial" w:hAnsi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after="0" w:before="260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CRISTIAN DARÍO MACÍAS ESPITIA</w:t>
      </w:r>
    </w:p>
    <w:p>
      <w:pPr>
        <w:spacing w:after="0" w:before="270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SERVICIO NACIONAL DE APRENDIZAJE (SENA)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CENTRO DE FORMACIÓN EN DISEÑO, CONFECCIÓN Y MODA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ANÁLISIS Y DESARROLLO DE SOFTWARE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MEDELLÍN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2026</w:t>
      </w:r>
    </w:p>
    <w:p>
      <w:pPr>
        <w:pageBreakBefore/>
        <w:spacing w:after="20" w:before="1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Ficha del documento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400"/>
        <w:gridCol w:w="1100"/>
        <w:gridCol w:w="3200"/>
        <w:gridCol w:w="366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Revisión</w:t>
            </w:r>
          </w:p>
        </w:tc>
        <w:tc>
          <w:tcPr>
            <w:tcW w:type="dxa" w:w="3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3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Basado en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12/09/2026</w:t>
            </w:r>
          </w:p>
        </w:tc>
        <w:tc>
          <w:tcPr>
            <w:tcW w:type="dxa" w:w="1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Cristian Darío Macías Espitia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ERS, MER, UML, backlog, documento de diseño y modelo de negocio</w:t>
            </w:r>
          </w:p>
        </w:tc>
      </w:tr>
    </w:tbl>
    <w:p>
      <w:pPr>
        <w:pageBreakBefore/>
        <w:spacing w:after="15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Tabla de contenido</w:t>
      </w:r>
    </w:p>
    <w:p>
      <w:pPr>
        <w:tabs>
          <w:tab w:val="right" w:pos="9200" w:leader="dot"/>
        </w:tabs>
        <w:spacing w:after="40" w:line="252"/>
      </w:pPr>
      <w:hyperlink w:history="1" w:anchor="bm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1. Introducción, objeto y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1.1 Objeto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1.2 Alcance funcional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bm3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4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1.3 Condiciones del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bm4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5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2. Solución técnica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2.1 Arquitectura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2.2 Tecnologías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2.3 Documentos de referencia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bm8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9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3. Metodología de trabajo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4. Plan de trabajo y cronograma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bm10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1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4.1 Estructura por sprints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4.2 Cronograma general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4.3 Entregables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bm13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4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5. Equipo de trabajo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bm14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5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6. Propuesta económica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6.1 Costo del personal durante el desarrollo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6.2 Equipos, software e infraestructura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6.3 Otros rubros del proyecto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bm18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9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6.4 Resumen del presupuesto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7. Supuestos y condiciones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bm20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8. Entrega, garantía y soporte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bm21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2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9. Conclusión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bm22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3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10. Referencias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bm23</w:instrText>
        <w:fldChar w:fldCharType="end"/>
      </w:r>
    </w:p>
    <w:p>
      <w:pPr>
        <w:pStyle w:val="Heading1"/>
        <w:spacing w:after="110" w:before="220"/>
      </w:pPr>
      <w:bookmarkStart w:name="bm1" w:id="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Introducción, objeto y alcance</w:t>
      </w:r>
      <w:bookmarkEnd w:id="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definidos.</w:t>
      </w:r>
    </w:p>
    <w:p>
      <w:pPr>
        <w:pStyle w:val="Heading2"/>
        <w:spacing w:after="80" w:before="150"/>
      </w:pPr>
      <w:bookmarkStart w:name="bm2" w:id="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1.1 Objeto</w:t>
      </w:r>
      <w:bookmarkEnd w:id="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producto.</w:t>
      </w:r>
    </w:p>
    <w:p>
      <w:pPr>
        <w:pStyle w:val="Heading2"/>
        <w:spacing w:after="80" w:before="150"/>
      </w:pPr>
      <w:bookmarkStart w:name="bm3" w:id="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1.2 Alcance funcional</w:t>
      </w:r>
      <w:bookmarkEnd w:id="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solución se organiza en ocho módulos funcionales, que corresponden a los definidos en la especificación de requisitos y en el análisis y diseño en UML: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000"/>
        <w:gridCol w:w="4660"/>
        <w:gridCol w:w="1350"/>
        <w:gridCol w:w="135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4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13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Historias</w:t>
            </w:r>
          </w:p>
        </w:tc>
        <w:tc>
          <w:tcPr>
            <w:tcW w:type="dxa" w:w="13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 — Seguridad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y autenticación de usuarios, roles y permisos, recuperación de contraseña e inactivación.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SUS — Suscripciones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licoreras, planes Básico y Pro, estado de la suscripción y restricción de funciones por plan.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INV — Inventario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Catálogo de productos, entradas por lote, valoración PEPS, kardex, ajustes y alertas de existencias.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 — Ventas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Punto de venta, medios de pago, comprobante, anulación con reversión de lotes y cierre de caja.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 — Reportes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Ventas por período, inventario valorizado, más vendidos, rotación, utilidad y exportación.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SED — Multisede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sedes, asignación de usuarios, inventario por sede y traslados de mercancía.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 — Facturación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Datos fiscales, emisión de factura electrónica, consulta y reenvío, y nota crédito.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 — Auditoría</w:t>
            </w:r>
          </w:p>
        </w:tc>
        <w:tc>
          <w:tcPr>
            <w:tcW w:type="dxa" w:w="4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Registro de eventos, consulta de auditoría, copias de seguridad y restauración.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4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Cuarenta y ocho requisitos funcionales.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3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168</w:t>
            </w:r>
          </w:p>
        </w:tc>
      </w:tr>
    </w:tbl>
    <w:p>
      <w:pPr>
        <w:pStyle w:val="Heading2"/>
        <w:spacing w:after="80" w:before="150"/>
      </w:pPr>
      <w:bookmarkStart w:name="bm4" w:id="4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1.3 Condiciones del alcance</w:t>
      </w:r>
      <w:bookmarkEnd w:id="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Las siguientes condiciones fueron definidas durante el análisis y se mantienen en esta propuesta: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cobro con pasarela de pagos se integra en modo de pruebas, sin transacciones reales.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módulo multisede se desarrolla completo y se demuestra con datos de ejemplo.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valoración del inventario se realiza por el método de primeras entradas, primeras salidas, con control por lote. El precio de venta se administra de forma independiente del costo.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No se incluyen desarrollos a la medida para un cliente en particular ni integraciones con sistemas contables de terceros.</w:t>
      </w:r>
    </w:p>
    <w:p>
      <w:pPr>
        <w:pStyle w:val="Heading1"/>
        <w:pageBreakBefore/>
        <w:spacing w:after="110" w:before="220"/>
      </w:pPr>
      <w:bookmarkStart w:name="bm5" w:id="5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Solución técnica</w:t>
      </w:r>
      <w:bookmarkEnd w:id="5"/>
    </w:p>
    <w:p>
      <w:pPr>
        <w:pStyle w:val="Heading2"/>
        <w:spacing w:after="80" w:before="150"/>
      </w:pPr>
      <w:bookmarkStart w:name="bm6" w:id="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2.1 Arquitectura</w:t>
      </w:r>
      <w:bookmarkEnd w:id="6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Cada licorera opera como un inquilino independiente dentro de la misma instancia: la información de negocio se identifica con la licorera a la que pertenece, de modo que los datos de un cliente no son visibles para otro.</w:t>
      </w:r>
    </w:p>
    <w:p>
      <w:pPr>
        <w:pStyle w:val="Heading2"/>
        <w:spacing w:after="80" w:before="150"/>
      </w:pPr>
      <w:bookmarkStart w:name="bm7" w:id="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2.2 Tecnologías</w:t>
      </w:r>
      <w:bookmarkEnd w:id="7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3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de aplicación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Django con Django REST Framework (Python)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Lógica de negocio y publicación de la interfaz REST.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MySQL 8 con motor InnoDB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Almacenamiento transaccional de las veinticuatro entidades del modelo.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Cliente web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React (Node y npm)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Interfaz de usuario para escritorio y dispositivos móviles.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Comunicación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API REST sobre HTTPS, con formato JSON y autenticación por token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Intercambio entre el cliente y el servidor.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web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Nginx y Gunicorn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Publicación de la aplicación y atención de las peticiones.</w:t>
            </w:r>
          </w:p>
        </w:tc>
      </w:tr>
      <w:tr>
        <w:trPr>
          <w:tblHeader w:val="false"/>
        </w:trPr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Servicios externos</w:t>
            </w:r>
          </w:p>
        </w:tc>
        <w:tc>
          <w:tcPr>
            <w:tcW w:type="dxa" w:w="3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 tecnológico DIAN y pasarela de pagos, en ambiente de pruebas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Facturación electrónica y cobro.</w:t>
            </w:r>
          </w:p>
        </w:tc>
      </w:tr>
    </w:tbl>
    <w:p>
      <w:pPr>
        <w:pStyle w:val="Heading2"/>
        <w:spacing w:after="80" w:before="150"/>
      </w:pPr>
      <w:bookmarkStart w:name="bm8" w:id="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2.3 Documentos de referencia</w:t>
      </w:r>
      <w:bookmarkEnd w:id="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propuesta se sustenta en los siguientes documentos del proyecto, todos en revisión 1: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Especificación de requisitos de software (IEEE 830): 48 requisitos funcionales y 8 no funcionales.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entidad-relación, modelo relacional y diccionario de datos: 24 entidades y 30 relaciones.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de análisis y diseño en UML: actores, clases del dominio, componentes, despliegue, diagramas de actividades y 48 casos de uso extendidos.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Historias de usuario y product backlog: 48 historias priorizadas y estimadas en 168 puntos.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técnico de diseño: identidad visual, componentes, formularios y pantallas.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de negocio (formato CREAR) y su proyección financiera.</w:t>
      </w:r>
    </w:p>
    <w:p>
      <w:pPr>
        <w:pStyle w:val="Heading1"/>
        <w:pageBreakBefore/>
        <w:spacing w:after="110" w:before="220"/>
      </w:pPr>
      <w:bookmarkStart w:name="bm9" w:id="9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Metodología de trabajo</w:t>
      </w:r>
      <w:bookmarkEnd w:id="9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Product Owner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Define y prioriza el backlog, y acepta el incremento de cada sprint.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Scrum Master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Facilita el proceso, mantiene el tablero y remueve los impedimentos.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 de desarrollo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Construye el incremento: análisis técnico, programación, pruebas y despliegue.</w:t>
            </w:r>
          </w:p>
        </w:tc>
      </w:tr>
    </w:tbl>
    <w:p>
      <w:pPr>
        <w:pStyle w:val="Heading1"/>
        <w:pageBreakBefore/>
        <w:spacing w:after="110" w:before="220"/>
      </w:pPr>
      <w:bookmarkStart w:name="bm10" w:id="1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4. Plan de trabajo y cronograma</w:t>
      </w:r>
      <w:bookmarkEnd w:id="10"/>
    </w:p>
    <w:p>
      <w:pPr>
        <w:pStyle w:val="Heading2"/>
        <w:spacing w:after="80" w:before="150"/>
      </w:pPr>
      <w:bookmarkStart w:name="bm11" w:id="11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4.1 Estructura por sprints</w:t>
      </w:r>
      <w:bookmarkEnd w:id="1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trabajo se distribuye en ocho sprints de dos semanas: uno de análisis y diseño, seis de construcción organizados por módulo según su dependencia, y uno final de estabilización, despliegue y entrega. El orden de los módulos respeta las dependencias establecidas en el análisis: la seguridad y las suscripciones sostienen el resto de la aplicación, el inventario precede a las ventas, y los reportes se apoyan en ambos.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900"/>
        <w:gridCol w:w="4700"/>
        <w:gridCol w:w="1150"/>
        <w:gridCol w:w="950"/>
        <w:gridCol w:w="166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4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11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Historias</w:t>
            </w:r>
          </w:p>
        </w:tc>
        <w:tc>
          <w:tcPr>
            <w:tcW w:type="dxa" w:w="9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diseño: requisitos, modelo de datos, UML, prototipo, documento de diseño y manual de marca.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 y SUS: seguridad, gestión de usuarios, registro de licoreras y control de planes.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INV: catálogo, entradas por lote, valoración PEPS, kardex y alertas.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VEN: punto de venta, medios de pago, anulación y cierre de caja.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REP: reportes de ventas, inventario valorizado, rotación, utilidad y exportación.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SED: sedes, asignación de usuarios, inventario por sede y traslados.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FAC y AUD: facturación electrónica en pruebas, auditoría y respaldos.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Estabilización: pruebas integrales, corrección, despliegue, manuales y acta de entrega.</w:t>
            </w:r>
          </w:p>
        </w:tc>
        <w:tc>
          <w:tcPr>
            <w:tcW w:type="dxa" w:w="11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95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semanas</w:t>
            </w:r>
          </w:p>
        </w:tc>
      </w:tr>
      <w:tr>
        <w:trPr>
          <w:tblHeader w:val="false"/>
        </w:trPr>
        <w:tc>
          <w:tcPr>
            <w:tcW w:type="dxa" w:w="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4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Dieciséis semanas, equivalentes a cuatro meses de trabajo.</w:t>
            </w:r>
          </w:p>
        </w:tc>
        <w:tc>
          <w:tcPr>
            <w:tcW w:type="dxa" w:w="11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95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168</w:t>
            </w:r>
          </w:p>
        </w:tc>
        <w:tc>
          <w:tcPr>
            <w:tcW w:type="dxa" w:w="1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 semanas</w:t>
            </w:r>
          </w:p>
        </w:tc>
      </w:tr>
    </w:tbl>
    <w:p>
      <w:pPr>
        <w:pStyle w:val="Heading2"/>
        <w:spacing w:after="80" w:before="150"/>
      </w:pPr>
      <w:bookmarkStart w:name="bm12" w:id="1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4.2 Cronograma general</w:t>
      </w:r>
      <w:bookmarkEnd w:id="1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desarrollo se ejecuta dentro de la etapa productiva, prevista en seis meses. Los cuatro primeros meses corresponden a los ocho sprints, a razón de dos por mes: el de análisis y diseño, los seis de construcción y el de estabilización. Los meses restantes se destinan a la puesta en marcha con los primeros clientes, conforme al plan operativo del modelo de negocio.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3360"/>
        <w:gridCol w:w="1000"/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3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1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2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3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4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5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 6</w:t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 (sprint 0)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Construcción de módulos (sprints 1 a 6)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funcionales e integración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Estabilización y despliegue (sprint 7)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Manuales y documentación de entrega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Puesta en marcha con los primeros clientes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1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rPr>
          <w:tblHeader w:val="false"/>
        </w:trPr>
        <w:tc>
          <w:tcPr>
            <w:tcW w:type="dxa" w:w="3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Acta de entrega y sustentación</w:t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</w:tbl>
    <w:p>
      <w:pPr>
        <w:pStyle w:val="Heading2"/>
        <w:spacing w:after="80" w:before="150"/>
      </w:pPr>
      <w:bookmarkStart w:name="bm13" w:id="1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4.3 Entregables</w:t>
      </w:r>
      <w:bookmarkEnd w:id="13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7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Entregables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 y diseño</w:t>
            </w:r>
          </w:p>
        </w:tc>
        <w:tc>
          <w:tcPr>
            <w:tcW w:type="dxa" w:w="7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Construcción</w:t>
            </w:r>
          </w:p>
        </w:tc>
        <w:tc>
          <w:tcPr>
            <w:tcW w:type="dxa" w:w="7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Código fuente en el repositorio con su flujo de ramas y confirmaciones, scripts de base de datos con la carga inicial, e incrementos funcionales por módulo.</w:t>
            </w:r>
          </w:p>
        </w:tc>
      </w:tr>
      <w:tr>
        <w:trPr>
          <w:tblHeader w:val="false"/>
        </w:trPr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</w:t>
            </w:r>
          </w:p>
        </w:tc>
        <w:tc>
          <w:tcPr>
            <w:tcW w:type="dxa" w:w="7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de pruebas unitarias, de integración, funcionales y de la interfaz de programación, con sus bitácoras y planes de mejora.</w:t>
            </w:r>
          </w:p>
        </w:tc>
      </w:tr>
      <w:tr>
        <w:trPr>
          <w:tblHeader w:val="false"/>
        </w:trPr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y entrega</w:t>
            </w:r>
          </w:p>
        </w:tc>
        <w:tc>
          <w:tcPr>
            <w:tcW w:type="dxa" w:w="7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Aplicación desplegada con su dirección de acceso, manual de usuario, manual técnico, plan de respaldo y recuperación, documento de cierre técnico y acta de entrega.</w:t>
            </w:r>
          </w:p>
        </w:tc>
      </w:tr>
    </w:tbl>
    <w:p>
      <w:pPr>
        <w:pStyle w:val="Heading1"/>
        <w:pageBreakBefore/>
        <w:spacing w:after="110" w:before="220"/>
      </w:pPr>
      <w:bookmarkStart w:name="bm14" w:id="14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5. Equipo de trabajo</w:t>
      </w:r>
      <w:bookmarkEnd w:id="1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proyecto se ejecuta con el equipo previsto en el modelo de negocio: dos personas vinculadas por prestación de servicios desde el primer mes.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800"/>
        <w:gridCol w:w="4900"/>
        <w:gridCol w:w="266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  <w:tc>
          <w:tcPr>
            <w:tcW w:type="dxa" w:w="2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Dedicación</w:t>
            </w:r>
          </w:p>
        </w:tc>
      </w:tr>
      <w:tr>
        <w:trPr>
          <w:tblHeader w:val="false"/>
        </w:trPr>
        <w:tc>
          <w:tcPr>
            <w:tcW w:type="dxa" w:w="18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Líder técnico</w:t>
            </w:r>
          </w:p>
        </w:tc>
        <w:tc>
          <w:tcPr>
            <w:tcW w:type="dxa" w:w="49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Análisis, diseño, programación del servidor y del cliente, pruebas, despliegue y documentación técnica.</w:t>
            </w:r>
          </w:p>
        </w:tc>
        <w:tc>
          <w:tcPr>
            <w:tcW w:type="dxa" w:w="2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Tiempo completo durante los ocho sprints.</w:t>
            </w:r>
          </w:p>
        </w:tc>
      </w:tr>
      <w:tr>
        <w:trPr>
          <w:tblHeader w:val="false"/>
        </w:trPr>
        <w:tc>
          <w:tcPr>
            <w:tcW w:type="dxa" w:w="18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49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de aceptación, capacitación de los primeros clientes, soporte de primer nivel y actividades de venta.</w:t>
            </w:r>
          </w:p>
        </w:tc>
        <w:tc>
          <w:tcPr>
            <w:tcW w:type="dxa" w:w="2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Tiempo completo, con participación en el desarrollo desde las pruebas de aceptación.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líder técnico asume igualmente los roles de Product Owner y Scrum Master previstos en la metodología, con la validación del instructor asignado por el centro de formación.</w:t>
      </w:r>
    </w:p>
    <w:p>
      <w:pPr>
        <w:pStyle w:val="Heading1"/>
        <w:pageBreakBefore/>
        <w:spacing w:after="110" w:before="220"/>
      </w:pPr>
      <w:bookmarkStart w:name="bm15" w:id="15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6. Propuesta económica</w:t>
      </w:r>
      <w:bookmarkEnd w:id="15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valores de esta sección provienen del modelo de negocio del proyecto y de su presupuesto aprobado. Todas las cifras están expresadas en pesos colombianos.</w:t>
      </w:r>
    </w:p>
    <w:p>
      <w:pPr>
        <w:pStyle w:val="Heading2"/>
        <w:spacing w:after="80" w:before="150"/>
      </w:pPr>
      <w:bookmarkStart w:name="bm16" w:id="1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6.1 Costo del personal durante el desarrollo</w:t>
      </w:r>
      <w:bookmarkEnd w:id="16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honorarios mensuales son de $2.500.000 para el líder técnico y de $2.000.000 para el comercial. Los cuatro meses que ocupa el desarrollo del software representan el siguiente costo: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3000"/>
        <w:gridCol w:w="2200"/>
        <w:gridCol w:w="1200"/>
        <w:gridCol w:w="29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mensual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Meses</w:t>
            </w:r>
          </w:p>
        </w:tc>
        <w:tc>
          <w:tcPr>
            <w:tcW w:type="dxa" w:w="2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Subtotal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Líder técnico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$2.500.000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$10.000.000</w:t>
            </w:r>
          </w:p>
        </w:tc>
      </w:tr>
      <w:tr>
        <w:trPr>
          <w:tblHeader w:val="false"/>
        </w:trPr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$2.000.000</w:t>
            </w:r>
          </w:p>
        </w:tc>
        <w:tc>
          <w:tcPr>
            <w:tcW w:type="dxa" w:w="1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$8.000.000</w:t>
            </w:r>
          </w:p>
        </w:tc>
      </w:tr>
      <w:tr>
        <w:trPr>
          <w:tblHeader w:val="false"/>
        </w:trPr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Subtotal del desarrollo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$4.500.000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2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$18.000.000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>
      <w:pPr>
        <w:pStyle w:val="Heading2"/>
        <w:spacing w:after="80" w:before="150"/>
      </w:pPr>
      <w:bookmarkStart w:name="bm17" w:id="1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6.2 Equipos, software e infraestructura</w:t>
      </w:r>
      <w:bookmarkEnd w:id="17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6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Equipos de cómputo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Estaciones de trabajo para el líder técnico y el comercial.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Mobiliario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Puestos de trabajo del lugar de operaciones.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y publicación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 de alojamiento de la aplicación y de la base de datos, con su dominio y certificado de seguridad.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Correo y respaldo</w:t>
            </w:r>
          </w:p>
        </w:tc>
        <w:tc>
          <w:tcPr>
            <w:tcW w:type="dxa" w:w="6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 de correo corporativo y almacenamiento para las copias de seguridad.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Servicios externos</w:t>
            </w:r>
          </w:p>
        </w:tc>
        <w:tc>
          <w:tcPr>
            <w:tcW w:type="dxa" w:w="6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Ambiente de pruebas del proveedor tecnológico de facturación electrónica y de la pasarela de pagos, sin costo en esta etapa.</w:t>
            </w:r>
          </w:p>
        </w:tc>
      </w:tr>
    </w:tbl>
    <w:p>
      <w:pPr>
        <w:pStyle w:val="Heading2"/>
        <w:spacing w:after="80" w:before="150"/>
      </w:pPr>
      <w:bookmarkStart w:name="bm18" w:id="1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6.3 Otros rubros del proyecto</w:t>
      </w:r>
      <w:bookmarkEnd w:id="1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presupuesto contempla además $6.000.000 para la estrategia de comunicación, destinada a la difusión de la solución y a la captación de los primeros clientes, y $6.600.000 para insumos y gastos operativos del periodo de ejecución.</w:t>
      </w:r>
    </w:p>
    <w:p>
      <w:pPr>
        <w:pStyle w:val="Heading2"/>
        <w:spacing w:after="80" w:before="150"/>
      </w:pPr>
      <w:bookmarkStart w:name="bm19" w:id="19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6.4 Resumen del presupuesto</w:t>
      </w:r>
      <w:bookmarkEnd w:id="19"/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Rubro</w:t>
            </w:r>
          </w:p>
        </w:tc>
        <w:tc>
          <w:tcPr>
            <w:tcW w:type="dxa" w:w="3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2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Equipos, muebles y software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$19.000.000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Honorarios del equipo (nueve meses)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$40.500.000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Estrategia de comunicación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$6.000.000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Insumos y gastos operativos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Fondo Emprender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$6.600.000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Subtotal solicitado al Fondo Emprender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$72.100.000</w:t>
            </w:r>
          </w:p>
        </w:tc>
      </w:tr>
      <w:tr>
        <w:trPr>
          <w:tblHeader w:val="false"/>
        </w:trPr>
        <w:tc>
          <w:tcPr>
            <w:tcW w:type="dxa" w:w="4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Constitución legal de la empresa</w:t>
            </w:r>
          </w:p>
        </w:tc>
        <w:tc>
          <w:tcPr>
            <w:tcW w:type="dxa" w:w="3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Aporte del emprendedor</w:t>
            </w:r>
          </w:p>
        </w:tc>
        <w:tc>
          <w:tcPr>
            <w:tcW w:type="dxa" w:w="2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$1.500.000</w:t>
            </w:r>
          </w:p>
        </w:tc>
      </w:tr>
      <w:tr>
        <w:trPr>
          <w:tblHeader w:val="false"/>
        </w:trPr>
        <w:tc>
          <w:tcPr>
            <w:tcW w:type="dxa" w:w="4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del proyecto</w:t>
            </w:r>
          </w:p>
        </w:tc>
        <w:tc>
          <w:tcPr>
            <w:tcW w:type="dxa" w:w="3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$73.600.000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valor solicitado al Fondo Emprender equivale a 41,2 salarios mínimos mensuales legales vigentes de 2026, por debajo del tope de 42 previsto para las iniciativas individuales que generan dos empleos formales.</w:t>
      </w:r>
    </w:p>
    <w:p>
      <w:pPr>
        <w:pStyle w:val="Heading1"/>
        <w:pageBreakBefore/>
        <w:spacing w:after="110" w:before="220"/>
      </w:pPr>
      <w:bookmarkStart w:name="bm20" w:id="2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7. Supuestos y condiciones</w:t>
      </w:r>
      <w:bookmarkEnd w:id="20"/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desarrollo inicia una vez aprobados los documentos de análisis y diseño por parte del área técnica del centro de formación.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alcance corresponde a los requisitos aprobados. Cualquier requisito nuevo se incorpora al backlog y se atiende en un sprint posterior, previo acuerdo sobre su efecto en el plazo.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Las pruebas con servicios externos se realizan en sus ambientes de prueba; la habilitación en producción es un trámite de la operación comercial.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Los valores presentados corresponden al presupuesto del modelo de negocio y no incluyen tributos adicionales ni costos de terceros no previstos en él.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proyecto se ejecuta con el equipo de dos personas indicado. Una vinculación adicional se evalúa en fases posteriores, según el comportamiento de las ventas.</w:t>
      </w:r>
    </w:p>
    <w:p>
      <w:pPr>
        <w:pStyle w:val="Heading1"/>
        <w:pageBreakBefore/>
        <w:spacing w:after="110" w:before="220"/>
      </w:pPr>
      <w:bookmarkStart w:name="bm21" w:id="2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8. Entrega, garantía y soporte</w:t>
      </w:r>
      <w:bookmarkEnd w:id="2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>
      <w:pPr>
        <w:pStyle w:val="Heading1"/>
        <w:pageBreakBefore/>
        <w:spacing w:after="110" w:before="220"/>
      </w:pPr>
      <w:bookmarkStart w:name="bm22" w:id="22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9. Conclusión</w:t>
      </w:r>
      <w:bookmarkEnd w:id="2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propuesta muestra que INVENTRA puede construirse en dieciséis semanas de trabajo, distribuidas en ocho sprints,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>
      <w:pPr>
        <w:pStyle w:val="Heading1"/>
        <w:pageBreakBefore/>
        <w:spacing w:after="110" w:before="220"/>
      </w:pPr>
      <w:bookmarkStart w:name="bm23" w:id="23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10. Referencias</w:t>
      </w:r>
      <w:bookmarkEnd w:id="23"/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Especificación de requisitos de software INVENTRA (IEEE 830),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entidad-relación, modelo relacional y diccionario de datos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de análisis y diseño en UML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Historias de usuario y product backlog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Documento técnico de diseño de INVENTRA, revisión 1.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Modelo de negocio INVENTRA, formato CREAR del Fondo Emprender, y su proyección financiera.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Schwaber, K. y Sutherland, J. La guía de Scrum. Scrum.org, 2020.</w:t>
      </w:r>
    </w:p>
    <w:sectPr>
      <w:footerReference w:type="default" r:id="rId7"/>
      <w:pgSz w:w="12240" w:h="158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2026-09-13T23:50:15.203Z</dcterms:created>
  <dcterms:modified xsi:type="dcterms:W3CDTF">2026-09-13T23:50:15.203Z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