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C17B" w14:textId="77777777" w:rsidR="001D042D" w:rsidRDefault="00000000">
      <w:pPr>
        <w:spacing w:before="1900" w:line="264" w:lineRule="auto"/>
        <w:jc w:val="center"/>
      </w:pPr>
      <w:r>
        <w:rPr>
          <w:b/>
          <w:bCs/>
          <w:color w:val="1F3864"/>
          <w:sz w:val="48"/>
          <w:szCs w:val="48"/>
        </w:rPr>
        <w:t>PROPUESTA TÉCNICA Y ECONÓMICA</w:t>
      </w:r>
    </w:p>
    <w:p w14:paraId="14B4508C" w14:textId="77777777" w:rsidR="001D042D" w:rsidRDefault="00000000">
      <w:pPr>
        <w:spacing w:before="150" w:line="264" w:lineRule="auto"/>
        <w:jc w:val="center"/>
      </w:pPr>
      <w:r>
        <w:rPr>
          <w:color w:val="2E5496"/>
          <w:sz w:val="26"/>
          <w:szCs w:val="26"/>
        </w:rPr>
        <w:t>Proyecto INVENTRA — Aplicación web de inventario y ventas para licoreras</w:t>
      </w:r>
    </w:p>
    <w:p w14:paraId="6482BB90" w14:textId="77777777" w:rsidR="001D042D" w:rsidRDefault="00000000">
      <w:pPr>
        <w:spacing w:before="2600" w:line="264" w:lineRule="auto"/>
        <w:jc w:val="center"/>
      </w:pPr>
      <w:r>
        <w:rPr>
          <w:b/>
          <w:bCs/>
          <w:sz w:val="28"/>
          <w:szCs w:val="28"/>
        </w:rPr>
        <w:t>CRISTIAN DARÍO MACÍAS ESPITIA</w:t>
      </w:r>
    </w:p>
    <w:p w14:paraId="06625FB4" w14:textId="77777777" w:rsidR="001D042D" w:rsidRDefault="00000000">
      <w:pPr>
        <w:spacing w:before="2700" w:line="264" w:lineRule="auto"/>
        <w:jc w:val="center"/>
      </w:pPr>
      <w:r>
        <w:rPr>
          <w:b/>
          <w:bCs/>
          <w:sz w:val="26"/>
          <w:szCs w:val="26"/>
        </w:rPr>
        <w:t>SERVICIO NACIONAL DE APRENDIZAJE (SENA)</w:t>
      </w:r>
    </w:p>
    <w:p w14:paraId="06FE2E72" w14:textId="77777777" w:rsidR="001D042D" w:rsidRDefault="00000000">
      <w:pPr>
        <w:spacing w:before="70" w:line="264" w:lineRule="auto"/>
        <w:jc w:val="center"/>
      </w:pPr>
      <w:r>
        <w:rPr>
          <w:sz w:val="26"/>
          <w:szCs w:val="26"/>
        </w:rPr>
        <w:t>CENTRO DE FORMACIÓN EN DISEÑO, CONFECCIÓN Y MODA</w:t>
      </w:r>
    </w:p>
    <w:p w14:paraId="60488BC7" w14:textId="77777777" w:rsidR="001D042D" w:rsidRDefault="00000000">
      <w:pPr>
        <w:spacing w:before="70" w:line="264" w:lineRule="auto"/>
        <w:jc w:val="center"/>
      </w:pPr>
      <w:r>
        <w:rPr>
          <w:sz w:val="26"/>
          <w:szCs w:val="26"/>
        </w:rPr>
        <w:t>ANÁLISIS Y DESARROLLO DE SOFTWARE</w:t>
      </w:r>
    </w:p>
    <w:p w14:paraId="5A272C41" w14:textId="77777777" w:rsidR="001D042D" w:rsidRDefault="00000000">
      <w:pPr>
        <w:spacing w:before="70" w:line="264" w:lineRule="auto"/>
        <w:jc w:val="center"/>
      </w:pPr>
      <w:r>
        <w:rPr>
          <w:sz w:val="26"/>
          <w:szCs w:val="26"/>
        </w:rPr>
        <w:t>MEDELLÍN</w:t>
      </w:r>
    </w:p>
    <w:p w14:paraId="2BD9A716" w14:textId="77777777" w:rsidR="001D042D" w:rsidRDefault="00000000">
      <w:pPr>
        <w:spacing w:before="70" w:line="264" w:lineRule="auto"/>
        <w:jc w:val="center"/>
      </w:pPr>
      <w:r>
        <w:rPr>
          <w:sz w:val="26"/>
          <w:szCs w:val="26"/>
        </w:rPr>
        <w:t>2026</w:t>
      </w:r>
    </w:p>
    <w:p w14:paraId="57EBB8EE" w14:textId="77777777" w:rsidR="001D042D" w:rsidRDefault="00000000">
      <w:pPr>
        <w:pageBreakBefore/>
        <w:spacing w:before="120" w:after="20"/>
        <w:jc w:val="center"/>
      </w:pPr>
      <w:r>
        <w:rPr>
          <w:b/>
          <w:bCs/>
        </w:rPr>
        <w:lastRenderedPageBreak/>
        <w:t>Ficha del documento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100"/>
        <w:gridCol w:w="3200"/>
        <w:gridCol w:w="3660"/>
      </w:tblGrid>
      <w:tr w:rsidR="001D042D" w14:paraId="3E615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2564F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1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5D1FF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Revisión</w:t>
            </w:r>
          </w:p>
        </w:tc>
        <w:tc>
          <w:tcPr>
            <w:tcW w:w="32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65C714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6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320E3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Basado en</w:t>
            </w:r>
          </w:p>
        </w:tc>
      </w:tr>
      <w:tr w:rsidR="001D042D" w14:paraId="2C1238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550BC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12/09/2026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B18F68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D778E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Cristian Darío Macías Espitia</w:t>
            </w:r>
          </w:p>
        </w:tc>
        <w:tc>
          <w:tcPr>
            <w:tcW w:w="3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44F90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ERS, MER, UML, backlog, documento de diseño y modelo de negocio</w:t>
            </w:r>
          </w:p>
        </w:tc>
      </w:tr>
    </w:tbl>
    <w:p w14:paraId="52046D14" w14:textId="77777777" w:rsidR="001D042D" w:rsidRDefault="00000000">
      <w:pPr>
        <w:pageBreakBefore/>
        <w:spacing w:after="150"/>
      </w:pPr>
      <w:r>
        <w:rPr>
          <w:b/>
          <w:bCs/>
          <w:color w:val="1F3864"/>
          <w:sz w:val="26"/>
          <w:szCs w:val="26"/>
        </w:rPr>
        <w:lastRenderedPageBreak/>
        <w:t>Tabla de contenido</w:t>
      </w:r>
    </w:p>
    <w:p w14:paraId="0ED967D8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1" w:history="1">
        <w:r>
          <w:rPr>
            <w:b/>
            <w:bCs/>
            <w:color w:val="1F3864"/>
            <w:sz w:val="21"/>
            <w:szCs w:val="21"/>
          </w:rPr>
          <w:t>1. Introducción, objeto y alcance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45717933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2" w:history="1">
        <w:r>
          <w:rPr>
            <w:color w:val="1F3864"/>
            <w:sz w:val="20"/>
            <w:szCs w:val="20"/>
          </w:rPr>
          <w:t>1.1 Objeto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2D43680E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3" w:history="1">
        <w:r>
          <w:rPr>
            <w:color w:val="1F3864"/>
            <w:sz w:val="20"/>
            <w:szCs w:val="20"/>
          </w:rPr>
          <w:t>1.2 Alcance funcional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0DFBA25A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4" w:history="1">
        <w:r>
          <w:rPr>
            <w:color w:val="1F3864"/>
            <w:sz w:val="20"/>
            <w:szCs w:val="20"/>
          </w:rPr>
          <w:t>1.3 Condiciones del alcance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09901231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5" w:history="1">
        <w:r>
          <w:rPr>
            <w:b/>
            <w:bCs/>
            <w:color w:val="1F3864"/>
            <w:sz w:val="21"/>
            <w:szCs w:val="21"/>
          </w:rPr>
          <w:t>2. Solución técnica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bm5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77169DD1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6" w:history="1">
        <w:r>
          <w:rPr>
            <w:color w:val="1F3864"/>
            <w:sz w:val="20"/>
            <w:szCs w:val="20"/>
          </w:rPr>
          <w:t>2.1 Arquitectura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bm6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39B147B9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7" w:history="1">
        <w:r>
          <w:rPr>
            <w:color w:val="1F3864"/>
            <w:sz w:val="20"/>
            <w:szCs w:val="20"/>
          </w:rPr>
          <w:t>2.2 Tecnologías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bm7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61195427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8" w:history="1">
        <w:r>
          <w:rPr>
            <w:color w:val="1F3864"/>
            <w:sz w:val="20"/>
            <w:szCs w:val="20"/>
          </w:rPr>
          <w:t>2.3 Documentos de referencia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bm8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23BE551B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9" w:history="1">
        <w:r>
          <w:rPr>
            <w:b/>
            <w:bCs/>
            <w:color w:val="1F3864"/>
            <w:sz w:val="21"/>
            <w:szCs w:val="21"/>
          </w:rPr>
          <w:t>3. Metodología de trabajo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bm9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57D3A6BA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10" w:history="1">
        <w:r>
          <w:rPr>
            <w:b/>
            <w:bCs/>
            <w:color w:val="1F3864"/>
            <w:sz w:val="21"/>
            <w:szCs w:val="21"/>
          </w:rPr>
          <w:t>4. Plan de trabajo y cronograma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bm10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6DB01711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11" w:history="1">
        <w:r>
          <w:rPr>
            <w:color w:val="1F3864"/>
            <w:sz w:val="20"/>
            <w:szCs w:val="20"/>
          </w:rPr>
          <w:t>4.1 Estructura por sprints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bm11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1771DDCA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12" w:history="1">
        <w:r>
          <w:rPr>
            <w:color w:val="1F3864"/>
            <w:sz w:val="20"/>
            <w:szCs w:val="20"/>
          </w:rPr>
          <w:t>4.2 Hitos de la etapa productiva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bm12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0656568B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13" w:history="1">
        <w:r>
          <w:rPr>
            <w:color w:val="1F3864"/>
            <w:sz w:val="20"/>
            <w:szCs w:val="20"/>
          </w:rPr>
          <w:t>4.3 Entregables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bm13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3942C2E7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14" w:history="1">
        <w:r>
          <w:rPr>
            <w:b/>
            <w:bCs/>
            <w:color w:val="1F3864"/>
            <w:sz w:val="21"/>
            <w:szCs w:val="21"/>
          </w:rPr>
          <w:t>5. Equipo de trabajo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bm14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513BD86E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15" w:history="1">
        <w:r>
          <w:rPr>
            <w:b/>
            <w:bCs/>
            <w:color w:val="1F3864"/>
            <w:sz w:val="21"/>
            <w:szCs w:val="21"/>
          </w:rPr>
          <w:t>6. Propuesta económica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bm15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7FEADCDB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16" w:history="1">
        <w:r>
          <w:rPr>
            <w:color w:val="1F3864"/>
            <w:sz w:val="20"/>
            <w:szCs w:val="20"/>
          </w:rPr>
          <w:t>6.1 Costo del personal durante el desarrollo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bm16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7027C926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17" w:history="1">
        <w:r>
          <w:rPr>
            <w:color w:val="1F3864"/>
            <w:sz w:val="20"/>
            <w:szCs w:val="20"/>
          </w:rPr>
          <w:t>6.2 Equipos, software e infraestructura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bm17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415C9FEE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18" w:history="1">
        <w:r>
          <w:rPr>
            <w:color w:val="1F3864"/>
            <w:sz w:val="20"/>
            <w:szCs w:val="20"/>
          </w:rPr>
          <w:t>6.3 Otros rubros del proyecto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bm18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1970414F" w14:textId="77777777" w:rsidR="001D042D" w:rsidRDefault="00000000">
      <w:pPr>
        <w:tabs>
          <w:tab w:val="right" w:leader="dot" w:pos="9200"/>
        </w:tabs>
        <w:spacing w:after="40" w:line="252" w:lineRule="auto"/>
        <w:ind w:left="360"/>
      </w:pPr>
      <w:hyperlink w:anchor="bm19" w:history="1">
        <w:r>
          <w:rPr>
            <w:color w:val="1F3864"/>
            <w:sz w:val="20"/>
            <w:szCs w:val="20"/>
          </w:rPr>
          <w:t>6.4 Resumen del presupuesto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bm19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028630FF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20" w:history="1">
        <w:r>
          <w:rPr>
            <w:b/>
            <w:bCs/>
            <w:color w:val="1F3864"/>
            <w:sz w:val="21"/>
            <w:szCs w:val="21"/>
          </w:rPr>
          <w:t>7. Supuestos y condiciones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bm20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71124A13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21" w:history="1">
        <w:r>
          <w:rPr>
            <w:b/>
            <w:bCs/>
            <w:color w:val="1F3864"/>
            <w:sz w:val="21"/>
            <w:szCs w:val="21"/>
          </w:rPr>
          <w:t>8. Entrega, garantía y soporte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bm21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65B0B7E2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22" w:history="1">
        <w:r>
          <w:rPr>
            <w:b/>
            <w:bCs/>
            <w:color w:val="1F3864"/>
            <w:sz w:val="21"/>
            <w:szCs w:val="21"/>
          </w:rPr>
          <w:t>9. Conclusión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bm22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478B491F" w14:textId="77777777" w:rsidR="001D042D" w:rsidRDefault="00000000">
      <w:pPr>
        <w:tabs>
          <w:tab w:val="right" w:leader="dot" w:pos="9200"/>
        </w:tabs>
        <w:spacing w:after="40" w:line="252" w:lineRule="auto"/>
      </w:pPr>
      <w:hyperlink w:anchor="bm23" w:history="1">
        <w:r>
          <w:rPr>
            <w:b/>
            <w:bCs/>
            <w:color w:val="1F3864"/>
            <w:sz w:val="21"/>
            <w:szCs w:val="21"/>
          </w:rPr>
          <w:t>10. Referencias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bm23</w:instrText>
      </w:r>
      <w:r w:rsidR="009F12F4">
        <w:fldChar w:fldCharType="separate"/>
      </w:r>
      <w:r w:rsidR="009F12F4">
        <w:rPr>
          <w:noProof/>
        </w:rPr>
        <w:t>1</w:t>
      </w:r>
      <w:r>
        <w:fldChar w:fldCharType="end"/>
      </w:r>
    </w:p>
    <w:p w14:paraId="4580F2F1" w14:textId="77777777" w:rsidR="001D042D" w:rsidRDefault="00000000">
      <w:pPr>
        <w:pStyle w:val="Ttulo1"/>
        <w:spacing w:before="220" w:after="110"/>
      </w:pPr>
      <w:bookmarkStart w:id="0" w:name="bm1"/>
      <w:r>
        <w:rPr>
          <w:b/>
          <w:bCs/>
          <w:color w:val="1F3864"/>
          <w:sz w:val="27"/>
          <w:szCs w:val="27"/>
        </w:rPr>
        <w:t>1. Introducción, objeto y alcance</w:t>
      </w:r>
      <w:bookmarkEnd w:id="0"/>
    </w:p>
    <w:p w14:paraId="7EF4E8BB" w14:textId="77777777" w:rsidR="001D042D" w:rsidRDefault="00000000">
      <w:pPr>
        <w:spacing w:after="110" w:line="262" w:lineRule="auto"/>
        <w:jc w:val="both"/>
      </w:pPr>
      <w:r>
        <w:t>Este documento presenta la propuesta técnica y económica para el desarrollo de INVENTRA, la aplicación web de inventario y ventas dirigida a licoreras y tiendas de barrio. Reúne la solución técnica, la metodología de trabajo, el plan de sprints con su cronograma, el equipo requerido y los costos asociados. Su contenido se apoya en los documentos de análisis y diseño ya elaborados para el proyecto y en el modelo de negocio aprobado, sin incorporar alcances distintos a los allí definidos.</w:t>
      </w:r>
    </w:p>
    <w:p w14:paraId="14913E54" w14:textId="77777777" w:rsidR="001D042D" w:rsidRDefault="00000000">
      <w:pPr>
        <w:pStyle w:val="Ttulo2"/>
        <w:spacing w:before="150" w:after="80"/>
      </w:pPr>
      <w:bookmarkStart w:id="1" w:name="bm2"/>
      <w:r>
        <w:rPr>
          <w:b/>
          <w:bCs/>
          <w:color w:val="2E5496"/>
          <w:sz w:val="23"/>
          <w:szCs w:val="23"/>
        </w:rPr>
        <w:t>1.1 Objeto</w:t>
      </w:r>
      <w:bookmarkEnd w:id="1"/>
    </w:p>
    <w:p w14:paraId="2310E1AD" w14:textId="77777777" w:rsidR="001D042D" w:rsidRDefault="00000000">
      <w:pPr>
        <w:spacing w:after="110" w:line="262" w:lineRule="auto"/>
        <w:jc w:val="both"/>
      </w:pPr>
      <w:r>
        <w:t>Desarrollar, probar y desplegar la aplicación web INVENTRA, con su versión móvil, de acuerdo con los cuarenta y ocho requisitos funcionales y los ocho requisitos no funcionales establecidos en la especificación de requisitos de software, y entregar la documentación técnica y de usuario que acompaña al producto.</w:t>
      </w:r>
    </w:p>
    <w:p w14:paraId="59AE766C" w14:textId="77777777" w:rsidR="001D042D" w:rsidRDefault="00000000">
      <w:pPr>
        <w:pStyle w:val="Ttulo2"/>
        <w:spacing w:before="150" w:after="80"/>
      </w:pPr>
      <w:bookmarkStart w:id="2" w:name="bm3"/>
      <w:r>
        <w:rPr>
          <w:b/>
          <w:bCs/>
          <w:color w:val="2E5496"/>
          <w:sz w:val="23"/>
          <w:szCs w:val="23"/>
        </w:rPr>
        <w:t>1.2 Alcance funcional</w:t>
      </w:r>
      <w:bookmarkEnd w:id="2"/>
    </w:p>
    <w:p w14:paraId="1501FF81" w14:textId="77777777" w:rsidR="001D042D" w:rsidRDefault="00000000">
      <w:pPr>
        <w:spacing w:after="110" w:line="262" w:lineRule="auto"/>
        <w:jc w:val="both"/>
      </w:pPr>
      <w:r>
        <w:t>La solución se organiza en ocho módulos funcionales, que corresponden a los definidos en la especificación de requisitos y en el análisis y diseño en UML: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60"/>
        <w:gridCol w:w="1350"/>
        <w:gridCol w:w="1350"/>
      </w:tblGrid>
      <w:tr w:rsidR="001D042D" w14:paraId="49F9C8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3AB6B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46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C3DA25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135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94B913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Historias</w:t>
            </w:r>
          </w:p>
        </w:tc>
        <w:tc>
          <w:tcPr>
            <w:tcW w:w="135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8CDCA7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1D042D" w14:paraId="7296F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9A8F3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SEG — Seguridad</w:t>
            </w:r>
          </w:p>
        </w:tc>
        <w:tc>
          <w:tcPr>
            <w:tcW w:w="4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5D44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Registro y autenticación de usuarios, roles y permisos, recuperación de contraseña e inactivación.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E7033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0359C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1D042D" w14:paraId="42F8AF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F8991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SUS — Suscripciones</w:t>
            </w:r>
          </w:p>
        </w:tc>
        <w:tc>
          <w:tcPr>
            <w:tcW w:w="46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6CCC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Registro de licoreras, planes Básico y Pro, estado de la suscripción y restricción de funciones por plan.</w:t>
            </w:r>
          </w:p>
        </w:tc>
        <w:tc>
          <w:tcPr>
            <w:tcW w:w="13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BA763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6BF6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19</w:t>
            </w:r>
          </w:p>
        </w:tc>
      </w:tr>
      <w:tr w:rsidR="001D042D" w14:paraId="3A83C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42683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lastRenderedPageBreak/>
              <w:t>INV — Inventario</w:t>
            </w:r>
          </w:p>
        </w:tc>
        <w:tc>
          <w:tcPr>
            <w:tcW w:w="4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64408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Catálogo de productos, entradas por lote, valoración PEPS, kardex, ajustes y alertas de existencias.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0CDBF2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5EA244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40</w:t>
            </w:r>
          </w:p>
        </w:tc>
      </w:tr>
      <w:tr w:rsidR="001D042D" w14:paraId="7B5AA1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31C4B7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VEN — Ventas</w:t>
            </w:r>
          </w:p>
        </w:tc>
        <w:tc>
          <w:tcPr>
            <w:tcW w:w="46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5486F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Punto de venta, medios de pago, comprobante, anulación con reversión de lotes y cierre de caja.</w:t>
            </w:r>
          </w:p>
        </w:tc>
        <w:tc>
          <w:tcPr>
            <w:tcW w:w="13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CB379B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2108C7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24</w:t>
            </w:r>
          </w:p>
        </w:tc>
      </w:tr>
      <w:tr w:rsidR="001D042D" w14:paraId="3D3C55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F1570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REP — Reportes</w:t>
            </w:r>
          </w:p>
        </w:tc>
        <w:tc>
          <w:tcPr>
            <w:tcW w:w="4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3961B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Ventas por período, inventario valorizado, más vendidos, rotación, utilidad y exportación.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C2745A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6AC4A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19</w:t>
            </w:r>
          </w:p>
        </w:tc>
      </w:tr>
      <w:tr w:rsidR="001D042D" w14:paraId="31D9F9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AE6EB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SED — Multisede</w:t>
            </w:r>
          </w:p>
        </w:tc>
        <w:tc>
          <w:tcPr>
            <w:tcW w:w="46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A18C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Registro de sedes, asignación de usuarios, inventario por sede y traslados de mercancía.</w:t>
            </w:r>
          </w:p>
        </w:tc>
        <w:tc>
          <w:tcPr>
            <w:tcW w:w="13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664C4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84631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16</w:t>
            </w:r>
          </w:p>
        </w:tc>
      </w:tr>
      <w:tr w:rsidR="001D042D" w14:paraId="78B06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35C6B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FAC — Facturación</w:t>
            </w:r>
          </w:p>
        </w:tc>
        <w:tc>
          <w:tcPr>
            <w:tcW w:w="4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162344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Datos fiscales, emisión de factura electrónica, consulta y reenvío, y nota crédito.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53C30A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6E409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19</w:t>
            </w:r>
          </w:p>
        </w:tc>
      </w:tr>
      <w:tr w:rsidR="001D042D" w14:paraId="2F483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8BDF5F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AUD — Auditoría</w:t>
            </w:r>
          </w:p>
        </w:tc>
        <w:tc>
          <w:tcPr>
            <w:tcW w:w="46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05118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Registro de eventos, consulta de auditoría, copias de seguridad y restauración.</w:t>
            </w:r>
          </w:p>
        </w:tc>
        <w:tc>
          <w:tcPr>
            <w:tcW w:w="13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7F70D1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17E21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11</w:t>
            </w:r>
          </w:p>
        </w:tc>
      </w:tr>
      <w:tr w:rsidR="001D042D" w14:paraId="2AC2B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268C96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4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C0519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Cuarenta y ocho requisitos funcionales.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8C692D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48</w:t>
            </w:r>
          </w:p>
        </w:tc>
        <w:tc>
          <w:tcPr>
            <w:tcW w:w="13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BA416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168</w:t>
            </w:r>
          </w:p>
        </w:tc>
      </w:tr>
    </w:tbl>
    <w:p w14:paraId="0B03F631" w14:textId="77777777" w:rsidR="001D042D" w:rsidRDefault="00000000">
      <w:pPr>
        <w:pStyle w:val="Ttulo2"/>
        <w:spacing w:before="150" w:after="80"/>
      </w:pPr>
      <w:bookmarkStart w:id="3" w:name="bm4"/>
      <w:r>
        <w:rPr>
          <w:b/>
          <w:bCs/>
          <w:color w:val="2E5496"/>
          <w:sz w:val="23"/>
          <w:szCs w:val="23"/>
        </w:rPr>
        <w:t>1.3 Condiciones del alcance</w:t>
      </w:r>
      <w:bookmarkEnd w:id="3"/>
    </w:p>
    <w:p w14:paraId="3208799D" w14:textId="77777777" w:rsidR="001D042D" w:rsidRDefault="00000000">
      <w:pPr>
        <w:spacing w:after="110" w:line="262" w:lineRule="auto"/>
        <w:jc w:val="both"/>
      </w:pPr>
      <w:r>
        <w:t>Las siguientes condiciones fueron definidas durante el análisis y se mantienen en esta propuesta:</w:t>
      </w:r>
    </w:p>
    <w:p w14:paraId="0A2E3E46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La facturación electrónica se implementa y se demuestra en el ambiente de pruebas del proveedor tecnológico autorizado por la DIAN. El paso a producción depende de la habilitación comercial de la empresa y no forma parte de este desarrollo.</w:t>
      </w:r>
    </w:p>
    <w:p w14:paraId="2B17CCC9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El pago con tarjeta o transferencia se confirma fuera del sistema; INVENTRA registra el medio de pago de cada venta y no procesa cobros.</w:t>
      </w:r>
    </w:p>
    <w:p w14:paraId="4B180E31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El módulo multisede se desarrolla completo y se demuestra con datos de ejemplo.</w:t>
      </w:r>
    </w:p>
    <w:p w14:paraId="74E5391A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La valoración del inventario se realiza por el método de primeras entradas, primeras salidas, con control por lote. El precio de venta se administra de forma independiente del costo.</w:t>
      </w:r>
    </w:p>
    <w:p w14:paraId="18CC8958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No se incluyen desarrollos a la medida para un cliente en particular ni integraciones con sistemas contables de terceros.</w:t>
      </w:r>
    </w:p>
    <w:p w14:paraId="79BDA1D9" w14:textId="77777777" w:rsidR="001D042D" w:rsidRDefault="00000000">
      <w:pPr>
        <w:pStyle w:val="Ttulo1"/>
        <w:pageBreakBefore/>
        <w:spacing w:before="220" w:after="110"/>
      </w:pPr>
      <w:bookmarkStart w:id="4" w:name="bm5"/>
      <w:r>
        <w:rPr>
          <w:b/>
          <w:bCs/>
          <w:color w:val="1F3864"/>
          <w:sz w:val="27"/>
          <w:szCs w:val="27"/>
        </w:rPr>
        <w:lastRenderedPageBreak/>
        <w:t>2. Solución técnica</w:t>
      </w:r>
      <w:bookmarkEnd w:id="4"/>
    </w:p>
    <w:p w14:paraId="7AF6FA77" w14:textId="77777777" w:rsidR="001D042D" w:rsidRDefault="00000000">
      <w:pPr>
        <w:pStyle w:val="Ttulo2"/>
        <w:spacing w:before="150" w:after="80"/>
      </w:pPr>
      <w:bookmarkStart w:id="5" w:name="bm6"/>
      <w:r>
        <w:rPr>
          <w:b/>
          <w:bCs/>
          <w:color w:val="2E5496"/>
          <w:sz w:val="23"/>
          <w:szCs w:val="23"/>
        </w:rPr>
        <w:t>2.1 Arquitectura</w:t>
      </w:r>
      <w:bookmarkEnd w:id="5"/>
    </w:p>
    <w:p w14:paraId="6FF39227" w14:textId="77777777" w:rsidR="001D042D" w:rsidRDefault="00000000">
      <w:pPr>
        <w:spacing w:after="110" w:line="262" w:lineRule="auto"/>
        <w:jc w:val="both"/>
      </w:pPr>
      <w:r>
        <w:t>La aplicación se construye bajo una arquitectura cliente–servidor con separación por capas. El cliente es una aplicación web de página única que consume una interfaz de programación de tipo REST; el servidor concentra la lógica de negocio, las reglas del dominio y el acceso a la base de datos. La organización interna separa la capa de presentación y servicios, la capa de aplicación con los casos de uso, la capa de dominio con las entidades y reglas —incluida la valoración por lotes— y la capa de infraestructura encargada de la persistencia y de los servicios externos.</w:t>
      </w:r>
    </w:p>
    <w:p w14:paraId="6E3AC3CC" w14:textId="77777777" w:rsidR="001D042D" w:rsidRDefault="00000000">
      <w:pPr>
        <w:spacing w:after="110" w:line="262" w:lineRule="auto"/>
        <w:jc w:val="both"/>
      </w:pPr>
      <w:r>
        <w:t>Cada licorera opera como un inquilino independiente dentro de la misma instancia: la información de negocio se identifica con la licorera a la que pertenece, de modo que los datos de un cliente no son visibles para otro.</w:t>
      </w:r>
    </w:p>
    <w:p w14:paraId="5F765D06" w14:textId="77777777" w:rsidR="001D042D" w:rsidRDefault="00000000">
      <w:pPr>
        <w:pStyle w:val="Ttulo2"/>
        <w:spacing w:before="150" w:after="80"/>
      </w:pPr>
      <w:bookmarkStart w:id="6" w:name="bm7"/>
      <w:r>
        <w:rPr>
          <w:b/>
          <w:bCs/>
          <w:color w:val="2E5496"/>
          <w:sz w:val="23"/>
          <w:szCs w:val="23"/>
        </w:rPr>
        <w:t>2.2 Tecnologías</w:t>
      </w:r>
      <w:bookmarkEnd w:id="6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400"/>
        <w:gridCol w:w="3660"/>
      </w:tblGrid>
      <w:tr w:rsidR="001D042D" w14:paraId="4AA1D0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DB8904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24567D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36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16D2CD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1D042D" w14:paraId="5CBAF5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02EC8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Servidor de aplicación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9F7AA3" w14:textId="77777777" w:rsidR="001D042D" w:rsidRPr="009F12F4" w:rsidRDefault="00000000">
            <w:pPr>
              <w:spacing w:line="236" w:lineRule="auto"/>
              <w:rPr>
                <w:lang w:val="en-US"/>
              </w:rPr>
            </w:pPr>
            <w:r w:rsidRPr="009F12F4">
              <w:rPr>
                <w:sz w:val="19"/>
                <w:szCs w:val="19"/>
                <w:lang w:val="en-US"/>
              </w:rPr>
              <w:t>Django con Django REST Framework (Python)</w:t>
            </w:r>
          </w:p>
        </w:tc>
        <w:tc>
          <w:tcPr>
            <w:tcW w:w="3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3079B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Lógica de negocio y publicación de la interfaz REST.</w:t>
            </w:r>
          </w:p>
        </w:tc>
      </w:tr>
      <w:tr w:rsidR="001D042D" w14:paraId="774AB0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752893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4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A2341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MySQL 8 con motor InnoDB</w:t>
            </w:r>
          </w:p>
        </w:tc>
        <w:tc>
          <w:tcPr>
            <w:tcW w:w="36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B63CE2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Almacenamiento transaccional de las veinticuatro entidades del modelo.</w:t>
            </w:r>
          </w:p>
        </w:tc>
      </w:tr>
      <w:tr w:rsidR="001D042D" w14:paraId="3C35EB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519A0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Cliente web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FB3C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React (Node y npm)</w:t>
            </w:r>
          </w:p>
        </w:tc>
        <w:tc>
          <w:tcPr>
            <w:tcW w:w="3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F07E9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Interfaz de usuario para escritorio y dispositivos móviles.</w:t>
            </w:r>
          </w:p>
        </w:tc>
      </w:tr>
      <w:tr w:rsidR="001D042D" w14:paraId="69D86D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9F573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Comunicación</w:t>
            </w:r>
          </w:p>
        </w:tc>
        <w:tc>
          <w:tcPr>
            <w:tcW w:w="34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1AD2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API REST sobre HTTPS, con formato JSON y autenticación por token</w:t>
            </w:r>
          </w:p>
        </w:tc>
        <w:tc>
          <w:tcPr>
            <w:tcW w:w="36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BB7DD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Intercambio entre el cliente y el servidor.</w:t>
            </w:r>
          </w:p>
        </w:tc>
      </w:tr>
      <w:tr w:rsidR="001D042D" w14:paraId="3A7F55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FE642F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Servidor web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562A4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Nginx y uWSGI</w:t>
            </w:r>
          </w:p>
        </w:tc>
        <w:tc>
          <w:tcPr>
            <w:tcW w:w="3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1B3E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Publicación de la aplicación y atención de las peticiones.</w:t>
            </w:r>
          </w:p>
        </w:tc>
      </w:tr>
      <w:tr w:rsidR="001D042D" w14:paraId="01E130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2F08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Servicios externos</w:t>
            </w:r>
          </w:p>
        </w:tc>
        <w:tc>
          <w:tcPr>
            <w:tcW w:w="34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148A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Proveedor tecnológico DIAN, en ambiente de pruebas</w:t>
            </w:r>
          </w:p>
        </w:tc>
        <w:tc>
          <w:tcPr>
            <w:tcW w:w="36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DD71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Facturación electrónica.</w:t>
            </w:r>
          </w:p>
        </w:tc>
      </w:tr>
    </w:tbl>
    <w:p w14:paraId="37089981" w14:textId="77777777" w:rsidR="001D042D" w:rsidRDefault="00000000">
      <w:pPr>
        <w:pStyle w:val="Ttulo2"/>
        <w:spacing w:before="150" w:after="80"/>
      </w:pPr>
      <w:bookmarkStart w:id="7" w:name="bm8"/>
      <w:r>
        <w:rPr>
          <w:b/>
          <w:bCs/>
          <w:color w:val="2E5496"/>
          <w:sz w:val="23"/>
          <w:szCs w:val="23"/>
        </w:rPr>
        <w:t>2.3 Documentos de referencia</w:t>
      </w:r>
      <w:bookmarkEnd w:id="7"/>
    </w:p>
    <w:p w14:paraId="5FF5B52B" w14:textId="77777777" w:rsidR="001D042D" w:rsidRDefault="00000000">
      <w:pPr>
        <w:spacing w:after="110" w:line="262" w:lineRule="auto"/>
        <w:jc w:val="both"/>
      </w:pPr>
      <w:r>
        <w:t>La propuesta se sustenta en los siguientes documentos del proyecto, todos en revisión 1:</w:t>
      </w:r>
    </w:p>
    <w:p w14:paraId="70341227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Especificación de requisitos de software (IEEE 830): 48 requisitos funcionales y 8 no funcionales.</w:t>
      </w:r>
    </w:p>
    <w:p w14:paraId="18A952B7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Modelo entidad-relación, modelo relacional y diccionario de datos: 24 entidades y 30 relaciones.</w:t>
      </w:r>
    </w:p>
    <w:p w14:paraId="32D6E35D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Documento de análisis y diseño en UML: actores, clases del dominio, componentes, despliegue, diagramas de actividades y 48 casos de uso extendidos.</w:t>
      </w:r>
    </w:p>
    <w:p w14:paraId="78DD390E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Historias de usuario y product backlog: 48 historias priorizadas y estimadas en 168 puntos.</w:t>
      </w:r>
    </w:p>
    <w:p w14:paraId="59E2B8DC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Documento técnico de diseño: identidad visual, componentes, formularios y pantallas.</w:t>
      </w:r>
    </w:p>
    <w:p w14:paraId="69DAA39D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Modelo de negocio (formato CREAR) y su proyección financiera.</w:t>
      </w:r>
    </w:p>
    <w:p w14:paraId="03C3BA1F" w14:textId="77777777" w:rsidR="001D042D" w:rsidRDefault="00000000">
      <w:pPr>
        <w:pStyle w:val="Ttulo1"/>
        <w:pageBreakBefore/>
        <w:spacing w:before="220" w:after="110"/>
      </w:pPr>
      <w:bookmarkStart w:id="8" w:name="bm9"/>
      <w:r>
        <w:rPr>
          <w:b/>
          <w:bCs/>
          <w:color w:val="1F3864"/>
          <w:sz w:val="27"/>
          <w:szCs w:val="27"/>
        </w:rPr>
        <w:lastRenderedPageBreak/>
        <w:t>3. Metodología de trabajo</w:t>
      </w:r>
      <w:bookmarkEnd w:id="8"/>
    </w:p>
    <w:p w14:paraId="06C7E2F3" w14:textId="77777777" w:rsidR="001D042D" w:rsidRDefault="00000000">
      <w:pPr>
        <w:spacing w:after="110" w:line="262" w:lineRule="auto"/>
        <w:jc w:val="both"/>
      </w:pPr>
      <w:r>
        <w:t>El desarrollo se gestiona con el marco ágil Scrum, en sprints de dos semanas. Al inicio de cada sprint se seleccionan las historias del backlog según su prioridad y se define el objetivo del sprint; al cierre se entrega un incremento funcional y se registra el avance.</w:t>
      </w:r>
    </w:p>
    <w:p w14:paraId="3D5A33C8" w14:textId="77777777" w:rsidR="001D042D" w:rsidRDefault="00000000">
      <w:pPr>
        <w:spacing w:after="110" w:line="262" w:lineRule="auto"/>
        <w:jc w:val="both"/>
      </w:pPr>
      <w:r>
        <w:t>El backlog y los sprints se administran en un tablero de Trello, organizado en dos fases: las tarjetas de análisis y diseño, que habilitan el paso a la construcción, y las tarjetas de construcción agrupadas por módulo. El movimiento de las tarjetas en el tiempo evidencia el proceso de desarrollo, y el repositorio de código registra el flujo de ramas y confirmaciones.</w:t>
      </w:r>
    </w:p>
    <w:p w14:paraId="48815FA4" w14:textId="77777777" w:rsidR="001D042D" w:rsidRDefault="00000000">
      <w:pPr>
        <w:spacing w:after="110" w:line="262" w:lineRule="auto"/>
        <w:jc w:val="both"/>
      </w:pPr>
      <w:r>
        <w:t>Una historia se considera terminada cuando cumple sus criterios de aceptación, cuenta con pruebas que verifican su comportamiento, está integrada en la rama principal y su documentación asociada se encuentra actualizada.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D042D" w14:paraId="14BDE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3EE435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9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C57F9F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1D042D" w14:paraId="78CC8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D574A3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E881E8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Define y prioriza el backlog, y acepta el incremento de cada sprint.</w:t>
            </w:r>
          </w:p>
        </w:tc>
      </w:tr>
      <w:tr w:rsidR="001D042D" w14:paraId="1D8CAE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B01984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69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CFD0D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Facilita el proceso, mantiene el tablero y remueve los impedimentos.</w:t>
            </w:r>
          </w:p>
        </w:tc>
      </w:tr>
      <w:tr w:rsidR="001D042D" w14:paraId="5885C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0BE35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Equipo de desarrollo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1E2BDF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Construye el incremento: análisis técnico, programación, pruebas y despliegue.</w:t>
            </w:r>
          </w:p>
        </w:tc>
      </w:tr>
    </w:tbl>
    <w:p w14:paraId="207AD6CA" w14:textId="77777777" w:rsidR="001D042D" w:rsidRDefault="00000000">
      <w:pPr>
        <w:pStyle w:val="Ttulo1"/>
        <w:pageBreakBefore/>
        <w:spacing w:before="220" w:after="110"/>
      </w:pPr>
      <w:bookmarkStart w:id="9" w:name="bm10"/>
      <w:r>
        <w:rPr>
          <w:b/>
          <w:bCs/>
          <w:color w:val="1F3864"/>
          <w:sz w:val="27"/>
          <w:szCs w:val="27"/>
        </w:rPr>
        <w:lastRenderedPageBreak/>
        <w:t>4. Plan de trabajo y cronograma</w:t>
      </w:r>
      <w:bookmarkEnd w:id="9"/>
    </w:p>
    <w:p w14:paraId="238EB690" w14:textId="77777777" w:rsidR="001D042D" w:rsidRDefault="00000000">
      <w:pPr>
        <w:pStyle w:val="Ttulo2"/>
        <w:spacing w:before="150" w:after="80"/>
      </w:pPr>
      <w:bookmarkStart w:id="10" w:name="bm11"/>
      <w:r>
        <w:rPr>
          <w:b/>
          <w:bCs/>
          <w:color w:val="2E5496"/>
          <w:sz w:val="23"/>
          <w:szCs w:val="23"/>
        </w:rPr>
        <w:t>4.1 Estructura por sprints</w:t>
      </w:r>
      <w:bookmarkEnd w:id="10"/>
    </w:p>
    <w:p w14:paraId="34FE681D" w14:textId="77777777" w:rsidR="001D042D" w:rsidRDefault="00000000">
      <w:pPr>
        <w:spacing w:after="110" w:line="262" w:lineRule="auto"/>
        <w:jc w:val="both"/>
      </w:pPr>
      <w:r>
        <w:t>El trabajo se organiza en seis sprints con fechas de calendario. La etapa productiva inició el 14 de mayo de 2026 y la entrega del componente técnico está fijada para el 30 de noviembre de 2026. Dentro de ese plazo se construyen los módulos SEG, SUS, INV y VEN, que son los que sostienen la operación diaria de una licorera: entrar al sistema, administrar la suscripción, controlar las existencias y vender. Los módulos REP, SED, FAC y AUD quedan especificados, diseñados y modelados, y su construcción continúa después de la entrega.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700"/>
        <w:gridCol w:w="4610"/>
        <w:gridCol w:w="1300"/>
      </w:tblGrid>
      <w:tr w:rsidR="001D042D" w14:paraId="7D4EAE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ECE40C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7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F56D17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461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66BED4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B3C30E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D042D" w14:paraId="712BDCC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8C29F9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0 · Análisis y diseño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3316F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14 jul – 12 sep 2026</w:t>
            </w:r>
          </w:p>
        </w:tc>
        <w:tc>
          <w:tcPr>
            <w:tcW w:w="46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3DB17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Especificación de requisitos, análisis y diseño en UML, modelo de datos y diccionario, prototipo de interfaz, documento técnico de diseño, manual de marca, historias de usuario y propuesta técnica y económica.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F8DC6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Terminado</w:t>
            </w:r>
          </w:p>
        </w:tc>
      </w:tr>
      <w:tr w:rsidR="001D042D" w14:paraId="12CB62C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12F62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 · SEG — Seguridad</w:t>
            </w:r>
          </w:p>
        </w:tc>
        <w:tc>
          <w:tcPr>
            <w:tcW w:w="17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4396E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15 – 23 sep 2026</w:t>
            </w:r>
          </w:p>
        </w:tc>
        <w:tc>
          <w:tcPr>
            <w:tcW w:w="461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00B64B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Registro de la licorera, autenticación, roles, gestión de usuarios, recuperación de contraseña, perfil y manual de usuario del módulo.</w:t>
            </w:r>
          </w:p>
        </w:tc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5E32B1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Terminado</w:t>
            </w:r>
          </w:p>
        </w:tc>
      </w:tr>
      <w:tr w:rsidR="001D042D" w14:paraId="4C00F25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9A3CA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2 · SUS — Suscripciones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56E8A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25 sep – 10 oct 2026</w:t>
            </w:r>
          </w:p>
        </w:tc>
        <w:tc>
          <w:tcPr>
            <w:tcW w:w="46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3E93DB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Planes Básico y Pro, período de prueba, estados de la suscripción y límites por plan.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BAE57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En curso</w:t>
            </w:r>
          </w:p>
        </w:tc>
      </w:tr>
      <w:tr w:rsidR="001D042D" w14:paraId="1707DE6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D2CF2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3 · INV — Inventario</w:t>
            </w:r>
          </w:p>
        </w:tc>
        <w:tc>
          <w:tcPr>
            <w:tcW w:w="17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92351B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13 – 31 oct 2026</w:t>
            </w:r>
          </w:p>
        </w:tc>
        <w:tc>
          <w:tcPr>
            <w:tcW w:w="461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0C039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Catálogo de productos, entradas por lote, valoración PEPS, kardex, ajustes y alertas de existencias.</w:t>
            </w:r>
          </w:p>
        </w:tc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23C7F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1D042D" w14:paraId="45D54A6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EB0E0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4 · VEN — Ventas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85CD68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3 – 21 nov 2026</w:t>
            </w:r>
          </w:p>
        </w:tc>
        <w:tc>
          <w:tcPr>
            <w:tcW w:w="461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5BE5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Punto de venta, medios de pago, comprobante, anulación con reversión de lotes y cierre diario de caja.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04B65F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  <w:tr w:rsidR="001D042D" w14:paraId="316D323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934C6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5 · Cierre</w:t>
            </w:r>
          </w:p>
        </w:tc>
        <w:tc>
          <w:tcPr>
            <w:tcW w:w="17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E79544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24 – 30 nov 2026</w:t>
            </w:r>
          </w:p>
        </w:tc>
        <w:tc>
          <w:tcPr>
            <w:tcW w:w="461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5616D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Pruebas integrales, corrección, despliegue, manuales y acta de entrega.</w:t>
            </w:r>
          </w:p>
        </w:tc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B7E8D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Pendiente</w:t>
            </w:r>
          </w:p>
        </w:tc>
      </w:tr>
    </w:tbl>
    <w:p w14:paraId="452B355A" w14:textId="77777777" w:rsidR="001D042D" w:rsidRDefault="00000000">
      <w:pPr>
        <w:pStyle w:val="Ttulo2"/>
        <w:spacing w:before="150" w:after="80"/>
      </w:pPr>
      <w:bookmarkStart w:id="11" w:name="bm12"/>
      <w:r>
        <w:rPr>
          <w:b/>
          <w:bCs/>
          <w:color w:val="2E5496"/>
          <w:sz w:val="23"/>
          <w:szCs w:val="23"/>
        </w:rPr>
        <w:t>4.2 Hitos de la etapa productiva</w:t>
      </w:r>
      <w:bookmarkEnd w:id="11"/>
    </w:p>
    <w:p w14:paraId="25AA9656" w14:textId="77777777" w:rsidR="001D042D" w:rsidRDefault="00000000">
      <w:pPr>
        <w:spacing w:after="110" w:line="262" w:lineRule="auto"/>
        <w:jc w:val="both"/>
      </w:pPr>
      <w:r>
        <w:t>Las fechas de referencia de la etapa productiva son las siguientes. La entrega se sitúa en noviembre, y no al final de la ficha, para que el proyecto alcance a ser revisado y corregido antes del receso de fin de año.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2800"/>
      </w:tblGrid>
      <w:tr w:rsidR="001D042D" w14:paraId="760B36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563683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28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760E31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1D042D" w14:paraId="297F0207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4AEA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Afiliación a la ARL e inicio de la etapa productiva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4CAC69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14 de mayo de 2026</w:t>
            </w:r>
          </w:p>
        </w:tc>
      </w:tr>
      <w:tr w:rsidR="001D042D" w14:paraId="4FEABA55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D7DC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Aprobación del componente de emprendimiento</w:t>
            </w:r>
          </w:p>
        </w:tc>
        <w:tc>
          <w:tcPr>
            <w:tcW w:w="28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4E9D0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14 de julio de 2026</w:t>
            </w:r>
          </w:p>
        </w:tc>
      </w:tr>
      <w:tr w:rsidR="001D042D" w14:paraId="3780A908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FB2FD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Entrega del componente técnico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67003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30 de noviembre de 2026</w:t>
            </w:r>
          </w:p>
        </w:tc>
      </w:tr>
      <w:tr w:rsidR="001D042D" w14:paraId="7016EBA9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E16A53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Receso de fin de año del SENA</w:t>
            </w:r>
          </w:p>
        </w:tc>
        <w:tc>
          <w:tcPr>
            <w:tcW w:w="28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B8EAD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11 de diciembre de 2026</w:t>
            </w:r>
          </w:p>
        </w:tc>
      </w:tr>
      <w:tr w:rsidR="001D042D" w14:paraId="25E386F7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5BA842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Fin de la ficha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52BB2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13 de enero de 2027</w:t>
            </w:r>
          </w:p>
        </w:tc>
      </w:tr>
    </w:tbl>
    <w:p w14:paraId="24BD6E80" w14:textId="77777777" w:rsidR="001D042D" w:rsidRDefault="00000000">
      <w:pPr>
        <w:pStyle w:val="Ttulo2"/>
        <w:spacing w:before="150" w:after="80"/>
      </w:pPr>
      <w:bookmarkStart w:id="12" w:name="bm13"/>
      <w:r>
        <w:rPr>
          <w:b/>
          <w:bCs/>
          <w:color w:val="2E5496"/>
          <w:sz w:val="23"/>
          <w:szCs w:val="23"/>
        </w:rPr>
        <w:t>4.3 Entregables</w:t>
      </w:r>
      <w:bookmarkEnd w:id="12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D042D" w14:paraId="04977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44E3E4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73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E76EED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Entregables</w:t>
            </w:r>
          </w:p>
        </w:tc>
      </w:tr>
      <w:tr w:rsidR="001D042D" w14:paraId="13230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B493B9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Análisis y diseño</w:t>
            </w:r>
          </w:p>
        </w:tc>
        <w:tc>
          <w:tcPr>
            <w:tcW w:w="73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93FB78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Especificación de requisitos, modelo de datos y diccionario, análisis y diseño en UML, historias de usuario y backlog, prototipo, documento técnico de diseño, manual de marca y esta propuesta.</w:t>
            </w:r>
          </w:p>
        </w:tc>
      </w:tr>
      <w:tr w:rsidR="001D042D" w14:paraId="7F2E4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CC9838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Construcción</w:t>
            </w:r>
          </w:p>
        </w:tc>
        <w:tc>
          <w:tcPr>
            <w:tcW w:w="73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F871B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Código fuente en el repositorio con su flujo de ramas y confirmaciones, scripts de base de datos con la carga inicial, e incrementos funcionales por módulo.</w:t>
            </w:r>
          </w:p>
        </w:tc>
      </w:tr>
      <w:tr w:rsidR="001D042D" w14:paraId="676A1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BA3957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Pruebas</w:t>
            </w:r>
          </w:p>
        </w:tc>
        <w:tc>
          <w:tcPr>
            <w:tcW w:w="73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36766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Informe de pruebas unitarias, de integración, funcionales y de la interfaz de programación, con sus bitácoras y planes de mejora.</w:t>
            </w:r>
          </w:p>
        </w:tc>
      </w:tr>
      <w:tr w:rsidR="001D042D" w14:paraId="293EB0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6C9E0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lastRenderedPageBreak/>
              <w:t>Despliegue y entrega</w:t>
            </w:r>
          </w:p>
        </w:tc>
        <w:tc>
          <w:tcPr>
            <w:tcW w:w="73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F709C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Aplicación desplegada con su dirección de acceso, manual de usuario, manual técnico, plan de respaldo y recuperación, documento de cierre técnico y acta de entrega.</w:t>
            </w:r>
          </w:p>
        </w:tc>
      </w:tr>
    </w:tbl>
    <w:p w14:paraId="6501E6C2" w14:textId="77777777" w:rsidR="001D042D" w:rsidRDefault="00000000">
      <w:pPr>
        <w:pStyle w:val="Ttulo1"/>
        <w:pageBreakBefore/>
        <w:spacing w:before="220" w:after="110"/>
      </w:pPr>
      <w:bookmarkStart w:id="13" w:name="bm14"/>
      <w:r>
        <w:rPr>
          <w:b/>
          <w:bCs/>
          <w:color w:val="1F3864"/>
          <w:sz w:val="27"/>
          <w:szCs w:val="27"/>
        </w:rPr>
        <w:lastRenderedPageBreak/>
        <w:t>5. Equipo de trabajo</w:t>
      </w:r>
      <w:bookmarkEnd w:id="13"/>
    </w:p>
    <w:p w14:paraId="14FE990A" w14:textId="77777777" w:rsidR="001D042D" w:rsidRDefault="00000000">
      <w:pPr>
        <w:spacing w:after="110" w:line="262" w:lineRule="auto"/>
        <w:jc w:val="both"/>
      </w:pPr>
      <w:r>
        <w:t>El proyecto se ejecuta con el equipo previsto en el modelo de negocio: dos personas vinculadas por prestación de servicios desde el primer mes.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900"/>
        <w:gridCol w:w="2660"/>
      </w:tblGrid>
      <w:tr w:rsidR="001D042D" w14:paraId="4F85A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41D214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49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4FAA5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6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B05A50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Dedicación</w:t>
            </w:r>
          </w:p>
        </w:tc>
      </w:tr>
      <w:tr w:rsidR="001D042D" w14:paraId="36876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9BD5B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Líder técnico</w:t>
            </w:r>
          </w:p>
        </w:tc>
        <w:tc>
          <w:tcPr>
            <w:tcW w:w="4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62695B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Análisis, diseño, programación del servidor y del cliente, pruebas, despliegue y documentación técnica.</w:t>
            </w:r>
          </w:p>
        </w:tc>
        <w:tc>
          <w:tcPr>
            <w:tcW w:w="26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709169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Tiempo completo durante los seis sprints.</w:t>
            </w:r>
          </w:p>
        </w:tc>
      </w:tr>
      <w:tr w:rsidR="001D042D" w14:paraId="01F956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E1788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Comercial</w:t>
            </w:r>
          </w:p>
        </w:tc>
        <w:tc>
          <w:tcPr>
            <w:tcW w:w="4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D9287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Pruebas de aceptación, capacitación de los primeros clientes, soporte de primer nivel y actividades de venta.</w:t>
            </w:r>
          </w:p>
        </w:tc>
        <w:tc>
          <w:tcPr>
            <w:tcW w:w="26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2F04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Tiempo completo, con participación en el desarrollo desde las pruebas de aceptación.</w:t>
            </w:r>
          </w:p>
        </w:tc>
      </w:tr>
    </w:tbl>
    <w:p w14:paraId="55790E06" w14:textId="77777777" w:rsidR="001D042D" w:rsidRDefault="00000000">
      <w:pPr>
        <w:spacing w:after="110" w:line="262" w:lineRule="auto"/>
        <w:jc w:val="both"/>
      </w:pPr>
      <w:r>
        <w:t>El líder técnico asume igualmente los roles de Product Owner y Scrum Master previstos en la metodología, con la validación del instructor asignado por el centro de formación.</w:t>
      </w:r>
    </w:p>
    <w:p w14:paraId="201BD0A1" w14:textId="77777777" w:rsidR="001D042D" w:rsidRDefault="00000000">
      <w:pPr>
        <w:pStyle w:val="Ttulo1"/>
        <w:pageBreakBefore/>
        <w:spacing w:before="220" w:after="110"/>
      </w:pPr>
      <w:bookmarkStart w:id="14" w:name="bm15"/>
      <w:r>
        <w:rPr>
          <w:b/>
          <w:bCs/>
          <w:color w:val="1F3864"/>
          <w:sz w:val="27"/>
          <w:szCs w:val="27"/>
        </w:rPr>
        <w:lastRenderedPageBreak/>
        <w:t>6. Propuesta económica</w:t>
      </w:r>
      <w:bookmarkEnd w:id="14"/>
    </w:p>
    <w:p w14:paraId="661F6FCD" w14:textId="77777777" w:rsidR="001D042D" w:rsidRDefault="00000000">
      <w:pPr>
        <w:spacing w:after="110" w:line="262" w:lineRule="auto"/>
        <w:jc w:val="both"/>
      </w:pPr>
      <w:r>
        <w:t>Los valores de esta sección provienen del modelo de negocio del proyecto y de su presupuesto aprobado. Todas las cifras están expresadas en pesos colombianos.</w:t>
      </w:r>
    </w:p>
    <w:p w14:paraId="5F10F7F8" w14:textId="77777777" w:rsidR="001D042D" w:rsidRDefault="00000000">
      <w:pPr>
        <w:pStyle w:val="Ttulo2"/>
        <w:spacing w:before="150" w:after="80"/>
      </w:pPr>
      <w:bookmarkStart w:id="15" w:name="bm16"/>
      <w:r>
        <w:rPr>
          <w:b/>
          <w:bCs/>
          <w:color w:val="2E5496"/>
          <w:sz w:val="23"/>
          <w:szCs w:val="23"/>
        </w:rPr>
        <w:t>6.1 Costo del personal durante el desarrollo</w:t>
      </w:r>
      <w:bookmarkEnd w:id="15"/>
    </w:p>
    <w:p w14:paraId="2905BF89" w14:textId="77777777" w:rsidR="001D042D" w:rsidRDefault="00000000">
      <w:pPr>
        <w:spacing w:after="110" w:line="262" w:lineRule="auto"/>
        <w:jc w:val="both"/>
      </w:pPr>
      <w:r>
        <w:t>Los honorarios mensuales son de $2.500.000 para el líder técnico y de $2.000.000 para el comercial. Los cuatro meses que ocupa el desarrollo del software representan el siguiente costo: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1200"/>
        <w:gridCol w:w="2960"/>
      </w:tblGrid>
      <w:tr w:rsidR="001D042D" w14:paraId="48895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91A776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2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D238A6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 mensual</w:t>
            </w:r>
          </w:p>
        </w:tc>
        <w:tc>
          <w:tcPr>
            <w:tcW w:w="12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D42FE4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Meses</w:t>
            </w:r>
          </w:p>
        </w:tc>
        <w:tc>
          <w:tcPr>
            <w:tcW w:w="29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E13C5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Subtotal</w:t>
            </w:r>
          </w:p>
        </w:tc>
      </w:tr>
      <w:tr w:rsidR="001D042D" w14:paraId="14BE3F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5DED2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Líder técnico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1FF6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$2.500.000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BFAF1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ADDB2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$10.000.000</w:t>
            </w:r>
          </w:p>
        </w:tc>
      </w:tr>
      <w:tr w:rsidR="001D042D" w14:paraId="5C9FB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A6C36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Comercial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A4417B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$2.000.000</w:t>
            </w:r>
          </w:p>
        </w:tc>
        <w:tc>
          <w:tcPr>
            <w:tcW w:w="12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70E274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C3CA8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$8.000.000</w:t>
            </w:r>
          </w:p>
        </w:tc>
      </w:tr>
      <w:tr w:rsidR="001D042D" w14:paraId="57117D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EB8EE7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Subtotal del desarrollo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D61CF8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$4.500.000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2230C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A74BBE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$18.000.000</w:t>
            </w:r>
          </w:p>
        </w:tc>
      </w:tr>
    </w:tbl>
    <w:p w14:paraId="55020064" w14:textId="77777777" w:rsidR="001D042D" w:rsidRDefault="00000000">
      <w:pPr>
        <w:spacing w:after="110" w:line="262" w:lineRule="auto"/>
        <w:jc w:val="both"/>
      </w:pPr>
      <w:r>
        <w:t>El periodo financiado del plan operativo es de nueve meses, con un total de honorarios de $40.500.000. De ese total, $18.000.000 corresponden a los cuatro meses de desarrollo del software y $22.500.000 a los cinco meses siguientes, dedicados a la puesta en marcha comercial y al soporte de los primeros clientes.</w:t>
      </w:r>
    </w:p>
    <w:p w14:paraId="48D5E65A" w14:textId="77777777" w:rsidR="001D042D" w:rsidRDefault="00000000">
      <w:pPr>
        <w:pStyle w:val="Ttulo2"/>
        <w:spacing w:before="150" w:after="80"/>
      </w:pPr>
      <w:bookmarkStart w:id="16" w:name="bm17"/>
      <w:r>
        <w:rPr>
          <w:b/>
          <w:bCs/>
          <w:color w:val="2E5496"/>
          <w:sz w:val="23"/>
          <w:szCs w:val="23"/>
        </w:rPr>
        <w:t>6.2 Equipos, software e infraestructura</w:t>
      </w:r>
      <w:bookmarkEnd w:id="16"/>
    </w:p>
    <w:p w14:paraId="50F2E55C" w14:textId="77777777" w:rsidR="001D042D" w:rsidRDefault="00000000">
      <w:pPr>
        <w:spacing w:after="110" w:line="262" w:lineRule="auto"/>
        <w:jc w:val="both"/>
      </w:pPr>
      <w:r>
        <w:t>El rubro de equipos, muebles y software asciende a $19.000.000 y cubre los equipos de cómputo del equipo de trabajo, el mobiliario y las licencias y servicios necesarios para el desarrollo y la operación de la aplicación. Las herramientas de construcción —el marco de trabajo del servidor, el motor de base de datos y las librerías del cliente— son de distribución libre y no generan costo de licenciamiento.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D042D" w14:paraId="1AA92C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55CC06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69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80AE3D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D042D" w14:paraId="1E4BE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1D429A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Equipos de cómputo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9103C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Estaciones de trabajo para el líder técnico y el comercial.</w:t>
            </w:r>
          </w:p>
        </w:tc>
      </w:tr>
      <w:tr w:rsidR="001D042D" w14:paraId="307E0C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8FA1C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Mobiliario</w:t>
            </w:r>
          </w:p>
        </w:tc>
        <w:tc>
          <w:tcPr>
            <w:tcW w:w="69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3EF65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Puestos de trabajo del lugar de operaciones.</w:t>
            </w:r>
          </w:p>
        </w:tc>
      </w:tr>
      <w:tr w:rsidR="001D042D" w14:paraId="63C0D9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BDE518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Servidor y publicación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AB4A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Servicio de alojamiento de la aplicación y de la base de datos, con su dominio y certificado de seguridad.</w:t>
            </w:r>
          </w:p>
        </w:tc>
      </w:tr>
      <w:tr w:rsidR="001D042D" w14:paraId="62BE7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59BA17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Correo y respaldo</w:t>
            </w:r>
          </w:p>
        </w:tc>
        <w:tc>
          <w:tcPr>
            <w:tcW w:w="69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44FD84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Servicio de correo corporativo y almacenamiento para las copias de seguridad.</w:t>
            </w:r>
          </w:p>
        </w:tc>
      </w:tr>
      <w:tr w:rsidR="001D042D" w14:paraId="281FC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3BB24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Servicios externos</w:t>
            </w:r>
          </w:p>
        </w:tc>
        <w:tc>
          <w:tcPr>
            <w:tcW w:w="69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34013A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Ambiente de pruebas del proveedor tecnológico de facturación electrónica, sin costo en esta etapa.</w:t>
            </w:r>
          </w:p>
        </w:tc>
      </w:tr>
    </w:tbl>
    <w:p w14:paraId="66E0778E" w14:textId="77777777" w:rsidR="001D042D" w:rsidRDefault="00000000">
      <w:pPr>
        <w:pStyle w:val="Ttulo2"/>
        <w:spacing w:before="150" w:after="80"/>
      </w:pPr>
      <w:bookmarkStart w:id="17" w:name="bm18"/>
      <w:r>
        <w:rPr>
          <w:b/>
          <w:bCs/>
          <w:color w:val="2E5496"/>
          <w:sz w:val="23"/>
          <w:szCs w:val="23"/>
        </w:rPr>
        <w:t>6.3 Otros rubros del proyecto</w:t>
      </w:r>
      <w:bookmarkEnd w:id="17"/>
    </w:p>
    <w:p w14:paraId="4C575E99" w14:textId="77777777" w:rsidR="001D042D" w:rsidRDefault="00000000">
      <w:pPr>
        <w:spacing w:after="110" w:line="262" w:lineRule="auto"/>
        <w:jc w:val="both"/>
      </w:pPr>
      <w:r>
        <w:t>El presupuesto contempla además $6.000.000 para la estrategia de comunicación, destinada a la difusión de la solución y a la captación de los primeros clientes, y $6.600.000 para insumos y gastos operativos del periodo de ejecución.</w:t>
      </w:r>
    </w:p>
    <w:p w14:paraId="4ED4EF85" w14:textId="77777777" w:rsidR="001D042D" w:rsidRDefault="00000000">
      <w:pPr>
        <w:pStyle w:val="Ttulo2"/>
        <w:spacing w:before="150" w:after="80"/>
      </w:pPr>
      <w:bookmarkStart w:id="18" w:name="bm19"/>
      <w:r>
        <w:rPr>
          <w:b/>
          <w:bCs/>
          <w:color w:val="2E5496"/>
          <w:sz w:val="23"/>
          <w:szCs w:val="23"/>
        </w:rPr>
        <w:t>6.4 Resumen del presupuesto</w:t>
      </w:r>
      <w:bookmarkEnd w:id="18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3000"/>
        <w:gridCol w:w="2000"/>
      </w:tblGrid>
      <w:tr w:rsidR="001D042D" w14:paraId="64C82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F59649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Rubro</w:t>
            </w:r>
          </w:p>
        </w:tc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93479C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2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F0463" w14:textId="77777777" w:rsidR="001D042D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1D042D" w14:paraId="72FF378E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E635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Equipos, muebles y software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E6FC1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Fondo Emprender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62E530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$19.000.000</w:t>
            </w:r>
          </w:p>
        </w:tc>
      </w:tr>
      <w:tr w:rsidR="001D042D" w14:paraId="55067F4E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03299D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Honorarios del equipo (nueve meses)</w:t>
            </w:r>
          </w:p>
        </w:tc>
        <w:tc>
          <w:tcPr>
            <w:tcW w:w="3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603C9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Fondo Emprender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010416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$40.500.000</w:t>
            </w:r>
          </w:p>
        </w:tc>
      </w:tr>
      <w:tr w:rsidR="001D042D" w14:paraId="2555A7D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4EBFD4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Estrategia de comunicación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2228D1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Fondo Emprender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4BD0E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$6.000.000</w:t>
            </w:r>
          </w:p>
        </w:tc>
      </w:tr>
      <w:tr w:rsidR="001D042D" w14:paraId="56FAB9DB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14B034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Insumos y gastos operativos</w:t>
            </w:r>
          </w:p>
        </w:tc>
        <w:tc>
          <w:tcPr>
            <w:tcW w:w="3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8B792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Fondo Emprender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673F79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$6.600.000</w:t>
            </w:r>
          </w:p>
        </w:tc>
      </w:tr>
      <w:tr w:rsidR="001D042D" w14:paraId="2E898655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B8E989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Subtotal solicitado al Fondo Emprender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E42AF3" w14:textId="77777777" w:rsidR="001D042D" w:rsidRDefault="001D042D">
            <w:pPr>
              <w:spacing w:line="236" w:lineRule="auto"/>
            </w:pPr>
          </w:p>
        </w:tc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50819E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$72.100.000</w:t>
            </w:r>
          </w:p>
        </w:tc>
      </w:tr>
      <w:tr w:rsidR="001D042D" w14:paraId="0BD27865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F32EF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Constitución legal de la empresa</w:t>
            </w:r>
          </w:p>
        </w:tc>
        <w:tc>
          <w:tcPr>
            <w:tcW w:w="3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E7E05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Aporte del emprendedor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15650C" w14:textId="77777777" w:rsidR="001D042D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$1.500.000</w:t>
            </w:r>
          </w:p>
        </w:tc>
      </w:tr>
      <w:tr w:rsidR="001D042D" w14:paraId="2EF05535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61780F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Total del proyecto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7A839" w14:textId="77777777" w:rsidR="001D042D" w:rsidRDefault="001D042D">
            <w:pPr>
              <w:spacing w:line="236" w:lineRule="auto"/>
            </w:pPr>
          </w:p>
        </w:tc>
        <w:tc>
          <w:tcPr>
            <w:tcW w:w="2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0D6534" w14:textId="77777777" w:rsidR="001D042D" w:rsidRDefault="00000000">
            <w:pPr>
              <w:spacing w:line="236" w:lineRule="auto"/>
            </w:pPr>
            <w:r>
              <w:rPr>
                <w:b/>
                <w:bCs/>
                <w:sz w:val="19"/>
                <w:szCs w:val="19"/>
              </w:rPr>
              <w:t>$73.600.000</w:t>
            </w:r>
          </w:p>
        </w:tc>
      </w:tr>
    </w:tbl>
    <w:p w14:paraId="55019982" w14:textId="77777777" w:rsidR="001D042D" w:rsidRDefault="00000000">
      <w:pPr>
        <w:spacing w:after="110" w:line="262" w:lineRule="auto"/>
        <w:jc w:val="both"/>
      </w:pPr>
      <w:r>
        <w:lastRenderedPageBreak/>
        <w:t>El valor solicitado al Fondo Emprender equivale a 41,2 salarios mínimos mensuales legales vigentes de 2026, por debajo del tope de 42 previsto para las iniciativas individuales que generan dos empleos formales.</w:t>
      </w:r>
    </w:p>
    <w:p w14:paraId="396B0677" w14:textId="77777777" w:rsidR="001D042D" w:rsidRDefault="00000000">
      <w:pPr>
        <w:pStyle w:val="Ttulo1"/>
        <w:pageBreakBefore/>
        <w:spacing w:before="220" w:after="110"/>
      </w:pPr>
      <w:bookmarkStart w:id="19" w:name="bm20"/>
      <w:r>
        <w:rPr>
          <w:b/>
          <w:bCs/>
          <w:color w:val="1F3864"/>
          <w:sz w:val="27"/>
          <w:szCs w:val="27"/>
        </w:rPr>
        <w:lastRenderedPageBreak/>
        <w:t>7. Supuestos y condiciones</w:t>
      </w:r>
      <w:bookmarkEnd w:id="19"/>
    </w:p>
    <w:p w14:paraId="59E3CED5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El desarrollo inicia una vez aprobados los documentos de análisis y diseño por parte del área técnica del centro de formación.</w:t>
      </w:r>
    </w:p>
    <w:p w14:paraId="1382A5C9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El alcance corresponde a los requisitos aprobados. Cualquier requisito nuevo se incorpora al backlog y se atiende en un sprint posterior, previo acuerdo sobre su efecto en el plazo.</w:t>
      </w:r>
    </w:p>
    <w:p w14:paraId="161ED2C9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Las pruebas con servicios externos se realizan en sus ambientes de prueba; la habilitación en producción es un trámite de la operación comercial.</w:t>
      </w:r>
    </w:p>
    <w:p w14:paraId="3789166D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Los valores presentados corresponden al presupuesto del modelo de negocio y no incluyen tributos adicionales ni costos de terceros no previstos en él.</w:t>
      </w:r>
    </w:p>
    <w:p w14:paraId="212E3049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El proyecto se ejecuta con el equipo de dos personas indicado. Una vinculación adicional se evalúa en fases posteriores, según el comportamiento de las ventas.</w:t>
      </w:r>
    </w:p>
    <w:p w14:paraId="03FF2E73" w14:textId="77777777" w:rsidR="001D042D" w:rsidRDefault="00000000">
      <w:pPr>
        <w:pStyle w:val="Ttulo1"/>
        <w:pageBreakBefore/>
        <w:spacing w:before="220" w:after="110"/>
      </w:pPr>
      <w:bookmarkStart w:id="20" w:name="bm21"/>
      <w:r>
        <w:rPr>
          <w:b/>
          <w:bCs/>
          <w:color w:val="1F3864"/>
          <w:sz w:val="27"/>
          <w:szCs w:val="27"/>
        </w:rPr>
        <w:lastRenderedPageBreak/>
        <w:t>8. Entrega, garantía y soporte</w:t>
      </w:r>
      <w:bookmarkEnd w:id="20"/>
    </w:p>
    <w:p w14:paraId="6FA5A1A7" w14:textId="77777777" w:rsidR="001D042D" w:rsidRDefault="00000000">
      <w:pPr>
        <w:spacing w:after="110" w:line="262" w:lineRule="auto"/>
        <w:jc w:val="both"/>
      </w:pPr>
      <w:r>
        <w:t>La entrega del producto comprende la aplicación desplegada y accesible, el código fuente en el repositorio, los scripts de base de datos con su carga inicial, el manual de usuario, el manual técnico, el informe de pruebas, el plan de respaldo y recuperación, y el acta de entrega firmada.</w:t>
      </w:r>
    </w:p>
    <w:p w14:paraId="4037867E" w14:textId="77777777" w:rsidR="001D042D" w:rsidRDefault="00000000">
      <w:pPr>
        <w:spacing w:after="110" w:line="262" w:lineRule="auto"/>
        <w:jc w:val="both"/>
      </w:pPr>
      <w:r>
        <w:t>Tras la entrega se prevé un periodo de acompañamiento en el que se corrigen los defectos que se identifiquen sobre el alcance aprobado, se capacita a los usuarios de los primeros clientes y se atiende el soporte de primer nivel. Las copias de seguridad se programan de forma periódica y su restauración queda registrada en la auditoría del sistema.</w:t>
      </w:r>
    </w:p>
    <w:p w14:paraId="2D2F6F4F" w14:textId="77777777" w:rsidR="001D042D" w:rsidRDefault="00000000">
      <w:pPr>
        <w:pStyle w:val="Ttulo1"/>
        <w:pageBreakBefore/>
        <w:spacing w:before="220" w:after="110"/>
      </w:pPr>
      <w:bookmarkStart w:id="21" w:name="bm22"/>
      <w:r>
        <w:rPr>
          <w:b/>
          <w:bCs/>
          <w:color w:val="1F3864"/>
          <w:sz w:val="27"/>
          <w:szCs w:val="27"/>
        </w:rPr>
        <w:lastRenderedPageBreak/>
        <w:t>9. Conclusión</w:t>
      </w:r>
      <w:bookmarkEnd w:id="21"/>
    </w:p>
    <w:p w14:paraId="0FCDF3E2" w14:textId="77777777" w:rsidR="001D042D" w:rsidRDefault="00000000">
      <w:pPr>
        <w:spacing w:after="110" w:line="262" w:lineRule="auto"/>
        <w:jc w:val="both"/>
      </w:pPr>
      <w:r>
        <w:t>La propuesta muestra que INVENTRA puede construirse en los seis sprints del plan de trabajo, con el equipo de dos personas y los recursos contemplados en el modelo de negocio. El desarrollo consume $18.000.000 de los $40.500.000 de honorarios previstos, dentro de un presupuesto total de $73.600.000 que incluye los equipos, la estrategia de comunicación y los gastos operativos del periodo de ejecución.</w:t>
      </w:r>
    </w:p>
    <w:p w14:paraId="6B11D1D5" w14:textId="77777777" w:rsidR="001D042D" w:rsidRDefault="00000000">
      <w:pPr>
        <w:spacing w:after="110" w:line="262" w:lineRule="auto"/>
        <w:jc w:val="both"/>
      </w:pPr>
      <w:r>
        <w:t>El plan se apoya en documentos de análisis y diseño ya terminados —requisitos, modelo de datos, casos de uso, prototipo y sistema de diseño—, lo que reduce la incertidumbre de la construcción y permite que cada sprint entregue un incremento verificable frente a requisitos previamente definidos.</w:t>
      </w:r>
    </w:p>
    <w:p w14:paraId="25ABC314" w14:textId="77777777" w:rsidR="001D042D" w:rsidRDefault="00000000">
      <w:pPr>
        <w:pStyle w:val="Ttulo1"/>
        <w:pageBreakBefore/>
        <w:spacing w:before="220" w:after="110"/>
      </w:pPr>
      <w:bookmarkStart w:id="22" w:name="bm23"/>
      <w:r>
        <w:rPr>
          <w:b/>
          <w:bCs/>
          <w:color w:val="1F3864"/>
          <w:sz w:val="27"/>
          <w:szCs w:val="27"/>
        </w:rPr>
        <w:lastRenderedPageBreak/>
        <w:t>10. Referencias</w:t>
      </w:r>
      <w:bookmarkEnd w:id="22"/>
    </w:p>
    <w:p w14:paraId="4967A2EB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Especificación de requisitos de software INVENTRA (IEEE 830), revisión 1.</w:t>
      </w:r>
    </w:p>
    <w:p w14:paraId="27E1E43E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Modelo entidad-relación, modelo relacional y diccionario de datos de INVENTRA, revisión 1.</w:t>
      </w:r>
    </w:p>
    <w:p w14:paraId="1FFDF452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Documento de análisis y diseño en UML de INVENTRA, revisión 1.</w:t>
      </w:r>
    </w:p>
    <w:p w14:paraId="6C92A070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Historias de usuario y product backlog de INVENTRA, revisión 1.</w:t>
      </w:r>
    </w:p>
    <w:p w14:paraId="5021E0CC" w14:textId="27C03C7E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Documento técnico de diseño de INVENTRA, revisión 1</w:t>
      </w:r>
      <w:r w:rsidR="009F12F4">
        <w:t>.</w:t>
      </w:r>
    </w:p>
    <w:p w14:paraId="3EB9D28B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Modelo de negocio INVENTRA, formato CREAR del Fondo Emprender, y su proyección financiera.</w:t>
      </w:r>
    </w:p>
    <w:p w14:paraId="79CEEF91" w14:textId="77777777" w:rsidR="001D042D" w:rsidRDefault="00000000">
      <w:pPr>
        <w:pStyle w:val="Prrafodelista"/>
        <w:numPr>
          <w:ilvl w:val="0"/>
          <w:numId w:val="1"/>
        </w:numPr>
        <w:spacing w:after="60" w:line="258" w:lineRule="auto"/>
      </w:pPr>
      <w:r>
        <w:t>Schwaber, K. y Sutherland, J. La guía de Scrum. Scrum.org, 2020.</w:t>
      </w:r>
    </w:p>
    <w:sectPr w:rsidR="001D042D">
      <w:footerReference w:type="default" r:id="rId7"/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C903" w14:textId="77777777" w:rsidR="00AF79BF" w:rsidRDefault="00AF79BF">
      <w:r>
        <w:separator/>
      </w:r>
    </w:p>
  </w:endnote>
  <w:endnote w:type="continuationSeparator" w:id="0">
    <w:p w14:paraId="37AD15CF" w14:textId="77777777" w:rsidR="00AF79BF" w:rsidRDefault="00AF7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0030" w14:textId="77777777" w:rsidR="001D042D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F12F4">
      <w:rPr>
        <w:noProof/>
        <w:sz w:val="18"/>
        <w:szCs w:val="18"/>
      </w:rPr>
      <w:t>33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264" w14:textId="77777777" w:rsidR="00AF79BF" w:rsidRDefault="00AF79BF">
      <w:r>
        <w:separator/>
      </w:r>
    </w:p>
  </w:footnote>
  <w:footnote w:type="continuationSeparator" w:id="0">
    <w:p w14:paraId="7A42BC03" w14:textId="77777777" w:rsidR="00AF79BF" w:rsidRDefault="00AF7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197C"/>
    <w:multiLevelType w:val="hybridMultilevel"/>
    <w:tmpl w:val="BF5E2C6A"/>
    <w:lvl w:ilvl="0" w:tplc="3EA80F30">
      <w:start w:val="1"/>
      <w:numFmt w:val="bullet"/>
      <w:lvlText w:val="●"/>
      <w:lvlJc w:val="left"/>
      <w:pPr>
        <w:ind w:left="720" w:hanging="360"/>
      </w:pPr>
    </w:lvl>
    <w:lvl w:ilvl="1" w:tplc="E04AF2D0">
      <w:start w:val="1"/>
      <w:numFmt w:val="bullet"/>
      <w:lvlText w:val="○"/>
      <w:lvlJc w:val="left"/>
      <w:pPr>
        <w:ind w:left="1440" w:hanging="360"/>
      </w:pPr>
    </w:lvl>
    <w:lvl w:ilvl="2" w:tplc="9EDAAAB0">
      <w:start w:val="1"/>
      <w:numFmt w:val="bullet"/>
      <w:lvlText w:val="■"/>
      <w:lvlJc w:val="left"/>
      <w:pPr>
        <w:ind w:left="2160" w:hanging="360"/>
      </w:pPr>
    </w:lvl>
    <w:lvl w:ilvl="3" w:tplc="A3268376">
      <w:start w:val="1"/>
      <w:numFmt w:val="bullet"/>
      <w:lvlText w:val="●"/>
      <w:lvlJc w:val="left"/>
      <w:pPr>
        <w:ind w:left="2880" w:hanging="360"/>
      </w:pPr>
    </w:lvl>
    <w:lvl w:ilvl="4" w:tplc="B6069BCA">
      <w:start w:val="1"/>
      <w:numFmt w:val="bullet"/>
      <w:lvlText w:val="○"/>
      <w:lvlJc w:val="left"/>
      <w:pPr>
        <w:ind w:left="3600" w:hanging="360"/>
      </w:pPr>
    </w:lvl>
    <w:lvl w:ilvl="5" w:tplc="37A8AB90">
      <w:start w:val="1"/>
      <w:numFmt w:val="bullet"/>
      <w:lvlText w:val="■"/>
      <w:lvlJc w:val="left"/>
      <w:pPr>
        <w:ind w:left="4320" w:hanging="360"/>
      </w:pPr>
    </w:lvl>
    <w:lvl w:ilvl="6" w:tplc="57B05AAA">
      <w:start w:val="1"/>
      <w:numFmt w:val="bullet"/>
      <w:lvlText w:val="●"/>
      <w:lvlJc w:val="left"/>
      <w:pPr>
        <w:ind w:left="5040" w:hanging="360"/>
      </w:pPr>
    </w:lvl>
    <w:lvl w:ilvl="7" w:tplc="92008734">
      <w:start w:val="1"/>
      <w:numFmt w:val="bullet"/>
      <w:lvlText w:val="●"/>
      <w:lvlJc w:val="left"/>
      <w:pPr>
        <w:ind w:left="5760" w:hanging="360"/>
      </w:pPr>
    </w:lvl>
    <w:lvl w:ilvl="8" w:tplc="36967E40">
      <w:start w:val="1"/>
      <w:numFmt w:val="bullet"/>
      <w:lvlText w:val="●"/>
      <w:lvlJc w:val="left"/>
      <w:pPr>
        <w:ind w:left="6480" w:hanging="360"/>
      </w:pPr>
    </w:lvl>
  </w:abstractNum>
  <w:num w:numId="1" w16cid:durableId="1762221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42D"/>
    <w:rsid w:val="001604A3"/>
    <w:rsid w:val="001D042D"/>
    <w:rsid w:val="009F12F4"/>
    <w:rsid w:val="00AF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B57B0"/>
  <w15:docId w15:val="{7F243007-C87A-4A44-88E6-F4A1C4A3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2668</Words>
  <Characters>14679</Characters>
  <Application>Microsoft Office Word</Application>
  <DocSecurity>0</DocSecurity>
  <Lines>122</Lines>
  <Paragraphs>34</Paragraphs>
  <ScaleCrop>false</ScaleCrop>
  <Company/>
  <LinksUpToDate>false</LinksUpToDate>
  <CharactersWithSpaces>17313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Dario Macias Espitia</dc:creator>
  <cp:lastModifiedBy>Cristian Darío Macías Espitia</cp:lastModifiedBy>
  <cp:revision>3</cp:revision>
  <dcterms:created xsi:type="dcterms:W3CDTF">2026-10-28T03:41:00Z</dcterms:created>
  <dcterms:modified xsi:type="dcterms:W3CDTF">2026-10-28T05:20:00Z</dcterms:modified>
</cp:coreProperties>
</file>