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ind w:left="360"/>
      </w:pPr>
      <w:hyperlink w:history="1" w:anchor="bm46">
        <w:r>
          <w:rPr>
            <w:rFonts w:ascii="Arial" w:cs="Arial" w:eastAsia="Arial" w:hAnsi="Arial"/>
            <w:b w:val="false"/>
            <w:bCs w:val="false"/>
            <w:color w:val="1F3864"/>
            <w:sz w:val="20"/>
            <w:szCs w:val="20"/>
          </w:rPr>
          <w:t xml:space="preserve">9.5 Módulo REP — Reportes</w:t>
        </w:r>
      </w:hyperlink>
      <w:r>
        <w:rPr>
          <w:rFonts w:ascii="Arial" w:cs="Arial" w:eastAsia="Arial" w:hAnsi="Arial"/>
          <w:sz w:val="20"/>
          <w:szCs w:val="20"/>
        </w:rPr>
        <w:t xml:space="preserve">	</w:t>
      </w:r>
      <w:r>
        <w:fldChar w:fldCharType="begin" w:dirty="true"/>
        <w:instrText xml:space="preserve">PAGEREF bm46</w:instrText>
        <w:fldChar w:fldCharType="end"/>
      </w:r>
    </w:p>
    <w:p>
      <w:pPr>
        <w:tabs>
          <w:tab w:val="right" w:pos="9200" w:leader="dot"/>
        </w:tabs>
        <w:spacing w:after="40" w:line="252"/>
        <w:ind w:left="360"/>
      </w:pPr>
      <w:hyperlink w:history="1" w:anchor="bm47">
        <w:r>
          <w:rPr>
            <w:rFonts w:ascii="Arial" w:cs="Arial" w:eastAsia="Arial" w:hAnsi="Arial"/>
            <w:b w:val="false"/>
            <w:bCs w:val="false"/>
            <w:color w:val="1F3864"/>
            <w:sz w:val="20"/>
            <w:szCs w:val="20"/>
          </w:rPr>
          <w:t xml:space="preserve">9.6 Módulo SED — Multisede y multiusuario</w:t>
        </w:r>
      </w:hyperlink>
      <w:r>
        <w:rPr>
          <w:rFonts w:ascii="Arial" w:cs="Arial" w:eastAsia="Arial" w:hAnsi="Arial"/>
          <w:sz w:val="20"/>
          <w:szCs w:val="20"/>
        </w:rPr>
        <w:t xml:space="preserve">	</w:t>
      </w:r>
      <w:r>
        <w:fldChar w:fldCharType="begin" w:dirty="true"/>
        <w:instrText xml:space="preserve">PAGEREF bm47</w:instrText>
        <w:fldChar w:fldCharType="end"/>
      </w:r>
    </w:p>
    <w:p>
      <w:pPr>
        <w:tabs>
          <w:tab w:val="right" w:pos="9200" w:leader="dot"/>
        </w:tabs>
        <w:spacing w:after="40" w:line="252"/>
        <w:ind w:left="360"/>
      </w:pPr>
      <w:hyperlink w:history="1" w:anchor="bm48">
        <w:r>
          <w:rPr>
            <w:rFonts w:ascii="Arial" w:cs="Arial" w:eastAsia="Arial" w:hAnsi="Arial"/>
            <w:b w:val="false"/>
            <w:bCs w:val="false"/>
            <w:color w:val="1F3864"/>
            <w:sz w:val="20"/>
            <w:szCs w:val="20"/>
          </w:rPr>
          <w:t xml:space="preserve">9.7 Módulo FAC — Facturación electrónica</w:t>
        </w:r>
      </w:hyperlink>
      <w:r>
        <w:rPr>
          <w:rFonts w:ascii="Arial" w:cs="Arial" w:eastAsia="Arial" w:hAnsi="Arial"/>
          <w:sz w:val="20"/>
          <w:szCs w:val="20"/>
        </w:rPr>
        <w:t xml:space="preserve">	</w:t>
      </w:r>
      <w:r>
        <w:fldChar w:fldCharType="begin" w:dirty="true"/>
        <w:instrText xml:space="preserve">PAGEREF bm48</w:instrText>
        <w:fldChar w:fldCharType="end"/>
      </w:r>
    </w:p>
    <w:p>
      <w:pPr>
        <w:tabs>
          <w:tab w:val="right" w:pos="9200" w:leader="dot"/>
        </w:tabs>
        <w:spacing w:after="40" w:line="252"/>
        <w:ind w:left="360"/>
      </w:pPr>
      <w:hyperlink w:history="1" w:anchor="bm49">
        <w:r>
          <w:rPr>
            <w:rFonts w:ascii="Arial" w:cs="Arial" w:eastAsia="Arial" w:hAnsi="Arial"/>
            <w:b w:val="false"/>
            <w:bCs w:val="false"/>
            <w:color w:val="1F3864"/>
            <w:sz w:val="20"/>
            <w:szCs w:val="20"/>
          </w:rPr>
          <w:t xml:space="preserve">9.8 Módulo AUD — Auditoría y respaldo</w:t>
        </w:r>
      </w:hyperlink>
      <w:r>
        <w:rPr>
          <w:rFonts w:ascii="Arial" w:cs="Arial" w:eastAsia="Arial" w:hAnsi="Arial"/>
          <w:sz w:val="20"/>
          <w:szCs w:val="20"/>
        </w:rPr>
        <w:t xml:space="preserve">	</w:t>
      </w:r>
      <w:r>
        <w:fldChar w:fldCharType="begin" w:dirty="true"/>
        <w:instrText xml:space="preserve">PAGEREF bm49</w:instrText>
        <w:fldChar w:fldCharType="end"/>
      </w:r>
    </w:p>
    <w:p>
      <w:pPr>
        <w:tabs>
          <w:tab w:val="right" w:pos="9200" w:leader="dot"/>
        </w:tabs>
        <w:spacing w:after="40" w:line="252"/>
      </w:pPr>
      <w:hyperlink w:history="1" w:anchor="bm50">
        <w:r>
          <w:rPr>
            <w:rFonts w:ascii="Arial" w:cs="Arial" w:eastAsia="Arial" w:hAnsi="Arial"/>
            <w:b/>
            <w:bCs/>
            <w:color w:val="1F3864"/>
            <w:sz w:val="21"/>
            <w:szCs w:val="21"/>
          </w:rPr>
          <w:t xml:space="preserve">10. Conclusión</w:t>
        </w:r>
      </w:hyperlink>
      <w:r>
        <w:rPr>
          <w:rFonts w:ascii="Arial" w:cs="Arial" w:eastAsia="Arial" w:hAnsi="Arial"/>
          <w:sz w:val="20"/>
          <w:szCs w:val="20"/>
        </w:rPr>
        <w:t xml:space="preserve">	</w:t>
      </w:r>
      <w:r>
        <w:fldChar w:fldCharType="begin" w:dirty="true"/>
        <w:instrText xml:space="preserve">PAGEREF bm50</w:instrText>
        <w:fldChar w:fldCharType="end"/>
      </w:r>
    </w:p>
    <w:p>
      <w:pPr>
        <w:tabs>
          <w:tab w:val="right" w:pos="9200" w:leader="dot"/>
        </w:tabs>
        <w:spacing w:after="40" w:line="252"/>
      </w:pPr>
      <w:hyperlink w:history="1" w:anchor="bm51">
        <w:r>
          <w:rPr>
            <w:rFonts w:ascii="Arial" w:cs="Arial" w:eastAsia="Arial" w:hAnsi="Arial"/>
            <w:b/>
            <w:bCs/>
            <w:color w:val="1F3864"/>
            <w:sz w:val="21"/>
            <w:szCs w:val="21"/>
          </w:rPr>
          <w:t xml:space="preserve">11. Glosario</w:t>
        </w:r>
      </w:hyperlink>
      <w:r>
        <w:rPr>
          <w:rFonts w:ascii="Arial" w:cs="Arial" w:eastAsia="Arial" w:hAnsi="Arial"/>
          <w:sz w:val="20"/>
          <w:szCs w:val="20"/>
        </w:rPr>
        <w:t xml:space="preserve">	</w:t>
      </w:r>
      <w:r>
        <w:fldChar w:fldCharType="begin" w:dirty="true"/>
        <w:instrText xml:space="preserve">PAGEREF bm51</w:instrText>
        <w:fldChar w:fldCharType="end"/>
      </w:r>
    </w:p>
    <w:p>
      <w:pPr>
        <w:tabs>
          <w:tab w:val="right" w:pos="9200" w:leader="dot"/>
        </w:tabs>
        <w:spacing w:after="40" w:line="252"/>
      </w:pPr>
      <w:hyperlink w:history="1" w:anchor="bm52">
        <w:r>
          <w:rPr>
            <w:rFonts w:ascii="Arial" w:cs="Arial" w:eastAsia="Arial" w:hAnsi="Arial"/>
            <w:b/>
            <w:bCs/>
            <w:color w:val="1F3864"/>
            <w:sz w:val="21"/>
            <w:szCs w:val="21"/>
          </w:rPr>
          <w:t xml:space="preserve">12. Referencias</w:t>
        </w:r>
      </w:hyperlink>
      <w:r>
        <w:rPr>
          <w:rFonts w:ascii="Arial" w:cs="Arial" w:eastAsia="Arial" w:hAnsi="Arial"/>
          <w:sz w:val="20"/>
          <w:szCs w:val="20"/>
        </w:rPr>
        <w:t xml:space="preserve">	</w:t>
      </w:r>
      <w:r>
        <w:fldChar w:fldCharType="begin" w:dirty="true"/>
        <w:instrText xml:space="preserve">PAGEREF bm52</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6" w:id="46"/>
      <w:r>
        <w:rPr>
          <w:rFonts w:ascii="Arial" w:cs="Arial" w:eastAsia="Arial" w:hAnsi="Arial"/>
          <w:b/>
          <w:bCs/>
          <w:color w:val="2E5496"/>
          <w:sz w:val="23"/>
          <w:szCs w:val="23"/>
        </w:rPr>
        <w:t xml:space="preserve">9.5 Módulo REP — Reportes</w:t>
      </w:r>
      <w:bookmarkEnd w:id="4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CU-REP-01 — Reporte de ventas por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genera un reporte de las ventas en un rango de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«Reporte de ventas» y define el rango de fechas y los filtros (sede, vendedor).</w:t>
            </w:r>
          </w:p>
          <w:p>
            <w:pPr>
              <w:spacing w:after="18" w:line="236"/>
            </w:pPr>
            <w:r>
              <w:rPr>
                <w:rFonts w:ascii="Arial" w:cs="Arial" w:eastAsia="Arial" w:hAnsi="Arial"/>
                <w:sz w:val="19"/>
                <w:szCs w:val="19"/>
              </w:rPr>
              <w:t xml:space="preserve">2. El sistema consulta las ventas del período.</w:t>
            </w:r>
          </w:p>
          <w:p>
            <w:pPr>
              <w:spacing w:after="18" w:line="236"/>
            </w:pPr>
            <w:r>
              <w:rPr>
                <w:rFonts w:ascii="Arial" w:cs="Arial" w:eastAsia="Arial" w:hAnsi="Arial"/>
                <w:sz w:val="19"/>
                <w:szCs w:val="19"/>
              </w:rPr>
              <w:t xml:space="preserve">3. El sistema muestra el reporte con los totales por día, medio de pago y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en el período: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Considera las ventas registradas y distingue las anuladas; los totales cuadran con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las ventas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CU-REP-02 — Reporte de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valor del inventario por producto y total,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valorizado» y la fecha de corte.</w:t>
            </w:r>
          </w:p>
          <w:p>
            <w:pPr>
              <w:spacing w:after="18" w:line="236"/>
            </w:pPr>
            <w:r>
              <w:rPr>
                <w:rFonts w:ascii="Arial" w:cs="Arial" w:eastAsia="Arial" w:hAnsi="Arial"/>
                <w:sz w:val="19"/>
                <w:szCs w:val="19"/>
              </w:rPr>
              <w:t xml:space="preserve">2. El sistema toma los saldos de los lotes con su costo por PEPS (apoyado en CU-INV-10).</w:t>
            </w:r>
          </w:p>
          <w:p>
            <w:pPr>
              <w:spacing w:after="18" w:line="236"/>
            </w:pPr>
            <w:r>
              <w:rPr>
                <w:rFonts w:ascii="Arial" w:cs="Arial" w:eastAsia="Arial" w:hAnsi="Arial"/>
                <w:sz w:val="19"/>
                <w:szCs w:val="19"/>
              </w:rPr>
              <w:t xml:space="preserve">3. Muestra el valor por producto y el valor total.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Usa el costo real de los lotes,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CU-REP-03 — Reporte de más vendidos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los productos más vendidos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«Más vendidos», el período y el criterio (cantidad o ingresos).</w:t>
            </w:r>
          </w:p>
          <w:p>
            <w:pPr>
              <w:spacing w:after="18" w:line="236"/>
            </w:pPr>
            <w:r>
              <w:rPr>
                <w:rFonts w:ascii="Arial" w:cs="Arial" w:eastAsia="Arial" w:hAnsi="Arial"/>
                <w:sz w:val="19"/>
                <w:szCs w:val="19"/>
              </w:rPr>
              <w:t xml:space="preserve">2. El sistema calcula el ranking de productos.</w:t>
            </w:r>
          </w:p>
          <w:p>
            <w:pPr>
              <w:spacing w:after="18" w:line="236"/>
            </w:pPr>
            <w:r>
              <w:rPr>
                <w:rFonts w:ascii="Arial" w:cs="Arial" w:eastAsia="Arial" w:hAnsi="Arial"/>
                <w:sz w:val="19"/>
                <w:szCs w:val="19"/>
              </w:rPr>
              <w:t xml:space="preserve">3. Muestra los productos ordenados según el criterio.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basa en las ventas registradas; apoya las decisiones de compra.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ranking de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CU-REP-04 —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rotación de los productos (velocidad de venta)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e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«Rotación» y el período.</w:t>
            </w:r>
          </w:p>
          <w:p>
            <w:pPr>
              <w:spacing w:after="18" w:line="236"/>
            </w:pPr>
            <w:r>
              <w:rPr>
                <w:rFonts w:ascii="Arial" w:cs="Arial" w:eastAsia="Arial" w:hAnsi="Arial"/>
                <w:sz w:val="19"/>
                <w:szCs w:val="19"/>
              </w:rPr>
              <w:t xml:space="preserve">2. El sistema calcula la rotación por producto (ventas frente a existencia promedio).</w:t>
            </w:r>
          </w:p>
          <w:p>
            <w:pPr>
              <w:spacing w:after="18" w:line="236"/>
            </w:pPr>
            <w:r>
              <w:rPr>
                <w:rFonts w:ascii="Arial" w:cs="Arial" w:eastAsia="Arial" w:hAnsi="Arial"/>
                <w:sz w:val="19"/>
                <w:szCs w:val="19"/>
              </w:rPr>
              <w:t xml:space="preserve">3. Muestra los productos y destaca los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Productos sin historial suficiente: se excluyen o se marcan.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relaciona con la alerta de baja rotación (CU-INV-08); apoya promociones y compras.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rotación de los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CU-REP-05 — Reporte de utilidad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utilidad de las ventas (precio de venta menos costo real por PEPS)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con su costo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«Utilidad» y el período.</w:t>
            </w:r>
          </w:p>
          <w:p>
            <w:pPr>
              <w:spacing w:after="18" w:line="236"/>
            </w:pPr>
            <w:r>
              <w:rPr>
                <w:rFonts w:ascii="Arial" w:cs="Arial" w:eastAsia="Arial" w:hAnsi="Arial"/>
                <w:sz w:val="19"/>
                <w:szCs w:val="19"/>
              </w:rPr>
              <w:t xml:space="preserve">2. El sistema toma cada venta con su costo real (PEPS) y su precio.</w:t>
            </w:r>
          </w:p>
          <w:p>
            <w:pPr>
              <w:spacing w:after="18" w:line="236"/>
            </w:pPr>
            <w:r>
              <w:rPr>
                <w:rFonts w:ascii="Arial" w:cs="Arial" w:eastAsia="Arial" w:hAnsi="Arial"/>
                <w:sz w:val="19"/>
                <w:szCs w:val="19"/>
              </w:rPr>
              <w:t xml:space="preserve">3. Calcula la utilidad por producto y total.</w:t>
            </w:r>
          </w:p>
          <w:p>
            <w:pPr>
              <w:spacing w:after="18" w:line="236"/>
            </w:pPr>
            <w:r>
              <w:rPr>
                <w:rFonts w:ascii="Arial" w:cs="Arial" w:eastAsia="Arial" w:hAnsi="Arial"/>
                <w:sz w:val="19"/>
                <w:szCs w:val="19"/>
              </w:rPr>
              <w:t xml:space="preserve">4. Muestra el reporte.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utilidad usa el costo histórico del despacho (PEPS), no el costo actual, y el precio de cada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utilidad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CU-REP-06 — Exportar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exporta cualquiera de los reportes a un archivo (por ejemplo, PDF o Excel). Extiende a los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un reporte generado en pantalla.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reporte, elige «Exportar» y el formato.</w:t>
            </w:r>
          </w:p>
          <w:p>
            <w:pPr>
              <w:spacing w:after="18" w:line="236"/>
            </w:pPr>
            <w:r>
              <w:rPr>
                <w:rFonts w:ascii="Arial" w:cs="Arial" w:eastAsia="Arial" w:hAnsi="Arial"/>
                <w:sz w:val="19"/>
                <w:szCs w:val="19"/>
              </w:rPr>
              <w:t xml:space="preserve">2. El sistema genera el archivo con el contenido del reporte.</w:t>
            </w:r>
          </w:p>
          <w:p>
            <w:pPr>
              <w:spacing w:after="18" w:line="236"/>
            </w:pPr>
            <w:r>
              <w:rPr>
                <w:rFonts w:ascii="Arial" w:cs="Arial" w:eastAsia="Arial" w:hAnsi="Arial"/>
                <w:sz w:val="19"/>
                <w:szCs w:val="19"/>
              </w:rPr>
              <w:t xml:space="preserve">3. Lo descarga o lo ofrece para guardar.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Elegir el rango o las columnas antes de exportar.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al generar el archivo: el sistema informa y permite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un comportamiento opcional que extiende a los reportes; el archivo refleja los datos mostrados.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reporte en un archivo.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7" w:id="47"/>
      <w:r>
        <w:rPr>
          <w:rFonts w:ascii="Arial" w:cs="Arial" w:eastAsia="Arial" w:hAnsi="Arial"/>
          <w:b/>
          <w:bCs/>
          <w:color w:val="2E5496"/>
          <w:sz w:val="23"/>
          <w:szCs w:val="23"/>
        </w:rPr>
        <w:t xml:space="preserve">9.6 Módulo SED — Multisede y multiusuario</w:t>
      </w:r>
      <w:bookmarkEnd w:id="4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CU-SED-01 — Registrar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nueva sede (sucursal)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multisede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sede».</w:t>
            </w:r>
          </w:p>
          <w:p>
            <w:pPr>
              <w:spacing w:after="18" w:line="236"/>
            </w:pPr>
            <w:r>
              <w:rPr>
                <w:rFonts w:ascii="Arial" w:cs="Arial" w:eastAsia="Arial" w:hAnsi="Arial"/>
                <w:sz w:val="19"/>
                <w:szCs w:val="19"/>
              </w:rPr>
              <w:t xml:space="preserve">2. Ingresa el nombre, la dirección y los datos de la sede.</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crea la sede en estado activa.</w:t>
            </w:r>
          </w:p>
          <w:p>
            <w:pPr>
              <w:spacing w:after="18" w:line="236"/>
            </w:pPr>
            <w:r>
              <w:rPr>
                <w:rFonts w:ascii="Arial" w:cs="Arial" w:eastAsia="Arial" w:hAnsi="Arial"/>
                <w:sz w:val="19"/>
                <w:szCs w:val="19"/>
              </w:rPr>
              <w:t xml:space="preserve">5. El sistema confirma y la muestra en el listado de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la sede.</w:t>
            </w:r>
          </w:p>
          <w:p>
            <w:pPr>
              <w:spacing w:after="18" w:line="236"/>
            </w:pPr>
            <w:r>
              <w:rPr>
                <w:rFonts w:ascii="Arial" w:cs="Arial" w:eastAsia="Arial" w:hAnsi="Arial"/>
                <w:sz w:val="19"/>
                <w:szCs w:val="19"/>
              </w:rPr>
              <w:t xml:space="preserve">*. El plan no incluye multisede: el sistema restringe la función (CU-SUS-04)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función multisede pertenece al plan Pro; cada sede maneja su propio inventario y usuarios; el nombre es único por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sede queda creada y disponible para operar.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CU-SED-02 — Gestionar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edita e inactiva las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registradas y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administración de sedes.</w:t>
            </w:r>
          </w:p>
          <w:p>
            <w:pPr>
              <w:spacing w:after="18" w:line="236"/>
            </w:pPr>
            <w:r>
              <w:rPr>
                <w:rFonts w:ascii="Arial" w:cs="Arial" w:eastAsia="Arial" w:hAnsi="Arial"/>
                <w:sz w:val="19"/>
                <w:szCs w:val="19"/>
              </w:rPr>
              <w:t xml:space="preserve">2. El sistema muestra las sedes con su estado.</w:t>
            </w:r>
          </w:p>
          <w:p>
            <w:pPr>
              <w:spacing w:after="18" w:line="236"/>
            </w:pPr>
            <w:r>
              <w:rPr>
                <w:rFonts w:ascii="Arial" w:cs="Arial" w:eastAsia="Arial" w:hAnsi="Arial"/>
                <w:sz w:val="19"/>
                <w:szCs w:val="19"/>
              </w:rPr>
              <w:t xml:space="preserve">3. Selecciona una sede y edita sus datos o cambia su estado.</w:t>
            </w:r>
          </w:p>
          <w:p>
            <w:pPr>
              <w:spacing w:after="18" w:line="236"/>
            </w:pPr>
            <w:r>
              <w:rPr>
                <w:rFonts w:ascii="Arial" w:cs="Arial" w:eastAsia="Arial" w:hAnsi="Arial"/>
                <w:sz w:val="19"/>
                <w:szCs w:val="19"/>
              </w:rPr>
              <w:t xml:space="preserve">4.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Inactivar una sede (baja lógica).</w:t>
            </w:r>
          </w:p>
          <w:p>
            <w:pPr>
              <w:spacing w:after="18" w:line="236"/>
            </w:pPr>
            <w:r>
              <w:rPr>
                <w:rFonts w:ascii="Arial" w:cs="Arial" w:eastAsia="Arial" w:hAnsi="Arial"/>
                <w:sz w:val="19"/>
                <w:szCs w:val="19"/>
              </w:rPr>
              <w:t xml:space="preserve">3b. Reactivar una sede inactiva.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con inventario o ventas activas: el sistema advierte antes de inactivarla.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para conservar el historial; una sede inactiva no opera (no recibe ventas ni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sedes quedan actualizadas.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CU-SED-03 — Asignar usuarios a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asigna los usuarios (vendedores) a las sedes donde trabajarán.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usuarios y sedes;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una sede o un usuario.</w:t>
            </w:r>
          </w:p>
          <w:p>
            <w:pPr>
              <w:spacing w:after="18" w:line="236"/>
            </w:pPr>
            <w:r>
              <w:rPr>
                <w:rFonts w:ascii="Arial" w:cs="Arial" w:eastAsia="Arial" w:hAnsi="Arial"/>
                <w:sz w:val="19"/>
                <w:szCs w:val="19"/>
              </w:rPr>
              <w:t xml:space="preserve">2. Asigna uno o varios usuarios a la sede.</w:t>
            </w:r>
          </w:p>
          <w:p>
            <w:pPr>
              <w:spacing w:after="18" w:line="236"/>
            </w:pPr>
            <w:r>
              <w:rPr>
                <w:rFonts w:ascii="Arial" w:cs="Arial" w:eastAsia="Arial" w:hAnsi="Arial"/>
                <w:sz w:val="19"/>
                <w:szCs w:val="19"/>
              </w:rPr>
              <w:t xml:space="preserve">3. El sistema valida y guarda la asignación.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Reasignar o quitar un usuario de una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Usuario inactivo: no puede asignarse.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 usuario opera en la sede o sedes asignadas; sus ventas y consultas se limitan a su sede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usuarios quedan asignados a sus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CU-SED-04 — Consultar inventario por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las existencias de productos en cada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por sede» y selecciona la sede.</w:t>
            </w:r>
          </w:p>
          <w:p>
            <w:pPr>
              <w:spacing w:after="18" w:line="236"/>
            </w:pPr>
            <w:r>
              <w:rPr>
                <w:rFonts w:ascii="Arial" w:cs="Arial" w:eastAsia="Arial" w:hAnsi="Arial"/>
                <w:sz w:val="19"/>
                <w:szCs w:val="19"/>
              </w:rPr>
              <w:t xml:space="preserve">2. El sistema muestra las existencias de los productos en esa sede.</w:t>
            </w:r>
          </w:p>
          <w:p>
            <w:pPr>
              <w:spacing w:after="18" w:line="236"/>
            </w:pPr>
            <w:r>
              <w:rPr>
                <w:rFonts w:ascii="Arial" w:cs="Arial" w:eastAsia="Arial" w:hAnsi="Arial"/>
                <w:sz w:val="19"/>
                <w:szCs w:val="19"/>
              </w:rPr>
              <w:t xml:space="preserve">3. El usuario filtra o busca.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Comparar las existencias entre sedes en una vista consolidada.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sin inventario: el sistema muestra las existencias en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inventario es independiente por sede (lotes y saldos propios); el vendedor solo ve su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inventario de la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CU-SED-05 — Trasladar mercancía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traslada existencias de una sede a otra.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al menos dos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«Trasladar mercancía» y selecciona la sede de origen y la de destino.</w:t>
            </w:r>
          </w:p>
          <w:p>
            <w:pPr>
              <w:spacing w:after="18" w:line="236"/>
            </w:pPr>
            <w:r>
              <w:rPr>
                <w:rFonts w:ascii="Arial" w:cs="Arial" w:eastAsia="Arial" w:hAnsi="Arial"/>
                <w:sz w:val="19"/>
                <w:szCs w:val="19"/>
              </w:rPr>
              <w:t xml:space="preserve">2. Selecciona los productos y las cantidades.</w:t>
            </w:r>
          </w:p>
          <w:p>
            <w:pPr>
              <w:spacing w:after="18" w:line="236"/>
            </w:pPr>
            <w:r>
              <w:rPr>
                <w:rFonts w:ascii="Arial" w:cs="Arial" w:eastAsia="Arial" w:hAnsi="Arial"/>
                <w:sz w:val="19"/>
                <w:szCs w:val="19"/>
              </w:rPr>
              <w:t xml:space="preserve">3. El sistema valida que la sede de origen tenga existencias suficientes.</w:t>
            </w:r>
          </w:p>
          <w:p>
            <w:pPr>
              <w:spacing w:after="18" w:line="236"/>
            </w:pPr>
            <w:r>
              <w:rPr>
                <w:rFonts w:ascii="Arial" w:cs="Arial" w:eastAsia="Arial" w:hAnsi="Arial"/>
                <w:sz w:val="19"/>
                <w:szCs w:val="19"/>
              </w:rPr>
              <w:t xml:space="preserve">4. El sistema descuenta de la sede de origen y aumenta en la de destino, conservando el costo de los lotes (PEPS).</w:t>
            </w:r>
          </w:p>
          <w:p>
            <w:pPr>
              <w:spacing w:after="18" w:line="236"/>
            </w:pPr>
            <w:r>
              <w:rPr>
                <w:rFonts w:ascii="Arial" w:cs="Arial" w:eastAsia="Arial" w:hAnsi="Arial"/>
                <w:sz w:val="19"/>
                <w:szCs w:val="19"/>
              </w:rPr>
              <w:t xml:space="preserve">5. Registra el movimiento de traslado en el kardex de ambas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Existencias insuficientes en el origen: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traslado mueve los lotes con su costo real (no genera utilidad ni pérdida) y queda registrado en el kardex de origen y de destino.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mercancía queda trasladada y el kardex de ambas sedes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8" w:id="48"/>
      <w:r>
        <w:rPr>
          <w:rFonts w:ascii="Arial" w:cs="Arial" w:eastAsia="Arial" w:hAnsi="Arial"/>
          <w:b/>
          <w:bCs/>
          <w:color w:val="2E5496"/>
          <w:sz w:val="23"/>
          <w:szCs w:val="23"/>
        </w:rPr>
        <w:t xml:space="preserve">9.7 Módulo FAC — Facturación electrónica</w:t>
      </w:r>
      <w:bookmarkEnd w:id="48"/>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CU-FAC-01 — Configurar datos fiscales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configura los datos fiscales de la licorera necesarios para facturar.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facturación electrónica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configuración de facturación electrónica.</w:t>
            </w:r>
          </w:p>
          <w:p>
            <w:pPr>
              <w:spacing w:after="18" w:line="236"/>
            </w:pPr>
            <w:r>
              <w:rPr>
                <w:rFonts w:ascii="Arial" w:cs="Arial" w:eastAsia="Arial" w:hAnsi="Arial"/>
                <w:sz w:val="19"/>
                <w:szCs w:val="19"/>
              </w:rPr>
              <w:t xml:space="preserve">2. Ingresa los datos fiscales (identificación, régimen, resolución de la DIAN y numeración autorizada).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la configuración y la deja lista para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Actualizar la resolución cuando cambie o se venza.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incompletos o inválidos: el sistema informa y no guarda.</w:t>
            </w:r>
          </w:p>
          <w:p>
            <w:pPr>
              <w:spacing w:after="18" w:line="236"/>
            </w:pPr>
            <w:r>
              <w:rPr>
                <w:rFonts w:ascii="Arial" w:cs="Arial" w:eastAsia="Arial" w:hAnsi="Arial"/>
                <w:sz w:val="19"/>
                <w:szCs w:val="19"/>
              </w:rPr>
              <w:t xml:space="preserve">*. El plan no incluye facturación electrónica: el sistema restringe la función (CU-SUS-04).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facturación electrónica pertenece al plan Pro y opera en modo de pruebas (sandbox) de la DIAN; sin datos fiscales configurados no se puede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quedan configurados.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CU-FAC-02 — Emitir factura electrónica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emite la factura electrónica de una venta y la envía a la DIAN. Se invoca desde el registro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están configurados y existe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y del adquiriente.</w:t>
            </w:r>
          </w:p>
          <w:p>
            <w:pPr>
              <w:spacing w:after="18" w:line="236"/>
            </w:pPr>
            <w:r>
              <w:rPr>
                <w:rFonts w:ascii="Arial" w:cs="Arial" w:eastAsia="Arial" w:hAnsi="Arial"/>
                <w:sz w:val="19"/>
                <w:szCs w:val="19"/>
              </w:rPr>
              <w:t xml:space="preserve">2. Valida los datos fiscales y del adquiriente.</w:t>
            </w:r>
          </w:p>
          <w:p>
            <w:pPr>
              <w:spacing w:after="18" w:line="236"/>
            </w:pPr>
            <w:r>
              <w:rPr>
                <w:rFonts w:ascii="Arial" w:cs="Arial" w:eastAsia="Arial" w:hAnsi="Arial"/>
                <w:sz w:val="19"/>
                <w:szCs w:val="19"/>
              </w:rPr>
              <w:t xml:space="preserve">3. Construye y firma la factura (XML) y genera el CUFE.</w:t>
            </w:r>
          </w:p>
          <w:p>
            <w:pPr>
              <w:spacing w:after="18" w:line="236"/>
            </w:pPr>
            <w:r>
              <w:rPr>
                <w:rFonts w:ascii="Arial" w:cs="Arial" w:eastAsia="Arial" w:hAnsi="Arial"/>
                <w:sz w:val="19"/>
                <w:szCs w:val="19"/>
              </w:rPr>
              <w:t xml:space="preserve">4. Envía la factura al Servicio DIAN (sandbox).</w:t>
            </w:r>
          </w:p>
          <w:p>
            <w:pPr>
              <w:spacing w:after="18" w:line="236"/>
            </w:pPr>
            <w:r>
              <w:rPr>
                <w:rFonts w:ascii="Arial" w:cs="Arial" w:eastAsia="Arial" w:hAnsi="Arial"/>
                <w:sz w:val="19"/>
                <w:szCs w:val="19"/>
              </w:rPr>
              <w:t xml:space="preserve">5. La DIAN acepta y el sistema guarda la factura con su CUFE y entrega la representación.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Solicitar y registrar los datos del adquiriente si la venta no los tiene.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Datos faltantes: el sistema informa y no emite.</w:t>
            </w:r>
          </w:p>
          <w:p>
            <w:pPr>
              <w:spacing w:after="18" w:line="236"/>
            </w:pPr>
            <w:r>
              <w:rPr>
                <w:rFonts w:ascii="Arial" w:cs="Arial" w:eastAsia="Arial" w:hAnsi="Arial"/>
                <w:sz w:val="19"/>
                <w:szCs w:val="19"/>
              </w:rPr>
              <w:t xml:space="preserve">5a. La DIAN rechaza: el sistema registra el rechazo y su motivo, permite corregir y reintentar; si no, marca la factura como fallida.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Opera en el sandbox de la DIAN; cada factura tiene su CUFE y su numeración según la resolución; es coherente con la venta (CU-VEN-01).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 queda emitida y aceptada, con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CU-FAC-03 — Consultar y reenviar facturas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facturas emitidas y las reenvía al cliente o a la DIAN cuando es necesario.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facturas emitidas.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listado de facturas.</w:t>
            </w:r>
          </w:p>
          <w:p>
            <w:pPr>
              <w:spacing w:after="18" w:line="236"/>
            </w:pPr>
            <w:r>
              <w:rPr>
                <w:rFonts w:ascii="Arial" w:cs="Arial" w:eastAsia="Arial" w:hAnsi="Arial"/>
                <w:sz w:val="19"/>
                <w:szCs w:val="19"/>
              </w:rPr>
              <w:t xml:space="preserve">2. El sistema muestra las facturas con su estado (aceptada, rechazada o fallida) y su CUFE.</w:t>
            </w:r>
          </w:p>
          <w:p>
            <w:pPr>
              <w:spacing w:after="18" w:line="236"/>
            </w:pPr>
            <w:r>
              <w:rPr>
                <w:rFonts w:ascii="Arial" w:cs="Arial" w:eastAsia="Arial" w:hAnsi="Arial"/>
                <w:sz w:val="19"/>
                <w:szCs w:val="19"/>
              </w:rPr>
              <w:t xml:space="preserve">3. Selecciona una factura y consulta su detalle.</w:t>
            </w:r>
          </w:p>
          <w:p>
            <w:pPr>
              <w:spacing w:after="18" w:line="236"/>
            </w:pPr>
            <w:r>
              <w:rPr>
                <w:rFonts w:ascii="Arial" w:cs="Arial" w:eastAsia="Arial" w:hAnsi="Arial"/>
                <w:sz w:val="19"/>
                <w:szCs w:val="19"/>
              </w:rPr>
              <w:t xml:space="preserve">4. Reenvía la representación al cliente o reintenta el envío a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Filtrar por fecha, estado o cliente.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facturas: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consulta refleja el estado real ante la DIAN; el reenvío no altera la factura ni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o reenvía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CU-FAC-04 — Emitir nota crédito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emite una nota crédito para anular o corregir una factura. Extiende a la emisión de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factura aceptada.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factura y elige «Emitir nota crédito».</w:t>
            </w:r>
          </w:p>
          <w:p>
            <w:pPr>
              <w:spacing w:after="18" w:line="236"/>
            </w:pPr>
            <w:r>
              <w:rPr>
                <w:rFonts w:ascii="Arial" w:cs="Arial" w:eastAsia="Arial" w:hAnsi="Arial"/>
                <w:sz w:val="19"/>
                <w:szCs w:val="19"/>
              </w:rPr>
              <w:t xml:space="preserve">2. Indica el motivo y los ítems o valores a acreditar.</w:t>
            </w:r>
          </w:p>
          <w:p>
            <w:pPr>
              <w:spacing w:after="18" w:line="236"/>
            </w:pPr>
            <w:r>
              <w:rPr>
                <w:rFonts w:ascii="Arial" w:cs="Arial" w:eastAsia="Arial" w:hAnsi="Arial"/>
                <w:sz w:val="19"/>
                <w:szCs w:val="19"/>
              </w:rPr>
              <w:t xml:space="preserve">3. El sistema construye y firma la nota crédito y genera su CUFE.</w:t>
            </w:r>
          </w:p>
          <w:p>
            <w:pPr>
              <w:spacing w:after="18" w:line="236"/>
            </w:pPr>
            <w:r>
              <w:rPr>
                <w:rFonts w:ascii="Arial" w:cs="Arial" w:eastAsia="Arial" w:hAnsi="Arial"/>
                <w:sz w:val="19"/>
                <w:szCs w:val="19"/>
              </w:rPr>
              <w:t xml:space="preserve">4. La envía al Servicio DIAN (sandbox).</w:t>
            </w:r>
          </w:p>
          <w:p>
            <w:pPr>
              <w:spacing w:after="18" w:line="236"/>
            </w:pPr>
            <w:r>
              <w:rPr>
                <w:rFonts w:ascii="Arial" w:cs="Arial" w:eastAsia="Arial" w:hAnsi="Arial"/>
                <w:sz w:val="19"/>
                <w:szCs w:val="19"/>
              </w:rPr>
              <w:t xml:space="preserve">5. La DIAN acepta y el sistema guarda la nota crédito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Nota crédito total (por anulación de venta, CU-VEN-04) o parcial.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La DIAN rechaza: el sistema registra el rechazo y permite corregir y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referencia la factura original; se usa al anular una venta facturada; opera en el sandbox de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queda emitida y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9" w:id="49"/>
      <w:r>
        <w:rPr>
          <w:rFonts w:ascii="Arial" w:cs="Arial" w:eastAsia="Arial" w:hAnsi="Arial"/>
          <w:b/>
          <w:bCs/>
          <w:color w:val="2E5496"/>
          <w:sz w:val="23"/>
          <w:szCs w:val="23"/>
        </w:rPr>
        <w:t xml:space="preserve">9.8 Módulo AUD — Auditoría y respaldo</w:t>
      </w:r>
      <w:bookmarkEnd w:id="49"/>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CU-AUD-01 — Registrar log de acciones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registra automáticamente las acciones relevantes de los usuarios (quién, qué y cuándo).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usuarios operando en el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Un usuario ejecuta una acción relevante (inicio de sesión, crear, editar o eliminar, venta, ajuste o cambio de configuración).</w:t>
            </w:r>
          </w:p>
          <w:p>
            <w:pPr>
              <w:spacing w:after="18" w:line="236"/>
            </w:pPr>
            <w:r>
              <w:rPr>
                <w:rFonts w:ascii="Arial" w:cs="Arial" w:eastAsia="Arial" w:hAnsi="Arial"/>
                <w:sz w:val="19"/>
                <w:szCs w:val="19"/>
              </w:rPr>
              <w:t xml:space="preserve">2. El sistema registra el evento con el usuario, la acción, la fecha y hora, y el dato afectado.</w:t>
            </w:r>
          </w:p>
          <w:p>
            <w:pPr>
              <w:spacing w:after="18" w:line="236"/>
            </w:pPr>
            <w:r>
              <w:rPr>
                <w:rFonts w:ascii="Arial" w:cs="Arial" w:eastAsia="Arial" w:hAnsi="Arial"/>
                <w:sz w:val="19"/>
                <w:szCs w:val="19"/>
              </w:rPr>
              <w:t xml:space="preserve">3. El registro queda almacenado de forma inmutable.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Fallo al registrar: el sistema reintenta y deja constancia del error.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registro es automático (actor Sistema) e inmutable (no se edita ni se borra); incluye la licorera para aislar los datos (multitenant).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acción queda registrada en la bitácora de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CU-AUD-02 — Consultar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bitácora de acciones para revisar la actividad del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registros de auditoría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auditoría.</w:t>
            </w:r>
          </w:p>
          <w:p>
            <w:pPr>
              <w:spacing w:after="18" w:line="236"/>
            </w:pPr>
            <w:r>
              <w:rPr>
                <w:rFonts w:ascii="Arial" w:cs="Arial" w:eastAsia="Arial" w:hAnsi="Arial"/>
                <w:sz w:val="19"/>
                <w:szCs w:val="19"/>
              </w:rPr>
              <w:t xml:space="preserve">2. El sistema muestra los eventos con usuario, acción, fecha y dato afectado.</w:t>
            </w:r>
          </w:p>
          <w:p>
            <w:pPr>
              <w:spacing w:after="18" w:line="236"/>
            </w:pPr>
            <w:r>
              <w:rPr>
                <w:rFonts w:ascii="Arial" w:cs="Arial" w:eastAsia="Arial" w:hAnsi="Arial"/>
                <w:sz w:val="19"/>
                <w:szCs w:val="19"/>
              </w:rPr>
              <w:t xml:space="preserve">3. El administrador filtra por usuario, fecha, tipo de acción o módulo.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evento.</w:t>
            </w:r>
          </w:p>
          <w:p>
            <w:pPr>
              <w:spacing w:after="18" w:line="236"/>
            </w:pPr>
            <w:r>
              <w:rPr>
                <w:rFonts w:ascii="Arial" w:cs="Arial" w:eastAsia="Arial" w:hAnsi="Arial"/>
                <w:sz w:val="19"/>
                <w:szCs w:val="19"/>
              </w:rPr>
              <w:t xml:space="preserve">2b. Exportar la bitácora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eventos para el filtro elegido: el sistema muestra la bitácora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solo de consulta (no se edita); el administrador ve la auditoría de su licorera; apoya la trazabilidad y el control.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actividad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CU-AUD-03 — Generar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genera una copia de seguridad de los datos de la licorera, de forma manual o programada.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datos que respaldar.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elige «Generar copia» o el sistema la ejecuta según la programación.</w:t>
            </w:r>
          </w:p>
          <w:p>
            <w:pPr>
              <w:spacing w:after="18" w:line="236"/>
            </w:pPr>
            <w:r>
              <w:rPr>
                <w:rFonts w:ascii="Arial" w:cs="Arial" w:eastAsia="Arial" w:hAnsi="Arial"/>
                <w:sz w:val="19"/>
                <w:szCs w:val="19"/>
              </w:rPr>
              <w:t xml:space="preserve">2. El sistema recopila los datos y genera la copia.</w:t>
            </w:r>
          </w:p>
          <w:p>
            <w:pPr>
              <w:spacing w:after="18" w:line="236"/>
            </w:pPr>
            <w:r>
              <w:rPr>
                <w:rFonts w:ascii="Arial" w:cs="Arial" w:eastAsia="Arial" w:hAnsi="Arial"/>
                <w:sz w:val="19"/>
                <w:szCs w:val="19"/>
              </w:rPr>
              <w:t xml:space="preserve">3. Guarda la copia con su fecha e identificación.</w:t>
            </w:r>
          </w:p>
          <w:p>
            <w:pPr>
              <w:spacing w:after="18" w:line="236"/>
            </w:pPr>
            <w:r>
              <w:rPr>
                <w:rFonts w:ascii="Arial" w:cs="Arial" w:eastAsia="Arial" w:hAnsi="Arial"/>
                <w:sz w:val="19"/>
                <w:szCs w:val="19"/>
              </w:rPr>
              <w:t xml:space="preserve">4. Confirma el resultado.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Programar copias automáticas periódicas, que ejecuta el actor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Error durante la copia: el sistema informa, deja registro y no la marca como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copia puede ser manual o automática; se conserva un historial de copias; es la base para la restauración.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disponible una copia de seguridad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CU-AUD-04 — Restaurar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RF-AUD-04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restaura los datos a partir de una copia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al menos una copia válida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«Restaurar» y selecciona la copia.</w:t>
            </w:r>
          </w:p>
          <w:p>
            <w:pPr>
              <w:spacing w:after="18" w:line="236"/>
            </w:pPr>
            <w:r>
              <w:rPr>
                <w:rFonts w:ascii="Arial" w:cs="Arial" w:eastAsia="Arial" w:hAnsi="Arial"/>
                <w:sz w:val="19"/>
                <w:szCs w:val="19"/>
              </w:rPr>
              <w:t xml:space="preserve">2. El sistema solicita confirmación y advierte que se reemplazan los datos actuales.</w:t>
            </w:r>
          </w:p>
          <w:p>
            <w:pPr>
              <w:spacing w:after="18" w:line="236"/>
            </w:pPr>
            <w:r>
              <w:rPr>
                <w:rFonts w:ascii="Arial" w:cs="Arial" w:eastAsia="Arial" w:hAnsi="Arial"/>
                <w:sz w:val="19"/>
                <w:szCs w:val="19"/>
              </w:rPr>
              <w:t xml:space="preserve">3. El sistema restaura los datos desde la copia.</w:t>
            </w:r>
          </w:p>
          <w:p>
            <w:pPr>
              <w:spacing w:after="18" w:line="236"/>
            </w:pPr>
            <w:r>
              <w:rPr>
                <w:rFonts w:ascii="Arial" w:cs="Arial" w:eastAsia="Arial" w:hAnsi="Arial"/>
                <w:sz w:val="19"/>
                <w:szCs w:val="19"/>
              </w:rPr>
              <w:t xml:space="preserve">4. Confirma el resultado y registra la restauración en la auditoría.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Copia dañada o incompatible: el sistema aborta y conserva los datos actuales.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restauración reemplaza los datos actuales (operación sensible que requiere confirmación); queda registrada en la auditoría y se limita a la licorera correspondiente.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quedan restaurados al estado de la copia.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1"/>
        <w:pageBreakBefore/>
        <w:spacing w:after="110" w:before="220"/>
      </w:pPr>
      <w:bookmarkStart w:name="bm50" w:id="50"/>
      <w:r>
        <w:rPr>
          <w:rFonts w:ascii="Arial" w:cs="Arial" w:eastAsia="Arial" w:hAnsi="Arial"/>
          <w:b/>
          <w:bCs/>
          <w:color w:val="1F3864"/>
          <w:sz w:val="27"/>
          <w:szCs w:val="27"/>
        </w:rPr>
        <w:t xml:space="preserve">10. Conclusión</w:t>
      </w:r>
      <w:bookmarkEnd w:id="50"/>
    </w:p>
    <w:p>
      <w:pPr>
        <w:spacing w:after="110" w:line="262"/>
        <w:jc w:val="both"/>
      </w:pPr>
      <w:r>
        <w:rPr>
          <w:rFonts w:ascii="Arial" w:cs="Arial" w:eastAsia="Arial" w:hAnsi="Arial"/>
          <w:sz w:val="22"/>
          <w:szCs w:val="22"/>
        </w:rPr>
        <w:t xml:space="preserve">Este documento consolidó el análisis y el diseño de INVENTRA en notación UML, en coherencia con la especificación de requisitos (IEEE 830) y con el diseño de la base de datos (MER y diccionario de datos). Se definieron los actores del sistema, el modelo de dominio, la arquitectura en capas —componentes y despliegue—, los flujos de los procesos con mayor lógica de decisión mediante diagramas de actividades, y la especificación de los cuarenta y ocho casos de uso de los ocho módulos, con su trazabilidad uno a uno con los requisitos funcionales. Con esta base, el proyecto queda preparado para la etapa de construcción del software.</w:t>
      </w:r>
    </w:p>
    <w:p>
      <w:pPr>
        <w:pStyle w:val="Heading1"/>
        <w:pageBreakBefore/>
        <w:spacing w:after="110" w:before="220"/>
      </w:pPr>
      <w:bookmarkStart w:name="bm51" w:id="51"/>
      <w:r>
        <w:rPr>
          <w:rFonts w:ascii="Arial" w:cs="Arial" w:eastAsia="Arial" w:hAnsi="Arial"/>
          <w:b/>
          <w:bCs/>
          <w:color w:val="1F3864"/>
          <w:sz w:val="27"/>
          <w:szCs w:val="27"/>
        </w:rPr>
        <w:t xml:space="preserve">11. Glosario</w:t>
      </w:r>
      <w:bookmarkEnd w:id="51"/>
    </w:p>
    <w:p>
      <w:pPr>
        <w:spacing w:after="110" w:line="262"/>
        <w:jc w:val="both"/>
      </w:pPr>
      <w:r>
        <w:rPr>
          <w:rFonts w:ascii="Arial" w:cs="Arial" w:eastAsia="Arial" w:hAnsi="Arial"/>
          <w:sz w:val="22"/>
          <w:szCs w:val="22"/>
        </w:rPr>
        <w:t xml:space="preserve">Definición de los términos técnicos y de notación empleados en este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900"/>
        <w:gridCol w:w="6460"/>
      </w:tblGrid>
      <w:tr>
        <w:trPr>
          <w:tblHeader/>
        </w:trPr>
        <w:tc>
          <w:tcPr>
            <w:tcW w:type="dxa" w:w="2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6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Actor</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Entidad, persona o sistema, que interactúa con el sistema para cumplir un objetivo.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Caso de uso</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Descripción de una funcionalidad del sistema desde la perspectiva de un actor.</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«include»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caso de uso incorpora siempre el comportamiento de otro.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«extend»</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caso de uso añade un comportamiento opcional a otro.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Generalización</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Relación en la que un actor o un caso de uso hereda las características de otro más general.</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Agregado y raíz de agregado</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Conjunto de objetos del dominio tratado como una unidad de consistencia; la raíz controla el acceso al agregado (Domain-Driven Design).</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Inversión de dependencias</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Principio por el cual el dominio define interfaces (puertos) que la infraestructura implementa, de modo que las dependencias apuntan hacia el dominio.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PEPS</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Método de valoración de inventario «primeras entradas, primeras salidas»: la venta consume los lotes más antiguos y registra su costo real.</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Lote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Cantidad de mercancía ingresada en una compra, con su costo unitario y su fecha.</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Kardex</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Registro histórico e inmutable de los movimientos de inventario (entradas, salidas y ajustes) de un producto.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CUFE</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Código único de factura electrónica que identifica cada factura ante la DIAN.</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Tenant y multitenant</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Modelo en el que cada licorera es un inquilino con sus datos aislados dentro de la misma plataforma.</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Sandbox</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Ambiente de pruebas de un servicio externo (pasarela de pagos o DIAN) que simula la operación real sin efectos productivos.</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JWT</w:t>
            </w:r>
          </w:p>
        </w:tc>
        <w:tc>
          <w:tcPr>
            <w:tcW w:type="dxa" w:w="6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Token de sesión que acredita la identidad del usuario autenticado.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API REST</w:t>
            </w:r>
          </w:p>
        </w:tc>
        <w:tc>
          <w:tcPr>
            <w:tcW w:type="dxa" w:w="6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Estilo de interfaz que comunica el frontend y el backend mediante HTTP y formato JSON.</w:t>
            </w:r>
          </w:p>
        </w:tc>
      </w:tr>
    </w:tbl>
    <w:p>
      <w:pPr>
        <w:pStyle w:val="Heading1"/>
        <w:pageBreakBefore/>
        <w:spacing w:after="110" w:before="220"/>
      </w:pPr>
      <w:bookmarkStart w:name="bm52" w:id="52"/>
      <w:r>
        <w:rPr>
          <w:rFonts w:ascii="Arial" w:cs="Arial" w:eastAsia="Arial" w:hAnsi="Arial"/>
          <w:b/>
          <w:bCs/>
          <w:color w:val="1F3864"/>
          <w:sz w:val="27"/>
          <w:szCs w:val="27"/>
        </w:rPr>
        <w:t xml:space="preserve">12. Referencias</w:t>
      </w:r>
      <w:bookmarkEnd w:id="52"/>
    </w:p>
    <w:p>
      <w:pPr>
        <w:spacing w:after="110" w:line="262"/>
        <w:jc w:val="both"/>
      </w:pPr>
      <w:r>
        <w:rPr>
          <w:rFonts w:ascii="Arial" w:cs="Arial" w:eastAsia="Arial" w:hAnsi="Arial"/>
          <w:b/>
          <w:bCs/>
          <w:sz w:val="22"/>
          <w:szCs w:val="22"/>
        </w:rPr>
        <w:t xml:space="preserve">[1] </w:t>
      </w:r>
      <w:r>
        <w:rPr>
          <w:rFonts w:ascii="Arial" w:cs="Arial" w:eastAsia="Arial" w:hAnsi="Arial"/>
          <w:sz w:val="22"/>
          <w:szCs w:val="22"/>
        </w:rPr>
        <w:t xml:space="preserve">Especificación de Requisitos de Software (IEEE 830) de INVENTRA. Documento del proyecto.</w:t>
      </w:r>
    </w:p>
    <w:p>
      <w:pPr>
        <w:spacing w:after="110" w:line="262"/>
        <w:jc w:val="both"/>
      </w:pPr>
      <w:r>
        <w:rPr>
          <w:rFonts w:ascii="Arial" w:cs="Arial" w:eastAsia="Arial" w:hAnsi="Arial"/>
          <w:b/>
          <w:bCs/>
          <w:sz w:val="22"/>
          <w:szCs w:val="22"/>
        </w:rPr>
        <w:t xml:space="preserve">[2] </w:t>
      </w:r>
      <w:r>
        <w:rPr>
          <w:rFonts w:ascii="Arial" w:cs="Arial" w:eastAsia="Arial" w:hAnsi="Arial"/>
          <w:sz w:val="22"/>
          <w:szCs w:val="22"/>
        </w:rPr>
        <w:t xml:space="preserve">Diseño de la base de datos: MER, modelo relacional y diccionario de datos de INVENTRA. Documento del proyecto.</w:t>
      </w:r>
    </w:p>
    <w:p>
      <w:pPr>
        <w:spacing w:after="110" w:line="262"/>
        <w:jc w:val="both"/>
      </w:pPr>
      <w:r>
        <w:rPr>
          <w:rFonts w:ascii="Arial" w:cs="Arial" w:eastAsia="Arial" w:hAnsi="Arial"/>
          <w:b/>
          <w:bCs/>
          <w:sz w:val="22"/>
          <w:szCs w:val="22"/>
        </w:rPr>
        <w:t xml:space="preserve">[3] </w:t>
      </w:r>
      <w:r>
        <w:rPr>
          <w:rFonts w:ascii="Arial" w:cs="Arial" w:eastAsia="Arial" w:hAnsi="Arial"/>
          <w:sz w:val="22"/>
          <w:szCs w:val="22"/>
        </w:rPr>
        <w:t xml:space="preserve">Object Management Group (OMG). Unified Modeling Language (UML), versión 2.x.</w:t>
      </w:r>
    </w:p>
    <w:p>
      <w:pPr>
        <w:spacing w:after="110" w:line="262"/>
        <w:jc w:val="both"/>
      </w:pPr>
      <w:r>
        <w:rPr>
          <w:rFonts w:ascii="Arial" w:cs="Arial" w:eastAsia="Arial" w:hAnsi="Arial"/>
          <w:b/>
          <w:bCs/>
          <w:sz w:val="22"/>
          <w:szCs w:val="22"/>
        </w:rPr>
        <w:t xml:space="preserve">[4] </w:t>
      </w:r>
      <w:r>
        <w:rPr>
          <w:rFonts w:ascii="Arial" w:cs="Arial" w:eastAsia="Arial" w:hAnsi="Arial"/>
          <w:sz w:val="22"/>
          <w:szCs w:val="22"/>
        </w:rPr>
        <w:t xml:space="preserve">IEEE. IEEE Std 830, Recommended Practice for Software Requirements Specifications.</w:t>
      </w:r>
    </w:p>
    <w:p>
      <w:pPr>
        <w:spacing w:after="110" w:line="262"/>
        <w:jc w:val="both"/>
      </w:pPr>
      <w:r>
        <w:rPr>
          <w:rFonts w:ascii="Arial" w:cs="Arial" w:eastAsia="Arial" w:hAnsi="Arial"/>
          <w:b/>
          <w:bCs/>
          <w:sz w:val="22"/>
          <w:szCs w:val="22"/>
        </w:rPr>
        <w:t xml:space="preserve">[5] </w:t>
      </w:r>
      <w:r>
        <w:rPr>
          <w:rFonts w:ascii="Arial" w:cs="Arial" w:eastAsia="Arial" w:hAnsi="Arial"/>
          <w:sz w:val="22"/>
          <w:szCs w:val="22"/>
        </w:rPr>
        <w:t xml:space="preserve">Evans, E. Domain-Driven Design: Tackling Complexity in the Heart of Software. Addison-Wesley.</w:t>
      </w:r>
    </w:p>
    <w:p>
      <w:pPr>
        <w:spacing w:after="110" w:line="262"/>
        <w:jc w:val="both"/>
      </w:pPr>
      <w:r>
        <w:rPr>
          <w:rFonts w:ascii="Arial" w:cs="Arial" w:eastAsia="Arial" w:hAnsi="Arial"/>
          <w:b/>
          <w:bCs/>
          <w:sz w:val="22"/>
          <w:szCs w:val="22"/>
        </w:rPr>
        <w:t xml:space="preserve">[6] </w:t>
      </w:r>
      <w:r>
        <w:rPr>
          <w:rFonts w:ascii="Arial" w:cs="Arial" w:eastAsia="Arial" w:hAnsi="Arial"/>
          <w:sz w:val="22"/>
          <w:szCs w:val="22"/>
        </w:rPr>
        <w:t xml:space="preserve">Martin, R. C. Clean Architecture: A Craftsman's Guide to Software Structure and Design. Prentice Hall.</w:t>
      </w:r>
    </w:p>
    <w:p>
      <w:pPr>
        <w:spacing w:after="110" w:line="262"/>
        <w:jc w:val="both"/>
      </w:pPr>
      <w:r>
        <w:rPr>
          <w:rFonts w:ascii="Arial" w:cs="Arial" w:eastAsia="Arial" w:hAnsi="Arial"/>
          <w:b/>
          <w:bCs/>
          <w:sz w:val="22"/>
          <w:szCs w:val="22"/>
        </w:rPr>
        <w:t xml:space="preserve">[7] </w:t>
      </w:r>
      <w:r>
        <w:rPr>
          <w:rFonts w:ascii="Arial" w:cs="Arial" w:eastAsia="Arial" w:hAnsi="Arial"/>
          <w:sz w:val="22"/>
          <w:szCs w:val="22"/>
        </w:rPr>
        <w:t xml:space="preserve">Dirección de Impuestos y Aduanas Nacionales (DIAN). Documentación técnica de facturación electrónica.</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2026-09-09T14:03:23.409Z</dcterms:created>
  <dcterms:modified xsi:type="dcterms:W3CDTF">2026-09-09T14:03:23.409Z</dcterms:modified>
</cp:coreProperties>
</file>

<file path=docProps/custom.xml><?xml version="1.0" encoding="utf-8"?>
<Properties xmlns="http://schemas.openxmlformats.org/officeDocument/2006/custom-properties" xmlns:vt="http://schemas.openxmlformats.org/officeDocument/2006/docPropsVTypes"/>
</file>