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ESPECIFICACIÓN DE ANÁLISIS Y DISEÑO (UML)</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26/07/2026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ERS IEEE 830 (rev.1) y MER (rev.1) de INVENTRA</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Actores</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Diagrama de clases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4. Diagrama de componentes</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5. Diagrama de despliegue</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9">
        <w:r>
          <w:rPr>
            <w:rFonts w:ascii="Arial" w:cs="Arial" w:eastAsia="Arial" w:hAnsi="Arial"/>
            <w:b/>
            <w:bCs/>
            <w:color w:val="1F3864"/>
            <w:sz w:val="21"/>
            <w:szCs w:val="21"/>
          </w:rPr>
          <w:t xml:space="preserve">6. Diagramas de casos de uso por módulo</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Notación</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Módulo SEG — Seguridad y autenticación</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Módulo SUS — Suscripciones y planes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Módulo INV — Inventario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Módulo VEN — Ventas (punto de venta)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Módulo SED — Multisede y multiusuario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Módulo REP — Reportes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Módulo FAC — Facturación electrónica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Módulo AUD — Auditoría y respaldo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7. Diagramas de actividades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Autenticación y control de acceso</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Registro de venta con valoración PEPS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Entrada de mercancía por lote</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Anulación de venta y reversión de inventario</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Emisión de factura electrónica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Gestión del estado de la suscripción</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8. Matriz de trazabilidad (requisitos ↔ casos de uso)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9. Casos de uso extendidos por módulo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9.1 Módulo SEG — Seguridad y autenticación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9.2 Módulo SUS — Suscripciones y planes</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ind w:left="360"/>
      </w:pPr>
      <w:hyperlink w:history="1" w:anchor="bm44">
        <w:r>
          <w:rPr>
            <w:rFonts w:ascii="Arial" w:cs="Arial" w:eastAsia="Arial" w:hAnsi="Arial"/>
            <w:b w:val="false"/>
            <w:bCs w:val="false"/>
            <w:color w:val="1F3864"/>
            <w:sz w:val="20"/>
            <w:szCs w:val="20"/>
          </w:rPr>
          <w:t xml:space="preserve">9.3 Módulo INV — Inventario</w:t>
        </w:r>
      </w:hyperlink>
      <w:r>
        <w:rPr>
          <w:rFonts w:ascii="Arial" w:cs="Arial" w:eastAsia="Arial" w:hAnsi="Arial"/>
          <w:sz w:val="20"/>
          <w:szCs w:val="20"/>
        </w:rPr>
        <w:t xml:space="preserve">	</w:t>
      </w:r>
      <w:r>
        <w:fldChar w:fldCharType="begin" w:dirty="true"/>
        <w:instrText xml:space="preserve">PAGEREF bm44</w:instrText>
        <w:fldChar w:fldCharType="end"/>
      </w:r>
    </w:p>
    <w:p>
      <w:pPr>
        <w:tabs>
          <w:tab w:val="right" w:pos="9200" w:leader="dot"/>
        </w:tabs>
        <w:spacing w:after="40" w:line="252"/>
        <w:ind w:left="360"/>
      </w:pPr>
      <w:hyperlink w:history="1" w:anchor="bm45">
        <w:r>
          <w:rPr>
            <w:rFonts w:ascii="Arial" w:cs="Arial" w:eastAsia="Arial" w:hAnsi="Arial"/>
            <w:b w:val="false"/>
            <w:bCs w:val="false"/>
            <w:color w:val="1F3864"/>
            <w:sz w:val="20"/>
            <w:szCs w:val="20"/>
          </w:rPr>
          <w:t xml:space="preserve">9.4 Módulo VEN — Ventas (punto de venta)</w:t>
        </w:r>
      </w:hyperlink>
      <w:r>
        <w:rPr>
          <w:rFonts w:ascii="Arial" w:cs="Arial" w:eastAsia="Arial" w:hAnsi="Arial"/>
          <w:sz w:val="20"/>
          <w:szCs w:val="20"/>
        </w:rPr>
        <w:t xml:space="preserve">	</w:t>
      </w:r>
      <w:r>
        <w:fldChar w:fldCharType="begin" w:dirty="true"/>
        <w:instrText xml:space="preserve">PAGEREF bm45</w:instrText>
        <w:fldChar w:fldCharType="end"/>
      </w:r>
    </w:p>
    <w:p>
      <w:pPr>
        <w:tabs>
          <w:tab w:val="right" w:pos="9200" w:leader="dot"/>
        </w:tabs>
        <w:spacing w:after="40" w:line="252"/>
        <w:ind w:left="360"/>
      </w:pPr>
      <w:hyperlink w:history="1" w:anchor="bm46">
        <w:r>
          <w:rPr>
            <w:rFonts w:ascii="Arial" w:cs="Arial" w:eastAsia="Arial" w:hAnsi="Arial"/>
            <w:b w:val="false"/>
            <w:bCs w:val="false"/>
            <w:color w:val="1F3864"/>
            <w:sz w:val="20"/>
            <w:szCs w:val="20"/>
          </w:rPr>
          <w:t xml:space="preserve">9.5 Módulo REP — Reportes</w:t>
        </w:r>
      </w:hyperlink>
      <w:r>
        <w:rPr>
          <w:rFonts w:ascii="Arial" w:cs="Arial" w:eastAsia="Arial" w:hAnsi="Arial"/>
          <w:sz w:val="20"/>
          <w:szCs w:val="20"/>
        </w:rPr>
        <w:t xml:space="preserve">	</w:t>
      </w:r>
      <w:r>
        <w:fldChar w:fldCharType="begin" w:dirty="true"/>
        <w:instrText xml:space="preserve">PAGEREF bm46</w:instrText>
        <w:fldChar w:fldCharType="end"/>
      </w:r>
    </w:p>
    <w:p>
      <w:pPr>
        <w:pageBreakBefore/>
        <w:spacing w:after="150"/>
      </w:pPr>
      <w:r>
        <w:rPr>
          <w:rFonts w:ascii="Arial" w:cs="Arial" w:eastAsia="Arial" w:hAnsi="Arial"/>
          <w:b/>
          <w:bCs/>
          <w:color w:val="1F3864"/>
          <w:sz w:val="26"/>
          <w:szCs w:val="26"/>
        </w:rPr>
        <w:t xml:space="preserve">Lista de figuras</w:t>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Figura 1. Diagrama de clases (modelo del dominio)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Figura 2. Diagrama de componentes</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Figura 3. Diagrama de despliegue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Figura 4. Casos de uso del Módulo SEG — Seguridad y autenticación</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Figura 5. Casos de uso del Módulo SUS — Suscripciones y planes</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Figura 6. Casos de uso del Módulo INV — Inventario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Figura 7. Casos de uso del Módulo VEN — Ventas (punto de venta)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Figura 8. Casos de uso del Módulo SED — Multisede y multiusuario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Figura 9. Casos de uso del Módulo REP — Reportes</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Figura 10. Casos de uso del Módulo FAC — Facturación electrónica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Figura 11. Casos de uso del Módulo AUD — Auditoría y respaldo</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Figura 12. Diagrama de actividades — Autenticación y control de acceso</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Figura 13. Diagrama de actividades — Registro de venta con valoración PEPS</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Figura 14. Diagrama de actividades — Entrada de mercancía por lote</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Figura 15. Diagrama de actividades — Anulación de venta y reversión de inventario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Figura 16. Diagrama de actividades — Emisión de factura electrónica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Figura 17. Diagrama de actividades — Gestión del estado de la suscripción</w:t>
        </w:r>
      </w:hyperlink>
      <w:r>
        <w:rPr>
          <w:rFonts w:ascii="Arial" w:cs="Arial" w:eastAsia="Arial" w:hAnsi="Arial"/>
          <w:sz w:val="20"/>
          <w:szCs w:val="20"/>
        </w:rPr>
        <w:t xml:space="preserve">	</w:t>
      </w:r>
      <w:r>
        <w:fldChar w:fldCharType="begin" w:dirty="true"/>
        <w:instrText xml:space="preserve">PAGEREF bm39</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p>
    <w:p>
      <w:pPr>
        <w:spacing w:after="110" w:line="262"/>
        <w:jc w:val="both"/>
      </w:pPr>
      <w:r>
        <w:rPr>
          <w:rFonts w:ascii="Arial" w:cs="Arial" w:eastAsia="Arial" w:hAnsi="Arial"/>
          <w:b/>
          <w:bCs/>
          <w:sz w:val="22"/>
          <w:szCs w:val="22"/>
        </w:rPr>
        <w:t xml:space="preserve">Arquitectura de referencia: </w:t>
      </w:r>
      <w:r>
        <w:rPr>
          <w:rFonts w:ascii="Arial" w:cs="Arial" w:eastAsia="Arial" w:hAnsi="Arial"/>
          <w:sz w:val="22"/>
          <w:szCs w:val="22"/>
        </w:rPr>
        <w:t xml:space="preserve">frontend en React, backend con API REST en Django y Django REST Framework, base de datos MySQL, e integraciones con la pasarela de pagos y el servicio de facturación electrónica de la DIAN.</w:t>
      </w:r>
    </w:p>
    <w:p>
      <w:pPr>
        <w:pStyle w:val="Heading1"/>
        <w:pageBreakBefore/>
        <w:spacing w:after="110" w:before="220"/>
      </w:pPr>
      <w:bookmarkStart w:name="bm2" w:id="2"/>
      <w:r>
        <w:rPr>
          <w:rFonts w:ascii="Arial" w:cs="Arial" w:eastAsia="Arial" w:hAnsi="Arial"/>
          <w:b/>
          <w:bCs/>
          <w:color w:val="1F3864"/>
          <w:sz w:val="27"/>
          <w:szCs w:val="27"/>
        </w:rPr>
        <w:t xml:space="preserve">2. Actores</w:t>
      </w:r>
      <w:bookmarkEnd w:id="2"/>
    </w:p>
    <w:p>
      <w:pPr>
        <w:spacing w:after="110" w:line="262"/>
        <w:jc w:val="both"/>
      </w:pPr>
      <w:r>
        <w:rPr>
          <w:rFonts w:ascii="Arial" w:cs="Arial" w:eastAsia="Arial" w:hAnsi="Arial"/>
          <w:sz w:val="22"/>
          <w:szCs w:val="22"/>
        </w:rPr>
        <w:t xml:space="preserve">Los actores son las entidades que interactúan con el sistema.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1900"/>
        <w:gridCol w:w="48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Actor</w:t>
            </w:r>
          </w:p>
        </w:tc>
        <w:tc>
          <w:tcPr>
            <w:tcW w:type="dxa" w:w="1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4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Descripción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Administrador (propietario)</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 el negocio: inventario, ventas, usuarios, reportes y configuración.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Vendedor (cajero)</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 las ventas y consulta las existencias.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Superadministrador INVENTRA</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 la plataforma: licoreras (tenants), planes y suscripciones.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Pasarela de pagos</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Procesa los pagos con tarjeta en el punto de venta.</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Servicio DIAN (facturación)</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Recibe y valida las facturas electrónicas.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(INVENTRA)</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Ejecuta acciones automáticas: alertas de stock, registro de auditoría y copias de seguridad.</w:t>
            </w:r>
          </w:p>
        </w:tc>
      </w:tr>
    </w:tbl>
    <w:p>
      <w:pPr>
        <w:pStyle w:val="Heading1"/>
        <w:pageBreakBefore/>
        <w:spacing w:after="110" w:before="220"/>
      </w:pPr>
      <w:bookmarkStart w:name="bm3" w:id="3"/>
      <w:r>
        <w:rPr>
          <w:rFonts w:ascii="Arial" w:cs="Arial" w:eastAsia="Arial" w:hAnsi="Arial"/>
          <w:b/>
          <w:bCs/>
          <w:color w:val="1F3864"/>
          <w:sz w:val="27"/>
          <w:szCs w:val="27"/>
        </w:rPr>
        <w:t xml:space="preserve">3. Diagrama de clases</w:t>
      </w:r>
      <w:bookmarkEnd w:id="3"/>
    </w:p>
    <w:p>
      <w:pPr>
        <w:spacing w:after="110" w:line="262"/>
        <w:jc w:val="both"/>
      </w:pPr>
      <w:r>
        <w:rPr>
          <w:rFonts w:ascii="Arial" w:cs="Arial" w:eastAsia="Arial" w:hAnsi="Arial"/>
          <w:sz w:val="22"/>
          <w:szCs w:val="22"/>
        </w:rPr>
        <w:t xml:space="preserve">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pPr>
        <w:spacing w:after="110" w:line="262"/>
        <w:jc w:val="both"/>
      </w:pPr>
      <w:r>
        <w:rPr>
          <w:rFonts w:ascii="Arial" w:cs="Arial" w:eastAsia="Arial" w:hAnsi="Arial"/>
          <w:b/>
          <w:bCs/>
          <w:sz w:val="22"/>
          <w:szCs w:val="22"/>
        </w:rPr>
        <w:t xml:space="preserve">Relaciones. </w:t>
      </w:r>
      <w:r>
        <w:rPr>
          <w:rFonts w:ascii="Arial" w:cs="Arial" w:eastAsia="Arial" w:hAnsi="Arial"/>
          <w:sz w:val="22"/>
          <w:szCs w:val="22"/>
        </w:rPr>
        <w:t xml:space="preserve">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pPr>
        <w:spacing w:after="20" w:before="6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86175"/>
                    </a:xfrm>
                    <a:prstGeom prst="rect">
                      <a:avLst/>
                    </a:prstGeom>
                  </pic:spPr>
                </pic:pic>
              </a:graphicData>
            </a:graphic>
          </wp:inline>
        </w:drawing>
      </w:r>
    </w:p>
    <w:p>
      <w:pPr>
        <w:spacing w:after="140" w:before="6"/>
        <w:jc w:val="center"/>
      </w:pPr>
      <w:bookmarkStart w:name="bm4" w:id="4"/>
      <w:r>
        <w:rPr>
          <w:rFonts w:ascii="Arial" w:cs="Arial" w:eastAsia="Arial" w:hAnsi="Arial"/>
          <w:i/>
          <w:iCs/>
          <w:color w:val="5B6678"/>
          <w:sz w:val="18"/>
          <w:szCs w:val="18"/>
        </w:rPr>
        <w:t xml:space="preserve">Figura 1. Diagrama de clases (modelo del dominio). Fuente: del autor.</w:t>
      </w:r>
      <w:bookmarkEnd w:id="4"/>
    </w:p>
    <w:p>
      <w:pPr>
        <w:pStyle w:val="Heading1"/>
        <w:pageBreakBefore/>
        <w:spacing w:after="110" w:before="220"/>
      </w:pPr>
      <w:bookmarkStart w:name="bm5" w:id="5"/>
      <w:r>
        <w:rPr>
          <w:rFonts w:ascii="Arial" w:cs="Arial" w:eastAsia="Arial" w:hAnsi="Arial"/>
          <w:b/>
          <w:bCs/>
          <w:color w:val="1F3864"/>
          <w:sz w:val="27"/>
          <w:szCs w:val="27"/>
        </w:rPr>
        <w:t xml:space="preserve">4. Diagrama de componentes</w:t>
      </w:r>
      <w:bookmarkEnd w:id="5"/>
    </w:p>
    <w:p>
      <w:pPr>
        <w:spacing w:after="110" w:line="262"/>
        <w:jc w:val="both"/>
      </w:pPr>
      <w:r>
        <w:rPr>
          <w:rFonts w:ascii="Arial" w:cs="Arial" w:eastAsia="Arial" w:hAnsi="Arial"/>
          <w:sz w:val="22"/>
          <w:szCs w:val="22"/>
        </w:rPr>
        <w:t xml:space="preserve">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pPr>
        <w:spacing w:after="110" w:line="262"/>
        <w:jc w:val="both"/>
      </w:pPr>
      <w:r>
        <w:rPr>
          <w:rFonts w:ascii="Arial" w:cs="Arial" w:eastAsia="Arial" w:hAnsi="Arial"/>
          <w:b/>
          <w:bCs/>
          <w:sz w:val="22"/>
          <w:szCs w:val="22"/>
        </w:rPr>
        <w:t xml:space="preserve">Dependencias e interfaces. </w:t>
      </w:r>
      <w:r>
        <w:rPr>
          <w:rFonts w:ascii="Arial" w:cs="Arial" w:eastAsia="Arial" w:hAnsi="Arial"/>
          <w:sz w:val="22"/>
          <w:szCs w:val="22"/>
        </w:rPr>
        <w:t xml:space="preserve">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pPr>
        <w:spacing w:after="20" w:before="60"/>
        <w:jc w:val="center"/>
      </w:pPr>
      <w:r>
        <w:drawing>
          <wp:inline distT="0" distB="0" distL="0" distR="0">
            <wp:extent cx="6096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62325"/>
                    </a:xfrm>
                    <a:prstGeom prst="rect">
                      <a:avLst/>
                    </a:prstGeom>
                  </pic:spPr>
                </pic:pic>
              </a:graphicData>
            </a:graphic>
          </wp:inline>
        </w:drawing>
      </w:r>
    </w:p>
    <w:p>
      <w:pPr>
        <w:spacing w:after="140" w:before="6"/>
        <w:jc w:val="center"/>
      </w:pPr>
      <w:bookmarkStart w:name="bm6" w:id="6"/>
      <w:r>
        <w:rPr>
          <w:rFonts w:ascii="Arial" w:cs="Arial" w:eastAsia="Arial" w:hAnsi="Arial"/>
          <w:i/>
          <w:iCs/>
          <w:color w:val="5B6678"/>
          <w:sz w:val="18"/>
          <w:szCs w:val="18"/>
        </w:rPr>
        <w:t xml:space="preserve">Figura 2. Diagrama de componentes. Fuente: del autor.</w:t>
      </w:r>
      <w:bookmarkEnd w:id="6"/>
    </w:p>
    <w:p>
      <w:pPr>
        <w:pStyle w:val="Heading1"/>
        <w:pageBreakBefore/>
        <w:spacing w:after="110" w:before="220"/>
      </w:pPr>
      <w:bookmarkStart w:name="bm7" w:id="7"/>
      <w:r>
        <w:rPr>
          <w:rFonts w:ascii="Arial" w:cs="Arial" w:eastAsia="Arial" w:hAnsi="Arial"/>
          <w:b/>
          <w:bCs/>
          <w:color w:val="1F3864"/>
          <w:sz w:val="27"/>
          <w:szCs w:val="27"/>
        </w:rPr>
        <w:t xml:space="preserve">5. Diagrama de despliegue</w:t>
      </w:r>
      <w:bookmarkEnd w:id="7"/>
    </w:p>
    <w:p>
      <w:pPr>
        <w:spacing w:after="110" w:line="262"/>
        <w:jc w:val="both"/>
      </w:pPr>
      <w:r>
        <w:rPr>
          <w:rFonts w:ascii="Arial" w:cs="Arial" w:eastAsia="Arial" w:hAnsi="Arial"/>
          <w:sz w:val="22"/>
          <w:szCs w:val="22"/>
        </w:rPr>
        <w:t xml:space="preserve">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pPr>
        <w:spacing w:after="20" w:before="60"/>
        <w:jc w:val="center"/>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140" w:before="6"/>
        <w:jc w:val="center"/>
      </w:pPr>
      <w:bookmarkStart w:name="bm8" w:id="8"/>
      <w:r>
        <w:rPr>
          <w:rFonts w:ascii="Arial" w:cs="Arial" w:eastAsia="Arial" w:hAnsi="Arial"/>
          <w:i/>
          <w:iCs/>
          <w:color w:val="5B6678"/>
          <w:sz w:val="18"/>
          <w:szCs w:val="18"/>
        </w:rPr>
        <w:t xml:space="preserve">Figura 3. Diagrama de despliegue. Fuente: del autor.</w:t>
      </w:r>
      <w:bookmarkEnd w:id="8"/>
    </w:p>
    <w:p>
      <w:pPr>
        <w:pStyle w:val="Heading1"/>
        <w:pageBreakBefore/>
        <w:spacing w:after="110" w:before="220"/>
      </w:pPr>
      <w:bookmarkStart w:name="bm9" w:id="9"/>
      <w:r>
        <w:rPr>
          <w:rFonts w:ascii="Arial" w:cs="Arial" w:eastAsia="Arial" w:hAnsi="Arial"/>
          <w:b/>
          <w:bCs/>
          <w:color w:val="1F3864"/>
          <w:sz w:val="27"/>
          <w:szCs w:val="27"/>
        </w:rPr>
        <w:t xml:space="preserve">6. Diagramas de casos de uso por módulo</w:t>
      </w:r>
      <w:bookmarkEnd w:id="9"/>
    </w:p>
    <w:p>
      <w:pPr>
        <w:spacing w:after="110" w:line="262"/>
        <w:jc w:val="both"/>
      </w:pPr>
      <w:r>
        <w:rPr>
          <w:rFonts w:ascii="Arial" w:cs="Arial" w:eastAsia="Arial" w:hAnsi="Arial"/>
          <w:sz w:val="22"/>
          <w:szCs w:val="22"/>
        </w:rPr>
        <w:t xml:space="preserve">Un diagrama por cada módulo funcional del sistema, con sus actores, casos de uso y relaciones («include» y «extend»).</w:t>
      </w:r>
    </w:p>
    <w:p>
      <w:pPr>
        <w:pStyle w:val="Heading2"/>
        <w:spacing w:after="80" w:before="150"/>
      </w:pPr>
      <w:bookmarkStart w:name="bm10" w:id="10"/>
      <w:r>
        <w:rPr>
          <w:rFonts w:ascii="Arial" w:cs="Arial" w:eastAsia="Arial" w:hAnsi="Arial"/>
          <w:b/>
          <w:bCs/>
          <w:color w:val="2E5496"/>
          <w:sz w:val="23"/>
          <w:szCs w:val="23"/>
        </w:rPr>
        <w:t xml:space="preserve">Notación</w:t>
      </w:r>
      <w:bookmarkEnd w:id="10"/>
    </w:p>
    <w:p>
      <w:pPr>
        <w:spacing w:after="110" w:line="262"/>
        <w:jc w:val="both"/>
      </w:pPr>
      <w:r>
        <w:rPr>
          <w:rFonts w:ascii="Arial" w:cs="Arial" w:eastAsia="Arial" w:hAnsi="Arial"/>
          <w:sz w:val="22"/>
          <w:szCs w:val="22"/>
        </w:rPr>
        <w:t xml:space="preserve">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pPr>
        <w:pStyle w:val="Heading2"/>
        <w:spacing w:after="80" w:before="150"/>
      </w:pPr>
      <w:bookmarkStart w:name="bm11" w:id="11"/>
      <w:r>
        <w:rPr>
          <w:rFonts w:ascii="Arial" w:cs="Arial" w:eastAsia="Arial" w:hAnsi="Arial"/>
          <w:b/>
          <w:bCs/>
          <w:color w:val="2E5496"/>
          <w:sz w:val="23"/>
          <w:szCs w:val="23"/>
        </w:rPr>
        <w:t xml:space="preserve">Módulo SEG — Seguridad y autenticación</w:t>
      </w:r>
      <w:bookmarkEnd w:id="11"/>
    </w:p>
    <w:p>
      <w:pPr>
        <w:spacing w:after="20" w:before="6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140" w:before="6"/>
        <w:jc w:val="center"/>
      </w:pPr>
      <w:bookmarkStart w:name="bm12" w:id="12"/>
      <w:r>
        <w:rPr>
          <w:rFonts w:ascii="Arial" w:cs="Arial" w:eastAsia="Arial" w:hAnsi="Arial"/>
          <w:i/>
          <w:iCs/>
          <w:color w:val="5B6678"/>
          <w:sz w:val="18"/>
          <w:szCs w:val="18"/>
        </w:rPr>
        <w:t xml:space="preserve">Figura 4. Casos de uso del Módulo SEG — Seguridad y autenticación. Fuente: del autor.</w:t>
      </w:r>
      <w:bookmarkEnd w:id="12"/>
    </w:p>
    <w:p>
      <w:pPr>
        <w:pStyle w:val="Heading2"/>
        <w:spacing w:after="80" w:before="150"/>
      </w:pPr>
      <w:bookmarkStart w:name="bm13" w:id="13"/>
      <w:r>
        <w:rPr>
          <w:rFonts w:ascii="Arial" w:cs="Arial" w:eastAsia="Arial" w:hAnsi="Arial"/>
          <w:b/>
          <w:bCs/>
          <w:color w:val="2E5496"/>
          <w:sz w:val="23"/>
          <w:szCs w:val="23"/>
        </w:rPr>
        <w:t xml:space="preserve">Módulo SUS — Suscripciones y planes</w:t>
      </w:r>
      <w:bookmarkEnd w:id="13"/>
    </w:p>
    <w:p>
      <w:pPr>
        <w:spacing w:after="20" w:before="60"/>
        <w:jc w:val="center"/>
      </w:pPr>
      <w:r>
        <w:drawing>
          <wp:inline distT="0" distB="0" distL="0" distR="0">
            <wp:extent cx="5905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38475"/>
                    </a:xfrm>
                    <a:prstGeom prst="rect">
                      <a:avLst/>
                    </a:prstGeom>
                  </pic:spPr>
                </pic:pic>
              </a:graphicData>
            </a:graphic>
          </wp:inline>
        </w:drawing>
      </w:r>
    </w:p>
    <w:p>
      <w:pPr>
        <w:spacing w:after="140" w:before="6"/>
        <w:jc w:val="center"/>
      </w:pPr>
      <w:bookmarkStart w:name="bm14" w:id="14"/>
      <w:r>
        <w:rPr>
          <w:rFonts w:ascii="Arial" w:cs="Arial" w:eastAsia="Arial" w:hAnsi="Arial"/>
          <w:i/>
          <w:iCs/>
          <w:color w:val="5B6678"/>
          <w:sz w:val="18"/>
          <w:szCs w:val="18"/>
        </w:rPr>
        <w:t xml:space="preserve">Figura 5. Casos de uso del Módulo SUS — Suscripciones y planes. Fuente: del autor.</w:t>
      </w:r>
      <w:bookmarkEnd w:id="14"/>
    </w:p>
    <w:p>
      <w:pPr>
        <w:pStyle w:val="Heading2"/>
        <w:spacing w:after="80" w:before="150"/>
      </w:pPr>
      <w:bookmarkStart w:name="bm15" w:id="15"/>
      <w:r>
        <w:rPr>
          <w:rFonts w:ascii="Arial" w:cs="Arial" w:eastAsia="Arial" w:hAnsi="Arial"/>
          <w:b/>
          <w:bCs/>
          <w:color w:val="2E5496"/>
          <w:sz w:val="23"/>
          <w:szCs w:val="23"/>
        </w:rPr>
        <w:t xml:space="preserve">Módulo INV — Inventario</w:t>
      </w:r>
      <w:bookmarkEnd w:id="15"/>
    </w:p>
    <w:p>
      <w:pPr>
        <w:spacing w:after="20" w:before="6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71875"/>
                    </a:xfrm>
                    <a:prstGeom prst="rect">
                      <a:avLst/>
                    </a:prstGeom>
                  </pic:spPr>
                </pic:pic>
              </a:graphicData>
            </a:graphic>
          </wp:inline>
        </w:drawing>
      </w:r>
    </w:p>
    <w:p>
      <w:pPr>
        <w:spacing w:after="140" w:before="6"/>
        <w:jc w:val="center"/>
      </w:pPr>
      <w:bookmarkStart w:name="bm16" w:id="16"/>
      <w:r>
        <w:rPr>
          <w:rFonts w:ascii="Arial" w:cs="Arial" w:eastAsia="Arial" w:hAnsi="Arial"/>
          <w:i/>
          <w:iCs/>
          <w:color w:val="5B6678"/>
          <w:sz w:val="18"/>
          <w:szCs w:val="18"/>
        </w:rPr>
        <w:t xml:space="preserve">Figura 6. Casos de uso del Módulo INV — Inventario. Fuente: del autor.</w:t>
      </w:r>
      <w:bookmarkEnd w:id="16"/>
    </w:p>
    <w:p>
      <w:pPr>
        <w:pStyle w:val="Heading2"/>
        <w:spacing w:after="80" w:before="150"/>
      </w:pPr>
      <w:bookmarkStart w:name="bm17" w:id="17"/>
      <w:r>
        <w:rPr>
          <w:rFonts w:ascii="Arial" w:cs="Arial" w:eastAsia="Arial" w:hAnsi="Arial"/>
          <w:b/>
          <w:bCs/>
          <w:color w:val="2E5496"/>
          <w:sz w:val="23"/>
          <w:szCs w:val="23"/>
        </w:rPr>
        <w:t xml:space="preserve">Módulo VEN — Ventas (punto de venta)</w:t>
      </w:r>
      <w:bookmarkEnd w:id="17"/>
    </w:p>
    <w:p>
      <w:pPr>
        <w:spacing w:after="20" w:before="6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140" w:before="6"/>
        <w:jc w:val="center"/>
      </w:pPr>
      <w:bookmarkStart w:name="bm18" w:id="18"/>
      <w:r>
        <w:rPr>
          <w:rFonts w:ascii="Arial" w:cs="Arial" w:eastAsia="Arial" w:hAnsi="Arial"/>
          <w:i/>
          <w:iCs/>
          <w:color w:val="5B6678"/>
          <w:sz w:val="18"/>
          <w:szCs w:val="18"/>
        </w:rPr>
        <w:t xml:space="preserve">Figura 7. Casos de uso del Módulo VEN — Ventas (punto de venta). Fuente: del autor.</w:t>
      </w:r>
      <w:bookmarkEnd w:id="18"/>
    </w:p>
    <w:p>
      <w:pPr>
        <w:pStyle w:val="Heading2"/>
        <w:spacing w:after="80" w:before="150"/>
      </w:pPr>
      <w:bookmarkStart w:name="bm19" w:id="19"/>
      <w:r>
        <w:rPr>
          <w:rFonts w:ascii="Arial" w:cs="Arial" w:eastAsia="Arial" w:hAnsi="Arial"/>
          <w:b/>
          <w:bCs/>
          <w:color w:val="2E5496"/>
          <w:sz w:val="23"/>
          <w:szCs w:val="23"/>
        </w:rPr>
        <w:t xml:space="preserve">Módulo SED — Multisede y multiusuario</w:t>
      </w:r>
      <w:bookmarkEnd w:id="19"/>
    </w:p>
    <w:p>
      <w:pPr>
        <w:spacing w:after="20" w:before="6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40" w:before="6"/>
        <w:jc w:val="center"/>
      </w:pPr>
      <w:bookmarkStart w:name="bm20" w:id="20"/>
      <w:r>
        <w:rPr>
          <w:rFonts w:ascii="Arial" w:cs="Arial" w:eastAsia="Arial" w:hAnsi="Arial"/>
          <w:i/>
          <w:iCs/>
          <w:color w:val="5B6678"/>
          <w:sz w:val="18"/>
          <w:szCs w:val="18"/>
        </w:rPr>
        <w:t xml:space="preserve">Figura 8. Casos de uso del Módulo SED — Multisede y multiusuario. Fuente: del autor.</w:t>
      </w:r>
      <w:bookmarkEnd w:id="20"/>
    </w:p>
    <w:p>
      <w:pPr>
        <w:pStyle w:val="Heading2"/>
        <w:spacing w:after="80" w:before="150"/>
      </w:pPr>
      <w:bookmarkStart w:name="bm21" w:id="21"/>
      <w:r>
        <w:rPr>
          <w:rFonts w:ascii="Arial" w:cs="Arial" w:eastAsia="Arial" w:hAnsi="Arial"/>
          <w:b/>
          <w:bCs/>
          <w:color w:val="2E5496"/>
          <w:sz w:val="23"/>
          <w:szCs w:val="23"/>
        </w:rPr>
        <w:t xml:space="preserve">Módulo REP — Reportes</w:t>
      </w:r>
      <w:bookmarkEnd w:id="21"/>
    </w:p>
    <w:p>
      <w:pPr>
        <w:spacing w:after="20" w:before="6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48050"/>
                    </a:xfrm>
                    <a:prstGeom prst="rect">
                      <a:avLst/>
                    </a:prstGeom>
                  </pic:spPr>
                </pic:pic>
              </a:graphicData>
            </a:graphic>
          </wp:inline>
        </w:drawing>
      </w:r>
    </w:p>
    <w:p>
      <w:pPr>
        <w:spacing w:after="140" w:before="6"/>
        <w:jc w:val="center"/>
      </w:pPr>
      <w:bookmarkStart w:name="bm22" w:id="22"/>
      <w:r>
        <w:rPr>
          <w:rFonts w:ascii="Arial" w:cs="Arial" w:eastAsia="Arial" w:hAnsi="Arial"/>
          <w:i/>
          <w:iCs/>
          <w:color w:val="5B6678"/>
          <w:sz w:val="18"/>
          <w:szCs w:val="18"/>
        </w:rPr>
        <w:t xml:space="preserve">Figura 9. Casos de uso del Módulo REP — Reportes. Fuente: del autor.</w:t>
      </w:r>
      <w:bookmarkEnd w:id="22"/>
    </w:p>
    <w:p>
      <w:pPr>
        <w:pStyle w:val="Heading2"/>
        <w:spacing w:after="80" w:before="150"/>
      </w:pPr>
      <w:bookmarkStart w:name="bm23" w:id="23"/>
      <w:r>
        <w:rPr>
          <w:rFonts w:ascii="Arial" w:cs="Arial" w:eastAsia="Arial" w:hAnsi="Arial"/>
          <w:b/>
          <w:bCs/>
          <w:color w:val="2E5496"/>
          <w:sz w:val="23"/>
          <w:szCs w:val="23"/>
        </w:rPr>
        <w:t xml:space="preserve">Módulo FAC — Facturación electrónica</w:t>
      </w:r>
      <w:bookmarkEnd w:id="23"/>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4" w:id="24"/>
      <w:r>
        <w:rPr>
          <w:rFonts w:ascii="Arial" w:cs="Arial" w:eastAsia="Arial" w:hAnsi="Arial"/>
          <w:i/>
          <w:iCs/>
          <w:color w:val="5B6678"/>
          <w:sz w:val="18"/>
          <w:szCs w:val="18"/>
        </w:rPr>
        <w:t xml:space="preserve">Figura 10. Casos de uso del Módulo FAC — Facturación electrónica. Fuente: del autor.</w:t>
      </w:r>
      <w:bookmarkEnd w:id="24"/>
    </w:p>
    <w:p>
      <w:pPr>
        <w:pStyle w:val="Heading2"/>
        <w:spacing w:after="80" w:before="150"/>
      </w:pPr>
      <w:bookmarkStart w:name="bm25" w:id="25"/>
      <w:r>
        <w:rPr>
          <w:rFonts w:ascii="Arial" w:cs="Arial" w:eastAsia="Arial" w:hAnsi="Arial"/>
          <w:b/>
          <w:bCs/>
          <w:color w:val="2E5496"/>
          <w:sz w:val="23"/>
          <w:szCs w:val="23"/>
        </w:rPr>
        <w:t xml:space="preserve">Módulo AUD — Auditoría y respaldo</w:t>
      </w:r>
      <w:bookmarkEnd w:id="25"/>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6" w:id="26"/>
      <w:r>
        <w:rPr>
          <w:rFonts w:ascii="Arial" w:cs="Arial" w:eastAsia="Arial" w:hAnsi="Arial"/>
          <w:i/>
          <w:iCs/>
          <w:color w:val="5B6678"/>
          <w:sz w:val="18"/>
          <w:szCs w:val="18"/>
        </w:rPr>
        <w:t xml:space="preserve">Figura 11. Casos de uso del Módulo AUD — Auditoría y respaldo. Fuente: del autor.</w:t>
      </w:r>
      <w:bookmarkEnd w:id="26"/>
    </w:p>
    <w:p>
      <w:pPr>
        <w:pStyle w:val="Heading1"/>
        <w:pageBreakBefore/>
        <w:spacing w:after="110" w:before="220"/>
      </w:pPr>
      <w:bookmarkStart w:name="bm27" w:id="27"/>
      <w:r>
        <w:rPr>
          <w:rFonts w:ascii="Arial" w:cs="Arial" w:eastAsia="Arial" w:hAnsi="Arial"/>
          <w:b/>
          <w:bCs/>
          <w:color w:val="1F3864"/>
          <w:sz w:val="27"/>
          <w:szCs w:val="27"/>
        </w:rPr>
        <w:t xml:space="preserve">7. Diagramas de actividades</w:t>
      </w:r>
      <w:bookmarkEnd w:id="27"/>
    </w:p>
    <w:p>
      <w:pPr>
        <w:spacing w:after="110" w:line="262"/>
        <w:jc w:val="both"/>
      </w:pPr>
      <w:r>
        <w:rPr>
          <w:rFonts w:ascii="Arial" w:cs="Arial" w:eastAsia="Arial" w:hAnsi="Arial"/>
          <w:sz w:val="22"/>
          <w:szCs w:val="22"/>
        </w:rPr>
        <w:t xml:space="preserve">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pPr>
        <w:pStyle w:val="Heading2"/>
        <w:spacing w:after="80" w:before="150"/>
      </w:pPr>
      <w:bookmarkStart w:name="bm28" w:id="28"/>
      <w:r>
        <w:rPr>
          <w:rFonts w:ascii="Arial" w:cs="Arial" w:eastAsia="Arial" w:hAnsi="Arial"/>
          <w:b/>
          <w:bCs/>
          <w:color w:val="2E5496"/>
          <w:sz w:val="23"/>
          <w:szCs w:val="23"/>
        </w:rPr>
        <w:t xml:space="preserve">Autenticación y control de acceso</w:t>
      </w:r>
      <w:bookmarkEnd w:id="28"/>
    </w:p>
    <w:p>
      <w:pPr>
        <w:spacing w:after="110" w:line="262"/>
        <w:jc w:val="both"/>
      </w:pPr>
      <w:r>
        <w:rPr>
          <w:rFonts w:ascii="Arial" w:cs="Arial" w:eastAsia="Arial" w:hAnsi="Arial"/>
          <w:sz w:val="22"/>
          <w:szCs w:val="22"/>
        </w:rPr>
        <w:t xml:space="preserve">Valida las credenciales, controla los intentos fallidos y el estado de la cuenta antes de conceder el acceso y generar el token de sesión.</w:t>
      </w:r>
    </w:p>
    <w:p>
      <w:pPr>
        <w:spacing w:after="20" w:before="60"/>
        <w:jc w:val="center"/>
      </w:pPr>
      <w:r>
        <w:drawing>
          <wp:inline distT="0" distB="0" distL="0" distR="0">
            <wp:extent cx="57150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96100"/>
                    </a:xfrm>
                    <a:prstGeom prst="rect">
                      <a:avLst/>
                    </a:prstGeom>
                  </pic:spPr>
                </pic:pic>
              </a:graphicData>
            </a:graphic>
          </wp:inline>
        </w:drawing>
      </w:r>
    </w:p>
    <w:p>
      <w:pPr>
        <w:spacing w:after="140" w:before="6"/>
        <w:jc w:val="center"/>
      </w:pPr>
      <w:bookmarkStart w:name="bm29" w:id="29"/>
      <w:r>
        <w:rPr>
          <w:rFonts w:ascii="Arial" w:cs="Arial" w:eastAsia="Arial" w:hAnsi="Arial"/>
          <w:i/>
          <w:iCs/>
          <w:color w:val="5B6678"/>
          <w:sz w:val="18"/>
          <w:szCs w:val="18"/>
        </w:rPr>
        <w:t xml:space="preserve">Figura 12. Diagrama de actividades — Autenticación y control de acceso. Fuente: del autor.</w:t>
      </w:r>
      <w:bookmarkEnd w:id="29"/>
    </w:p>
    <w:p>
      <w:pPr>
        <w:pStyle w:val="Heading2"/>
        <w:spacing w:after="80" w:before="150"/>
      </w:pPr>
      <w:bookmarkStart w:name="bm30" w:id="30"/>
      <w:r>
        <w:rPr>
          <w:rFonts w:ascii="Arial" w:cs="Arial" w:eastAsia="Arial" w:hAnsi="Arial"/>
          <w:b/>
          <w:bCs/>
          <w:color w:val="2E5496"/>
          <w:sz w:val="23"/>
          <w:szCs w:val="23"/>
        </w:rPr>
        <w:t xml:space="preserve">Registro de venta con valoración PEPS</w:t>
      </w:r>
      <w:bookmarkEnd w:id="30"/>
    </w:p>
    <w:p>
      <w:pPr>
        <w:spacing w:after="110" w:line="262"/>
        <w:jc w:val="both"/>
      </w:pPr>
      <w:r>
        <w:rPr>
          <w:rFonts w:ascii="Arial" w:cs="Arial" w:eastAsia="Arial" w:hAnsi="Arial"/>
          <w:sz w:val="22"/>
          <w:szCs w:val="22"/>
        </w:rPr>
        <w:t xml:space="preserve">Abarca desde la selección de productos hasta el registro en caja, incluyendo el consumo de lotes por PEPS, el medio de pago y la emisión opcional de factura electrónica.</w:t>
      </w:r>
    </w:p>
    <w:p>
      <w:pPr>
        <w:spacing w:after="20" w:before="60"/>
        <w:jc w:val="center"/>
      </w:pPr>
      <w:r>
        <w:drawing>
          <wp:inline distT="0" distB="0" distL="0" distR="0">
            <wp:extent cx="30861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7810500"/>
                    </a:xfrm>
                    <a:prstGeom prst="rect">
                      <a:avLst/>
                    </a:prstGeom>
                  </pic:spPr>
                </pic:pic>
              </a:graphicData>
            </a:graphic>
          </wp:inline>
        </w:drawing>
      </w:r>
    </w:p>
    <w:p>
      <w:pPr>
        <w:spacing w:after="140" w:before="6"/>
        <w:jc w:val="center"/>
      </w:pPr>
      <w:bookmarkStart w:name="bm31" w:id="31"/>
      <w:r>
        <w:rPr>
          <w:rFonts w:ascii="Arial" w:cs="Arial" w:eastAsia="Arial" w:hAnsi="Arial"/>
          <w:i/>
          <w:iCs/>
          <w:color w:val="5B6678"/>
          <w:sz w:val="18"/>
          <w:szCs w:val="18"/>
        </w:rPr>
        <w:t xml:space="preserve">Figura 13. Diagrama de actividades — Registro de venta con valoración PEPS. Fuente: del autor.</w:t>
      </w:r>
      <w:bookmarkEnd w:id="31"/>
    </w:p>
    <w:p>
      <w:pPr>
        <w:pStyle w:val="Heading2"/>
        <w:spacing w:after="80" w:before="150"/>
      </w:pPr>
      <w:bookmarkStart w:name="bm32" w:id="32"/>
      <w:r>
        <w:rPr>
          <w:rFonts w:ascii="Arial" w:cs="Arial" w:eastAsia="Arial" w:hAnsi="Arial"/>
          <w:b/>
          <w:bCs/>
          <w:color w:val="2E5496"/>
          <w:sz w:val="23"/>
          <w:szCs w:val="23"/>
        </w:rPr>
        <w:t xml:space="preserve">Entrada de mercancía por lote</w:t>
      </w:r>
      <w:bookmarkEnd w:id="32"/>
    </w:p>
    <w:p>
      <w:pPr>
        <w:spacing w:after="110" w:line="262"/>
        <w:jc w:val="both"/>
      </w:pPr>
      <w:r>
        <w:rPr>
          <w:rFonts w:ascii="Arial" w:cs="Arial" w:eastAsia="Arial" w:hAnsi="Arial"/>
          <w:sz w:val="22"/>
          <w:szCs w:val="22"/>
        </w:rPr>
        <w:t xml:space="preserve">Registra una compra como lote (cantidad, costo y fecha), actualiza las existencias y el kardex, y desactiva la alerta de stock cuando corresponde.</w:t>
      </w:r>
    </w:p>
    <w:p>
      <w:pPr>
        <w:spacing w:after="20" w:before="60"/>
        <w:jc w:val="center"/>
      </w:pPr>
      <w:r>
        <w:drawing>
          <wp:inline distT="0" distB="0" distL="0" distR="0">
            <wp:extent cx="557212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7810500"/>
                    </a:xfrm>
                    <a:prstGeom prst="rect">
                      <a:avLst/>
                    </a:prstGeom>
                  </pic:spPr>
                </pic:pic>
              </a:graphicData>
            </a:graphic>
          </wp:inline>
        </w:drawing>
      </w:r>
    </w:p>
    <w:p>
      <w:pPr>
        <w:spacing w:after="140" w:before="6"/>
        <w:jc w:val="center"/>
      </w:pPr>
      <w:bookmarkStart w:name="bm33" w:id="33"/>
      <w:r>
        <w:rPr>
          <w:rFonts w:ascii="Arial" w:cs="Arial" w:eastAsia="Arial" w:hAnsi="Arial"/>
          <w:i/>
          <w:iCs/>
          <w:color w:val="5B6678"/>
          <w:sz w:val="18"/>
          <w:szCs w:val="18"/>
        </w:rPr>
        <w:t xml:space="preserve">Figura 14. Diagrama de actividades — Entrada de mercancía por lote. Fuente: del autor.</w:t>
      </w:r>
      <w:bookmarkEnd w:id="33"/>
    </w:p>
    <w:p>
      <w:pPr>
        <w:pStyle w:val="Heading2"/>
        <w:spacing w:after="80" w:before="150"/>
      </w:pPr>
      <w:bookmarkStart w:name="bm34" w:id="34"/>
      <w:r>
        <w:rPr>
          <w:rFonts w:ascii="Arial" w:cs="Arial" w:eastAsia="Arial" w:hAnsi="Arial"/>
          <w:b/>
          <w:bCs/>
          <w:color w:val="2E5496"/>
          <w:sz w:val="23"/>
          <w:szCs w:val="23"/>
        </w:rPr>
        <w:t xml:space="preserve">Anulación de venta y reversión de inventario</w:t>
      </w:r>
      <w:bookmarkEnd w:id="34"/>
    </w:p>
    <w:p>
      <w:pPr>
        <w:spacing w:after="110" w:line="262"/>
        <w:jc w:val="both"/>
      </w:pPr>
      <w:r>
        <w:rPr>
          <w:rFonts w:ascii="Arial" w:cs="Arial" w:eastAsia="Arial" w:hAnsi="Arial"/>
          <w:sz w:val="22"/>
          <w:szCs w:val="22"/>
        </w:rPr>
        <w:t xml:space="preserve">Comprueba que la venta sea anulable, repone las cantidades a los lotes consumidos, marca la venta como anulada y emite nota crédito si tenía factura.</w:t>
      </w:r>
    </w:p>
    <w:p>
      <w:pPr>
        <w:spacing w:after="20" w:before="60"/>
        <w:jc w:val="center"/>
      </w:pPr>
      <w:r>
        <w:drawing>
          <wp:inline distT="0" distB="0" distL="0" distR="0">
            <wp:extent cx="42957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7810500"/>
                    </a:xfrm>
                    <a:prstGeom prst="rect">
                      <a:avLst/>
                    </a:prstGeom>
                  </pic:spPr>
                </pic:pic>
              </a:graphicData>
            </a:graphic>
          </wp:inline>
        </w:drawing>
      </w:r>
    </w:p>
    <w:p>
      <w:pPr>
        <w:spacing w:after="140" w:before="6"/>
        <w:jc w:val="center"/>
      </w:pPr>
      <w:bookmarkStart w:name="bm35" w:id="35"/>
      <w:r>
        <w:rPr>
          <w:rFonts w:ascii="Arial" w:cs="Arial" w:eastAsia="Arial" w:hAnsi="Arial"/>
          <w:i/>
          <w:iCs/>
          <w:color w:val="5B6678"/>
          <w:sz w:val="18"/>
          <w:szCs w:val="18"/>
        </w:rPr>
        <w:t xml:space="preserve">Figura 15. Diagrama de actividades — Anulación de venta y reversión de inventario. Fuente: del autor.</w:t>
      </w:r>
      <w:bookmarkEnd w:id="35"/>
    </w:p>
    <w:p>
      <w:pPr>
        <w:pStyle w:val="Heading2"/>
        <w:spacing w:after="80" w:before="150"/>
      </w:pPr>
      <w:bookmarkStart w:name="bm36" w:id="36"/>
      <w:r>
        <w:rPr>
          <w:rFonts w:ascii="Arial" w:cs="Arial" w:eastAsia="Arial" w:hAnsi="Arial"/>
          <w:b/>
          <w:bCs/>
          <w:color w:val="2E5496"/>
          <w:sz w:val="23"/>
          <w:szCs w:val="23"/>
        </w:rPr>
        <w:t xml:space="preserve">Emisión de factura electrónica</w:t>
      </w:r>
      <w:bookmarkEnd w:id="36"/>
    </w:p>
    <w:p>
      <w:pPr>
        <w:spacing w:after="110" w:line="262"/>
        <w:jc w:val="both"/>
      </w:pPr>
      <w:r>
        <w:rPr>
          <w:rFonts w:ascii="Arial" w:cs="Arial" w:eastAsia="Arial" w:hAnsi="Arial"/>
          <w:sz w:val="22"/>
          <w:szCs w:val="22"/>
        </w:rPr>
        <w:t xml:space="preserve">Construye y firma la factura, genera el CUFE, la envía a la DIAN en ambiente de pruebas y gestiona la aceptación, el rechazo y el reintento.</w:t>
      </w:r>
    </w:p>
    <w:p>
      <w:pPr>
        <w:spacing w:after="20" w:before="60"/>
        <w:jc w:val="center"/>
      </w:pPr>
      <w:r>
        <w:drawing>
          <wp:inline distT="0" distB="0" distL="0" distR="0">
            <wp:extent cx="5715000" cy="748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486650"/>
                    </a:xfrm>
                    <a:prstGeom prst="rect">
                      <a:avLst/>
                    </a:prstGeom>
                  </pic:spPr>
                </pic:pic>
              </a:graphicData>
            </a:graphic>
          </wp:inline>
        </w:drawing>
      </w:r>
    </w:p>
    <w:p>
      <w:pPr>
        <w:spacing w:after="140" w:before="6"/>
        <w:jc w:val="center"/>
      </w:pPr>
      <w:bookmarkStart w:name="bm37" w:id="37"/>
      <w:r>
        <w:rPr>
          <w:rFonts w:ascii="Arial" w:cs="Arial" w:eastAsia="Arial" w:hAnsi="Arial"/>
          <w:i/>
          <w:iCs/>
          <w:color w:val="5B6678"/>
          <w:sz w:val="18"/>
          <w:szCs w:val="18"/>
        </w:rPr>
        <w:t xml:space="preserve">Figura 16. Diagrama de actividades — Emisión de factura electrónica. Fuente: del autor.</w:t>
      </w:r>
      <w:bookmarkEnd w:id="37"/>
    </w:p>
    <w:p>
      <w:pPr>
        <w:pStyle w:val="Heading2"/>
        <w:spacing w:after="80" w:before="150"/>
      </w:pPr>
      <w:bookmarkStart w:name="bm38" w:id="38"/>
      <w:r>
        <w:rPr>
          <w:rFonts w:ascii="Arial" w:cs="Arial" w:eastAsia="Arial" w:hAnsi="Arial"/>
          <w:b/>
          <w:bCs/>
          <w:color w:val="2E5496"/>
          <w:sz w:val="23"/>
          <w:szCs w:val="23"/>
        </w:rPr>
        <w:t xml:space="preserve">Gestión del estado de la suscripción</w:t>
      </w:r>
      <w:bookmarkEnd w:id="38"/>
    </w:p>
    <w:p>
      <w:pPr>
        <w:spacing w:after="110" w:line="262"/>
        <w:jc w:val="both"/>
      </w:pPr>
      <w:r>
        <w:rPr>
          <w:rFonts w:ascii="Arial" w:cs="Arial" w:eastAsia="Arial" w:hAnsi="Arial"/>
          <w:sz w:val="22"/>
          <w:szCs w:val="22"/>
        </w:rPr>
        <w:t xml:space="preserve">Determina el estado de la suscripción según el pago, el cambio de plan y el periodo de gracia, y ajusta las funciones disponibles.</w:t>
      </w:r>
    </w:p>
    <w:p>
      <w:pPr>
        <w:spacing w:after="20" w:before="60"/>
        <w:jc w:val="center"/>
      </w:pPr>
      <w:r>
        <w:drawing>
          <wp:inline distT="0" distB="0" distL="0" distR="0">
            <wp:extent cx="57150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67375"/>
                    </a:xfrm>
                    <a:prstGeom prst="rect">
                      <a:avLst/>
                    </a:prstGeom>
                  </pic:spPr>
                </pic:pic>
              </a:graphicData>
            </a:graphic>
          </wp:inline>
        </w:drawing>
      </w:r>
    </w:p>
    <w:p>
      <w:pPr>
        <w:spacing w:after="140" w:before="6"/>
        <w:jc w:val="center"/>
      </w:pPr>
      <w:bookmarkStart w:name="bm39" w:id="39"/>
      <w:r>
        <w:rPr>
          <w:rFonts w:ascii="Arial" w:cs="Arial" w:eastAsia="Arial" w:hAnsi="Arial"/>
          <w:i/>
          <w:iCs/>
          <w:color w:val="5B6678"/>
          <w:sz w:val="18"/>
          <w:szCs w:val="18"/>
        </w:rPr>
        <w:t xml:space="preserve">Figura 17. Diagrama de actividades — Gestión del estado de la suscripción. Fuente: del autor.</w:t>
      </w:r>
      <w:bookmarkEnd w:id="39"/>
    </w:p>
    <w:p>
      <w:pPr>
        <w:pStyle w:val="Heading1"/>
        <w:pageBreakBefore/>
        <w:spacing w:after="110" w:before="220"/>
      </w:pPr>
      <w:bookmarkStart w:name="bm40" w:id="40"/>
      <w:r>
        <w:rPr>
          <w:rFonts w:ascii="Arial" w:cs="Arial" w:eastAsia="Arial" w:hAnsi="Arial"/>
          <w:b/>
          <w:bCs/>
          <w:color w:val="1F3864"/>
          <w:sz w:val="27"/>
          <w:szCs w:val="27"/>
        </w:rPr>
        <w:t xml:space="preserve">8. Matriz de trazabilidad (requisitos ↔ casos de uso)</w:t>
      </w:r>
      <w:bookmarkEnd w:id="40"/>
    </w:p>
    <w:p>
      <w:pPr>
        <w:spacing w:after="110" w:line="262"/>
        <w:jc w:val="both"/>
      </w:pPr>
      <w:r>
        <w:rPr>
          <w:rFonts w:ascii="Arial" w:cs="Arial" w:eastAsia="Arial" w:hAnsi="Arial"/>
          <w:sz w:val="22"/>
          <w:szCs w:val="22"/>
        </w:rPr>
        <w:t xml:space="preserve">Relaciona cada caso de uso con el requisito funcional (RF) de la ERS que lo origina, garantizando que todo requisito esté cubierto.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5760"/>
        <w:gridCol w:w="230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Módulo</w:t>
            </w:r>
          </w:p>
        </w:tc>
        <w:tc>
          <w:tcPr>
            <w:tcW w:type="dxa" w:w="5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Caso de uso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Requisito (RF)</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Iniciar sesión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Cerrar sesión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Recuperar contraseña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roles y permisos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Editar perfil</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Inactivar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licorera (tenant)</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Cambiar de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Controlar estado (suspender / reactivar / consultar)</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Restringir funciones por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Administrar licoreras (superadmin)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Listar y buscar productos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Editar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Inactivar producto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entrada por lote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Ajustar existencias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Alertar stock bajo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Alertar baja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RF-INV-08</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kardex</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RF-INV-09</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Valorar inventario (PEPS)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RF-INV-10</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Sugerir precio por margen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venta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Seleccionar medio de pago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Generar comprobante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Anular venta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historial de ventas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Cierre de caja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RF-VEN-06</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sede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sedes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Asignar usuarios a sedes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inventario por sede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Trasladar mercancía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ventas por período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inventario valorizado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más vendidos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utilidad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Exportar reportes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Configurar datos fiscales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factura electrónica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y reenviar facturas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nota crédito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log de acciones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auditoría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Generar copia de seguridad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Restaurar copia de seguridad</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RF-AUD-04</w:t>
            </w:r>
          </w:p>
        </w:tc>
      </w:tr>
    </w:tbl>
    <w:p>
      <w:pPr>
        <w:spacing w:after="110" w:line="262"/>
        <w:jc w:val="both"/>
      </w:pPr>
      <w:r>
        <w:rPr>
          <w:rFonts w:ascii="Arial" w:cs="Arial" w:eastAsia="Arial" w:hAnsi="Arial"/>
          <w:b/>
          <w:bCs/>
          <w:sz w:val="22"/>
          <w:szCs w:val="22"/>
        </w:rPr>
        <w:t xml:space="preserve">Total: </w:t>
      </w:r>
      <w:r>
        <w:rPr>
          <w:rFonts w:ascii="Arial" w:cs="Arial" w:eastAsia="Arial" w:hAnsi="Arial"/>
          <w:sz w:val="22"/>
          <w:szCs w:val="22"/>
        </w:rPr>
        <w:t xml:space="preserve">48 casos de uso trazados a los 48 requisitos funcionales de la ERS.</w:t>
      </w:r>
    </w:p>
    <w:p>
      <w:pPr>
        <w:pStyle w:val="Heading1"/>
        <w:pageBreakBefore/>
        <w:spacing w:after="110" w:before="220"/>
      </w:pPr>
      <w:bookmarkStart w:name="bm41" w:id="41"/>
      <w:r>
        <w:rPr>
          <w:rFonts w:ascii="Arial" w:cs="Arial" w:eastAsia="Arial" w:hAnsi="Arial"/>
          <w:b/>
          <w:bCs/>
          <w:color w:val="1F3864"/>
          <w:sz w:val="27"/>
          <w:szCs w:val="27"/>
        </w:rPr>
        <w:t xml:space="preserve">9. Casos de uso extendidos por módulo</w:t>
      </w:r>
      <w:bookmarkEnd w:id="41"/>
    </w:p>
    <w:p>
      <w:pPr>
        <w:spacing w:after="110" w:line="262"/>
        <w:jc w:val="both"/>
      </w:pPr>
      <w:r>
        <w:rPr>
          <w:rFonts w:ascii="Arial" w:cs="Arial" w:eastAsia="Arial" w:hAnsi="Arial"/>
          <w:sz w:val="22"/>
          <w:szCs w:val="22"/>
        </w:rPr>
        <w:t xml:space="preserve">Cada caso de uso se documenta con su plantilla extendida: actor, requisito asociado, precondiciones, flujo principal, flujos alternativos, excepciones, reglas y validaciones, y postcondiciones. Los casos se agrupan por módulo, en el orden funcional del sistema.</w:t>
      </w:r>
    </w:p>
    <w:p>
      <w:pPr>
        <w:pStyle w:val="Heading2"/>
        <w:spacing w:after="80" w:before="150"/>
      </w:pPr>
      <w:bookmarkStart w:name="bm42" w:id="42"/>
      <w:r>
        <w:rPr>
          <w:rFonts w:ascii="Arial" w:cs="Arial" w:eastAsia="Arial" w:hAnsi="Arial"/>
          <w:b/>
          <w:bCs/>
          <w:color w:val="2E5496"/>
          <w:sz w:val="23"/>
          <w:szCs w:val="23"/>
        </w:rPr>
        <w:t xml:space="preserve">9.1 Módulo SEG — Seguridad y autenticación</w:t>
      </w:r>
      <w:bookmarkEnd w:id="42"/>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CU-SEG-01 — Registrar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cuenta de usuario para su licorera y le asigna un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gestión de usuarios; la licorera tiene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gestión de usuarios y elige «Registrar usuario».</w:t>
            </w:r>
          </w:p>
          <w:p>
            <w:pPr>
              <w:spacing w:after="18" w:line="236"/>
            </w:pPr>
            <w:r>
              <w:rPr>
                <w:rFonts w:ascii="Arial" w:cs="Arial" w:eastAsia="Arial" w:hAnsi="Arial"/>
                <w:sz w:val="19"/>
                <w:szCs w:val="19"/>
              </w:rPr>
              <w:t xml:space="preserve">2. Ingresa nombre, correo y rol del nuevo usuario.</w:t>
            </w:r>
          </w:p>
          <w:p>
            <w:pPr>
              <w:spacing w:after="18" w:line="236"/>
            </w:pPr>
            <w:r>
              <w:rPr>
                <w:rFonts w:ascii="Arial" w:cs="Arial" w:eastAsia="Arial" w:hAnsi="Arial"/>
                <w:sz w:val="19"/>
                <w:szCs w:val="19"/>
              </w:rPr>
              <w:t xml:space="preserve">3. El sistema valida el formato del correo y que no exista en la licorera.</w:t>
            </w:r>
          </w:p>
          <w:p>
            <w:pPr>
              <w:spacing w:after="18" w:line="236"/>
            </w:pPr>
            <w:r>
              <w:rPr>
                <w:rFonts w:ascii="Arial" w:cs="Arial" w:eastAsia="Arial" w:hAnsi="Arial"/>
                <w:sz w:val="19"/>
                <w:szCs w:val="19"/>
              </w:rPr>
              <w:t xml:space="preserve">4. El sistema crea el usuario en estado activo y genera un enlace de activación de contraseña.</w:t>
            </w:r>
          </w:p>
          <w:p>
            <w:pPr>
              <w:spacing w:after="18" w:line="236"/>
            </w:pPr>
            <w:r>
              <w:rPr>
                <w:rFonts w:ascii="Arial" w:cs="Arial" w:eastAsia="Arial" w:hAnsi="Arial"/>
                <w:sz w:val="19"/>
                <w:szCs w:val="19"/>
              </w:rPr>
              <w:t xml:space="preserve">5. El sistema confirma el registro y actualiza la lista de usuarios.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correo ya está registrado en la licorera: el sistema lo informa y solicita uno distinto.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conexión o del servidor: el sistema informa y no crea 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Correo con formato válido y único por licorera; rol dentro de los permitidos; el número de usuarios no supera el límite del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un usuario activo, asociado a la licorera y con su rol; puede iniciar sesión tras activar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CU-SEG-02 —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accede al sistema mediante sus credenciales.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activa y no bloqueada.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ingresa su correo y contraseña.</w:t>
            </w:r>
          </w:p>
          <w:p>
            <w:pPr>
              <w:spacing w:after="18" w:line="236"/>
            </w:pPr>
            <w:r>
              <w:rPr>
                <w:rFonts w:ascii="Arial" w:cs="Arial" w:eastAsia="Arial" w:hAnsi="Arial"/>
                <w:sz w:val="19"/>
                <w:szCs w:val="19"/>
              </w:rPr>
              <w:t xml:space="preserve">2. El sistema valida las credenciales.</w:t>
            </w:r>
          </w:p>
          <w:p>
            <w:pPr>
              <w:spacing w:after="18" w:line="236"/>
            </w:pPr>
            <w:r>
              <w:rPr>
                <w:rFonts w:ascii="Arial" w:cs="Arial" w:eastAsia="Arial" w:hAnsi="Arial"/>
                <w:sz w:val="19"/>
                <w:szCs w:val="19"/>
              </w:rPr>
              <w:t xml:space="preserve">3. El sistema verifica que la cuenta esté activa y habilitada.</w:t>
            </w:r>
          </w:p>
          <w:p>
            <w:pPr>
              <w:spacing w:after="18" w:line="236"/>
            </w:pPr>
            <w:r>
              <w:rPr>
                <w:rFonts w:ascii="Arial" w:cs="Arial" w:eastAsia="Arial" w:hAnsi="Arial"/>
                <w:sz w:val="19"/>
                <w:szCs w:val="19"/>
              </w:rPr>
              <w:t xml:space="preserve">4. El sistema genera el token de sesión (JWT).</w:t>
            </w:r>
          </w:p>
          <w:p>
            <w:pPr>
              <w:spacing w:after="18" w:line="236"/>
            </w:pPr>
            <w:r>
              <w:rPr>
                <w:rFonts w:ascii="Arial" w:cs="Arial" w:eastAsia="Arial" w:hAnsi="Arial"/>
                <w:sz w:val="19"/>
                <w:szCs w:val="19"/>
              </w:rPr>
              <w:t xml:space="preserve">5. El sistema carga el panel correspondiente al rol del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Credenciales incorrectas: el sistema informa el error y permite reintentar.</w:t>
            </w:r>
          </w:p>
          <w:p>
            <w:pPr>
              <w:spacing w:after="18" w:line="236"/>
            </w:pPr>
            <w:r>
              <w:rPr>
                <w:rFonts w:ascii="Arial" w:cs="Arial" w:eastAsia="Arial" w:hAnsi="Arial"/>
                <w:sz w:val="19"/>
                <w:szCs w:val="19"/>
              </w:rPr>
              <w:t xml:space="preserve">2b. El usuario elige «Recuperar contraseña»: se ejecuta el caso de uso CU-SEG-04.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Cuenta inactiva o bloqueada: el sistema deniega el acceso e informa el estado.</w:t>
            </w:r>
          </w:p>
          <w:p>
            <w:pPr>
              <w:spacing w:after="18" w:line="236"/>
            </w:pPr>
            <w:r>
              <w:rPr>
                <w:rFonts w:ascii="Arial" w:cs="Arial" w:eastAsia="Arial" w:hAnsi="Arial"/>
                <w:sz w:val="19"/>
                <w:szCs w:val="19"/>
              </w:rPr>
              <w:t xml:space="preserve">*. Se supera el número máximo de intentos: el sistema bloquea la cuenta temporalmente.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se compara de forma cifrada; el token tiene vigencia limitada; el bloqueo por intentos protege contra accesos no autorizados.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autenticado con una sesión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CU-SEG-03 — Cerrar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finaliza su sesión de forma segura.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selecciona «Cerrar sesión».</w:t>
            </w:r>
          </w:p>
          <w:p>
            <w:pPr>
              <w:spacing w:after="18" w:line="236"/>
            </w:pPr>
            <w:r>
              <w:rPr>
                <w:rFonts w:ascii="Arial" w:cs="Arial" w:eastAsia="Arial" w:hAnsi="Arial"/>
                <w:sz w:val="19"/>
                <w:szCs w:val="19"/>
              </w:rPr>
              <w:t xml:space="preserve">2. El sistema invalida el token de la sesión.</w:t>
            </w:r>
          </w:p>
          <w:p>
            <w:pPr>
              <w:spacing w:after="18" w:line="236"/>
            </w:pPr>
            <w:r>
              <w:rPr>
                <w:rFonts w:ascii="Arial" w:cs="Arial" w:eastAsia="Arial" w:hAnsi="Arial"/>
                <w:sz w:val="19"/>
                <w:szCs w:val="19"/>
              </w:rPr>
              <w:t xml:space="preserve">3. El sistema redirige a la pantalla de inicio de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Inactividad prolongada: el sistema cierra la sesión automáticamente por expiración del token.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red: el token se invalida en el siguiente acceso al servidor.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Tras cerrar sesión, el token deja de ser válido para nuevas peticiones.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sesión queda cerrada y el token invalidado.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CU-SEG-04 — Recuperar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restablece su contraseña cuando la olvidó. Extiende al caso de uso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registrada con un correo válido.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elige «Recuperar contraseña» e ingresa su correo.</w:t>
            </w:r>
          </w:p>
          <w:p>
            <w:pPr>
              <w:spacing w:after="18" w:line="236"/>
            </w:pPr>
            <w:r>
              <w:rPr>
                <w:rFonts w:ascii="Arial" w:cs="Arial" w:eastAsia="Arial" w:hAnsi="Arial"/>
                <w:sz w:val="19"/>
                <w:szCs w:val="19"/>
              </w:rPr>
              <w:t xml:space="preserve">2. El sistema verifica que el correo corresponda a una cuenta.</w:t>
            </w:r>
          </w:p>
          <w:p>
            <w:pPr>
              <w:spacing w:after="18" w:line="236"/>
            </w:pPr>
            <w:r>
              <w:rPr>
                <w:rFonts w:ascii="Arial" w:cs="Arial" w:eastAsia="Arial" w:hAnsi="Arial"/>
                <w:sz w:val="19"/>
                <w:szCs w:val="19"/>
              </w:rPr>
              <w:t xml:space="preserve">3. El sistema envía un enlace con un token temporal al correo.</w:t>
            </w:r>
          </w:p>
          <w:p>
            <w:pPr>
              <w:spacing w:after="18" w:line="236"/>
            </w:pPr>
            <w:r>
              <w:rPr>
                <w:rFonts w:ascii="Arial" w:cs="Arial" w:eastAsia="Arial" w:hAnsi="Arial"/>
                <w:sz w:val="19"/>
                <w:szCs w:val="19"/>
              </w:rPr>
              <w:t xml:space="preserve">4. El usuario abre el enlace e ingresa la nueva contraseña.</w:t>
            </w:r>
          </w:p>
          <w:p>
            <w:pPr>
              <w:spacing w:after="18" w:line="236"/>
            </w:pPr>
            <w:r>
              <w:rPr>
                <w:rFonts w:ascii="Arial" w:cs="Arial" w:eastAsia="Arial" w:hAnsi="Arial"/>
                <w:sz w:val="19"/>
                <w:szCs w:val="19"/>
              </w:rPr>
              <w:t xml:space="preserve">5. El sistema valida el token y actualiza la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correo no corresponde a ninguna cuenta: el sistema muestra un mensaje neutro sin revelar si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Token vencido o inválido: el sistema rechaza el cambio y solicita reiniciar el proceso.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token tiene vigencia corta y un solo uso; la nueva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queda actualizada y el usuario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CU-SEG-05 — Gestionar roles y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define los roles y los permisos que determinan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configuración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configuración de roles y permisos.</w:t>
            </w:r>
          </w:p>
          <w:p>
            <w:pPr>
              <w:spacing w:after="18" w:line="236"/>
            </w:pPr>
            <w:r>
              <w:rPr>
                <w:rFonts w:ascii="Arial" w:cs="Arial" w:eastAsia="Arial" w:hAnsi="Arial"/>
                <w:sz w:val="19"/>
                <w:szCs w:val="19"/>
              </w:rPr>
              <w:t xml:space="preserve">2. Crea o selecciona un rol.</w:t>
            </w:r>
          </w:p>
          <w:p>
            <w:pPr>
              <w:spacing w:after="18" w:line="236"/>
            </w:pPr>
            <w:r>
              <w:rPr>
                <w:rFonts w:ascii="Arial" w:cs="Arial" w:eastAsia="Arial" w:hAnsi="Arial"/>
                <w:sz w:val="19"/>
                <w:szCs w:val="19"/>
              </w:rPr>
              <w:t xml:space="preserve">3. Marca los permisos asociados al rol.</w:t>
            </w:r>
          </w:p>
          <w:p>
            <w:pPr>
              <w:spacing w:after="18" w:line="236"/>
            </w:pPr>
            <w:r>
              <w:rPr>
                <w:rFonts w:ascii="Arial" w:cs="Arial" w:eastAsia="Arial" w:hAnsi="Arial"/>
                <w:sz w:val="19"/>
                <w:szCs w:val="19"/>
              </w:rPr>
              <w:t xml:space="preserve">4. El sistema valida la configuración y la guarda.</w:t>
            </w:r>
          </w:p>
          <w:p>
            <w:pPr>
              <w:spacing w:after="18" w:line="236"/>
            </w:pPr>
            <w:r>
              <w:rPr>
                <w:rFonts w:ascii="Arial" w:cs="Arial" w:eastAsia="Arial" w:hAnsi="Arial"/>
                <w:sz w:val="19"/>
                <w:szCs w:val="19"/>
              </w:rPr>
              <w:t xml:space="preserve">5. Los cambios se aplican a los usuarios que tienen ese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Editar un rol existente: el administrador ajusta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Configuración inconsistente (un rol de administrador sin permisos mínimos): el sistema lo advierte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Debe existir al menos un rol de administrador con permisos plenos; ningún usuario puede quedar sin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roles y permisos quedan actualizados y rigen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CU-SEG-06 — Editar perfil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y actualiza sus datos de perfil, incluida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su perfil.</w:t>
            </w:r>
          </w:p>
          <w:p>
            <w:pPr>
              <w:spacing w:after="18" w:line="236"/>
            </w:pPr>
            <w:r>
              <w:rPr>
                <w:rFonts w:ascii="Arial" w:cs="Arial" w:eastAsia="Arial" w:hAnsi="Arial"/>
                <w:sz w:val="19"/>
                <w:szCs w:val="19"/>
              </w:rPr>
              <w:t xml:space="preserve">2. Modifica sus datos (nombre o contraseña).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los cambios y los confirma.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 contraseña: el usuario ingresa la actual y la nueva; el sistema verifica la actual antes de actualizar.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(correo mal formado o contraseña débil): el sistema lo indica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correo se mantiene único por licorera; la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perfil del usuario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CU-SEG-07 — Inactivar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usuario para retirarle el acceso sin borrar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el usuario objetivo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ubica al usuario en la lista.</w:t>
            </w:r>
          </w:p>
          <w:p>
            <w:pPr>
              <w:spacing w:after="18" w:line="236"/>
            </w:pPr>
            <w:r>
              <w:rPr>
                <w:rFonts w:ascii="Arial" w:cs="Arial" w:eastAsia="Arial" w:hAnsi="Arial"/>
                <w:sz w:val="19"/>
                <w:szCs w:val="19"/>
              </w:rPr>
              <w:t xml:space="preserve">2. Selecciona «Inactivar».</w:t>
            </w:r>
          </w:p>
          <w:p>
            <w:pPr>
              <w:spacing w:after="18" w:line="236"/>
            </w:pPr>
            <w:r>
              <w:rPr>
                <w:rFonts w:ascii="Arial" w:cs="Arial" w:eastAsia="Arial" w:hAnsi="Arial"/>
                <w:sz w:val="19"/>
                <w:szCs w:val="19"/>
              </w:rPr>
              <w:t xml:space="preserve">3. El sistema solicita confirmación.</w:t>
            </w:r>
          </w:p>
          <w:p>
            <w:pPr>
              <w:spacing w:after="18" w:line="236"/>
            </w:pPr>
            <w:r>
              <w:rPr>
                <w:rFonts w:ascii="Arial" w:cs="Arial" w:eastAsia="Arial" w:hAnsi="Arial"/>
                <w:sz w:val="19"/>
                <w:szCs w:val="19"/>
              </w:rPr>
              <w:t xml:space="preserve">4. El sistema marca al usuario como inactivo (baja lógica) y cierra sus sesiones.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usuario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El usuario es el único administrador activo: el sistema impide la inactivación.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el registro) para conservar la trazabilidad y el kardex; un usuario inactivo no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inactivo y sin acceso; su historial se conserva.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3" w:id="43"/>
      <w:r>
        <w:rPr>
          <w:rFonts w:ascii="Arial" w:cs="Arial" w:eastAsia="Arial" w:hAnsi="Arial"/>
          <w:b/>
          <w:bCs/>
          <w:color w:val="2E5496"/>
          <w:sz w:val="23"/>
          <w:szCs w:val="23"/>
        </w:rPr>
        <w:t xml:space="preserve">9.2 Módulo SUS — Suscripciones y planes</w:t>
      </w:r>
      <w:bookmarkEnd w:id="4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CU-SUS-01 — Registrar licorera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da de alta una nueva licorera (tenant) en la plataforma y activa su suscripción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 se cuenta con los datos de la licorera y 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selecciona «Registrar licorera».</w:t>
            </w:r>
          </w:p>
          <w:p>
            <w:pPr>
              <w:spacing w:after="18" w:line="236"/>
            </w:pPr>
            <w:r>
              <w:rPr>
                <w:rFonts w:ascii="Arial" w:cs="Arial" w:eastAsia="Arial" w:hAnsi="Arial"/>
                <w:sz w:val="19"/>
                <w:szCs w:val="19"/>
              </w:rPr>
              <w:t xml:space="preserve">2. Ingresa los datos de la licorera (nombre, identificación, responsable, contacto) y el plan.</w:t>
            </w:r>
          </w:p>
          <w:p>
            <w:pPr>
              <w:spacing w:after="18" w:line="236"/>
            </w:pPr>
            <w:r>
              <w:rPr>
                <w:rFonts w:ascii="Arial" w:cs="Arial" w:eastAsia="Arial" w:hAnsi="Arial"/>
                <w:sz w:val="19"/>
                <w:szCs w:val="19"/>
              </w:rPr>
              <w:t xml:space="preserve">3. El sistema valida que la identificación no esté registrada.</w:t>
            </w:r>
          </w:p>
          <w:p>
            <w:pPr>
              <w:spacing w:after="18" w:line="236"/>
            </w:pPr>
            <w:r>
              <w:rPr>
                <w:rFonts w:ascii="Arial" w:cs="Arial" w:eastAsia="Arial" w:hAnsi="Arial"/>
                <w:sz w:val="19"/>
                <w:szCs w:val="19"/>
              </w:rPr>
              <w:t xml:space="preserve">4. El sistema crea el tenant aislado y su suscripción en estado activo.</w:t>
            </w:r>
          </w:p>
          <w:p>
            <w:pPr>
              <w:spacing w:after="18" w:line="236"/>
            </w:pPr>
            <w:r>
              <w:rPr>
                <w:rFonts w:ascii="Arial" w:cs="Arial" w:eastAsia="Arial" w:hAnsi="Arial"/>
                <w:sz w:val="19"/>
                <w:szCs w:val="19"/>
              </w:rPr>
              <w:t xml:space="preserve">5. El sistema crea el usuario administrador inicial de la licorera y notifica el acceso.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Registro con periodo de prueba: se marca la suscripción como prueba con fecha de vencimiento.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Identificación ya registrada: el sistema informa y no crea el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licorera es un tenant aislado (sus datos no se mezclan con los de otras); la identificación es única; el plan determina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creada la licorera con su suscripción activa y su administrador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CU-SUS-02 —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(licorera) o 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cambia el plan de la suscripción (por ejemplo, de Básico a Pro) ajustando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una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la suscripción y elige «Cambiar plan».</w:t>
            </w:r>
          </w:p>
          <w:p>
            <w:pPr>
              <w:spacing w:after="18" w:line="236"/>
            </w:pPr>
            <w:r>
              <w:rPr>
                <w:rFonts w:ascii="Arial" w:cs="Arial" w:eastAsia="Arial" w:hAnsi="Arial"/>
                <w:sz w:val="19"/>
                <w:szCs w:val="19"/>
              </w:rPr>
              <w:t xml:space="preserve">2. Selecciona el nuevo plan.</w:t>
            </w:r>
          </w:p>
          <w:p>
            <w:pPr>
              <w:spacing w:after="18" w:line="236"/>
            </w:pPr>
            <w:r>
              <w:rPr>
                <w:rFonts w:ascii="Arial" w:cs="Arial" w:eastAsia="Arial" w:hAnsi="Arial"/>
                <w:sz w:val="19"/>
                <w:szCs w:val="19"/>
              </w:rPr>
              <w:t xml:space="preserve">3. El sistema valida la disponibilidad y las condiciones del nuevo plan.</w:t>
            </w:r>
          </w:p>
          <w:p>
            <w:pPr>
              <w:spacing w:after="18" w:line="236"/>
            </w:pPr>
            <w:r>
              <w:rPr>
                <w:rFonts w:ascii="Arial" w:cs="Arial" w:eastAsia="Arial" w:hAnsi="Arial"/>
                <w:sz w:val="19"/>
                <w:szCs w:val="19"/>
              </w:rPr>
              <w:t xml:space="preserve">4. El sistema aplica el nuevo plan y ajusta las funciones habilitadas.</w:t>
            </w:r>
          </w:p>
          <w:p>
            <w:pPr>
              <w:spacing w:after="18" w:line="236"/>
            </w:pPr>
            <w:r>
              <w:rPr>
                <w:rFonts w:ascii="Arial" w:cs="Arial" w:eastAsia="Arial" w:hAnsi="Arial"/>
                <w:sz w:val="19"/>
                <w:szCs w:val="19"/>
              </w:rPr>
              <w:t xml:space="preserve">5. El sistema confirma el cambio y registra su fecha de vigencia.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Baja de plan (de Pro a Básico): el sistema advierte qué funciones dejarán de estar disponibles antes de confirmar.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nuevo plan no está disponible o hay un pago pendiente: el sistema no aplica el cambio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cambio de plan habilita o restringe funciones (multisede, facturación electrónica) de inmediato; no se pierde la información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con el nuevo plan y las funciones ajustadas.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CU-SUS-03 — Controlar estado de la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 /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Gestiona el estado de la suscripción —consultar, suspender o reactivar— según el pago y las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existe y tiene una suscripción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actor consulta el estado de la suscripción (activa, en prueba, suspendida o vencida).</w:t>
            </w:r>
          </w:p>
          <w:p>
            <w:pPr>
              <w:spacing w:after="18" w:line="236"/>
            </w:pPr>
            <w:r>
              <w:rPr>
                <w:rFonts w:ascii="Arial" w:cs="Arial" w:eastAsia="Arial" w:hAnsi="Arial"/>
                <w:sz w:val="19"/>
                <w:szCs w:val="19"/>
              </w:rPr>
              <w:t xml:space="preserve">2. Ante falta de pago o vencimiento del periodo de gracia, el sistema suspende la suscripción.</w:t>
            </w:r>
          </w:p>
          <w:p>
            <w:pPr>
              <w:spacing w:after="18" w:line="236"/>
            </w:pPr>
            <w:r>
              <w:rPr>
                <w:rFonts w:ascii="Arial" w:cs="Arial" w:eastAsia="Arial" w:hAnsi="Arial"/>
                <w:sz w:val="19"/>
                <w:szCs w:val="19"/>
              </w:rPr>
              <w:t xml:space="preserve">3. Al registrarse el pago, el sistema o el superadministrador reactiva la suscripción.</w:t>
            </w:r>
          </w:p>
          <w:p>
            <w:pPr>
              <w:spacing w:after="18" w:line="236"/>
            </w:pPr>
            <w:r>
              <w:rPr>
                <w:rFonts w:ascii="Arial" w:cs="Arial" w:eastAsia="Arial" w:hAnsi="Arial"/>
                <w:sz w:val="19"/>
                <w:szCs w:val="19"/>
              </w:rPr>
              <w:t xml:space="preserve">4. El sistema registra el cambio de estado y su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Pago pendiente dentro del periodo de gracia: el sistema mantiene la suscripción activa y notifica.</w:t>
            </w:r>
          </w:p>
          <w:p>
            <w:pPr>
              <w:spacing w:after="18" w:line="236"/>
            </w:pPr>
            <w:r>
              <w:rPr>
                <w:rFonts w:ascii="Arial" w:cs="Arial" w:eastAsia="Arial" w:hAnsi="Arial"/>
                <w:sz w:val="19"/>
                <w:szCs w:val="19"/>
              </w:rPr>
              <w:t xml:space="preserve">3a. Reactivación manual del superadministrador tras verificar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Suscripción cancelada definitivamente: no puede reactivarse; requiere un nuevo registro.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Una suscripción suspendida bloquea el acceso operativo pero conserva los datos; el periodo de gracia es configurable.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en el estado correcto (activa, suspendida o reactivada) con su historial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CU-SUS-04 — Restringir funciones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habilita o bloquea las funciones de cada licorera según el plan y el estado de su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 plan y un estado de suscripción definidos.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intenta usar una función (por ejemplo, multisede o facturación electrónica).</w:t>
            </w:r>
          </w:p>
          <w:p>
            <w:pPr>
              <w:spacing w:after="18" w:line="236"/>
            </w:pPr>
            <w:r>
              <w:rPr>
                <w:rFonts w:ascii="Arial" w:cs="Arial" w:eastAsia="Arial" w:hAnsi="Arial"/>
                <w:sz w:val="19"/>
                <w:szCs w:val="19"/>
              </w:rPr>
              <w:t xml:space="preserve">2. El sistema verifica el plan y el estado de la suscripción.</w:t>
            </w:r>
          </w:p>
          <w:p>
            <w:pPr>
              <w:spacing w:after="18" w:line="236"/>
            </w:pPr>
            <w:r>
              <w:rPr>
                <w:rFonts w:ascii="Arial" w:cs="Arial" w:eastAsia="Arial" w:hAnsi="Arial"/>
                <w:sz w:val="19"/>
                <w:szCs w:val="19"/>
              </w:rPr>
              <w:t xml:space="preserve">3. Si el plan y el estado lo permiten, el sistema habilita la función.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La función pertenece a un plan superior: el sistema la muestra deshabilitada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Suscripción suspendida o vencida: el sistema restringe el acceso operativo y solo permite regularizar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plan Básico no incluye multisede ni facturación electrónica; el plan Pro sí; una suscripción suspendida restringe el uso salvo la regularización del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solo accede a las funciones correspondientes a su plan y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CU-SUS-05 — Administrar licoreras (superadmin)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consulta y gestiona el conjunto de licoreras (tenants) de la plataforma.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abre la administración de licoreras.</w:t>
            </w:r>
          </w:p>
          <w:p>
            <w:pPr>
              <w:spacing w:after="18" w:line="236"/>
            </w:pPr>
            <w:r>
              <w:rPr>
                <w:rFonts w:ascii="Arial" w:cs="Arial" w:eastAsia="Arial" w:hAnsi="Arial"/>
                <w:sz w:val="19"/>
                <w:szCs w:val="19"/>
              </w:rPr>
              <w:t xml:space="preserve">2. Consulta la lista con su plan, estado y consumo.</w:t>
            </w:r>
          </w:p>
          <w:p>
            <w:pPr>
              <w:spacing w:after="18" w:line="236"/>
            </w:pPr>
            <w:r>
              <w:rPr>
                <w:rFonts w:ascii="Arial" w:cs="Arial" w:eastAsia="Arial" w:hAnsi="Arial"/>
                <w:sz w:val="19"/>
                <w:szCs w:val="19"/>
              </w:rPr>
              <w:t xml:space="preserve">3. Selecciona una licorera para ver su detalle o ejecutar una acción (cambiar plan, suspender, reactivar).</w:t>
            </w:r>
          </w:p>
          <w:p>
            <w:pPr>
              <w:spacing w:after="18" w:line="236"/>
            </w:pPr>
            <w:r>
              <w:rPr>
                <w:rFonts w:ascii="Arial" w:cs="Arial" w:eastAsia="Arial" w:hAnsi="Arial"/>
                <w:sz w:val="19"/>
                <w:szCs w:val="19"/>
              </w:rPr>
              <w:t xml:space="preserve">4. El sistema ejecuta la acción y actualiza la información.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Filtrar o buscar licoreras por estado o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licoreras registradas: el sistema muestra la lista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Solo el superadministrador accede a esta función; las acciones sobre una licorera invocan los casos de uso correspondientes (cambiar plan, controlar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licoreras quedan consultadas o gestionadas según la acción realizada.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4" w:id="44"/>
      <w:r>
        <w:rPr>
          <w:rFonts w:ascii="Arial" w:cs="Arial" w:eastAsia="Arial" w:hAnsi="Arial"/>
          <w:b/>
          <w:bCs/>
          <w:color w:val="2E5496"/>
          <w:sz w:val="23"/>
          <w:szCs w:val="23"/>
        </w:rPr>
        <w:t xml:space="preserve">9.3 Módulo INV — Inventario</w:t>
      </w:r>
      <w:bookmarkEnd w:id="4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CU-INV-01 — Registrar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 producto en el catálogo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con permiso de inventario y existe al menos una categoría.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 y elige «Registrar producto».</w:t>
            </w:r>
          </w:p>
          <w:p>
            <w:pPr>
              <w:spacing w:after="18" w:line="236"/>
            </w:pPr>
            <w:r>
              <w:rPr>
                <w:rFonts w:ascii="Arial" w:cs="Arial" w:eastAsia="Arial" w:hAnsi="Arial"/>
                <w:sz w:val="19"/>
                <w:szCs w:val="19"/>
              </w:rPr>
              <w:t xml:space="preserve">2. Ingresa nombre, categoría, precio de venta y stock mínimo.</w:t>
            </w:r>
          </w:p>
          <w:p>
            <w:pPr>
              <w:spacing w:after="18" w:line="236"/>
            </w:pPr>
            <w:r>
              <w:rPr>
                <w:rFonts w:ascii="Arial" w:cs="Arial" w:eastAsia="Arial" w:hAnsi="Arial"/>
                <w:sz w:val="19"/>
                <w:szCs w:val="19"/>
              </w:rPr>
              <w:t xml:space="preserve">3. El sistema valida los datos (nombre único, precio válido, categoría existente).</w:t>
            </w:r>
          </w:p>
          <w:p>
            <w:pPr>
              <w:spacing w:after="18" w:line="236"/>
            </w:pPr>
            <w:r>
              <w:rPr>
                <w:rFonts w:ascii="Arial" w:cs="Arial" w:eastAsia="Arial" w:hAnsi="Arial"/>
                <w:sz w:val="19"/>
                <w:szCs w:val="19"/>
              </w:rPr>
              <w:t xml:space="preserve">4. El sistema crea el producto en estado activo.</w:t>
            </w:r>
          </w:p>
          <w:p>
            <w:pPr>
              <w:spacing w:after="18" w:line="236"/>
            </w:pPr>
            <w:r>
              <w:rPr>
                <w:rFonts w:ascii="Arial" w:cs="Arial" w:eastAsia="Arial" w:hAnsi="Arial"/>
                <w:sz w:val="19"/>
                <w:szCs w:val="19"/>
              </w:rPr>
              <w:t xml:space="preserve">5. El sistema confirma y lo muestra en el listado.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usuario apoya la fijación del precio con la sugerencia por margen (CU-INV-11).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nombre es único por licorera; el precio de venta es independiente del costo; el producto nace sin existencias, que ingresan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creado y disponible para recibir lotes y venderse.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CU-INV-02 — Consultar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lista y busca los productos del catálogo con sus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w:t>
            </w:r>
          </w:p>
          <w:p>
            <w:pPr>
              <w:spacing w:after="18" w:line="236"/>
            </w:pPr>
            <w:r>
              <w:rPr>
                <w:rFonts w:ascii="Arial" w:cs="Arial" w:eastAsia="Arial" w:hAnsi="Arial"/>
                <w:sz w:val="19"/>
                <w:szCs w:val="19"/>
              </w:rPr>
              <w:t xml:space="preserve">2. El sistema muestra los productos con su existencia total y su estado.</w:t>
            </w:r>
          </w:p>
          <w:p>
            <w:pPr>
              <w:spacing w:after="18" w:line="236"/>
            </w:pPr>
            <w:r>
              <w:rPr>
                <w:rFonts w:ascii="Arial" w:cs="Arial" w:eastAsia="Arial" w:hAnsi="Arial"/>
                <w:sz w:val="19"/>
                <w:szCs w:val="19"/>
              </w:rPr>
              <w:t xml:space="preserve">3. El usuario filtra o busca por nombre, categoría o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producto (lotes, kardex y precio).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coincidencias: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existencia mostrada es la suma de los saldos de los lotes; el vendedor solo consulta, no edita.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CU-INV-03 — Editar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modifica los datos de un producto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«Editar».</w:t>
            </w:r>
          </w:p>
          <w:p>
            <w:pPr>
              <w:spacing w:after="18" w:line="236"/>
            </w:pPr>
            <w:r>
              <w:rPr>
                <w:rFonts w:ascii="Arial" w:cs="Arial" w:eastAsia="Arial" w:hAnsi="Arial"/>
                <w:sz w:val="19"/>
                <w:szCs w:val="19"/>
              </w:rPr>
              <w:t xml:space="preserve">2. Modifica los datos (nombre, categoría, precio de venta, stock mínimo).</w:t>
            </w:r>
          </w:p>
          <w:p>
            <w:pPr>
              <w:spacing w:after="18" w:line="236"/>
            </w:pPr>
            <w:r>
              <w:rPr>
                <w:rFonts w:ascii="Arial" w:cs="Arial" w:eastAsia="Arial" w:hAnsi="Arial"/>
                <w:sz w:val="19"/>
                <w:szCs w:val="19"/>
              </w:rPr>
              <w:t xml:space="preserve">3.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del precio de venta, que aplica solo a ventas futuras.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Editar el precio no recalcula el costo de los lotes ni de las ventas ya registradas; el cambio rige hacia adelante.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CU-INV-04 — Inactivar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producto para retirarlo de la venta, conservando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«Inactivar».</w:t>
            </w:r>
          </w:p>
          <w:p>
            <w:pPr>
              <w:spacing w:after="18" w:line="236"/>
            </w:pPr>
            <w:r>
              <w:rPr>
                <w:rFonts w:ascii="Arial" w:cs="Arial" w:eastAsia="Arial" w:hAnsi="Arial"/>
                <w:sz w:val="19"/>
                <w:szCs w:val="19"/>
              </w:rPr>
              <w:t xml:space="preserve">2. El sistema solicita confirmación.</w:t>
            </w:r>
          </w:p>
          <w:p>
            <w:pPr>
              <w:spacing w:after="18" w:line="236"/>
            </w:pPr>
            <w:r>
              <w:rPr>
                <w:rFonts w:ascii="Arial" w:cs="Arial" w:eastAsia="Arial" w:hAnsi="Arial"/>
                <w:sz w:val="19"/>
                <w:szCs w:val="19"/>
              </w:rPr>
              <w:t xml:space="preserve">3. El sistema marca el producto como inactivo.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producto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con existencias: el sistema advierte que aún tiene lotes con saldo antes de inactivar.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para conservar el kardex y las ventas; un producto inactivo no aparece en el punto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inactivo y fuera del catálogo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CU-INV-05 — Registrar entrada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registra una compra de mercancía como un lote, con su cantidad, costo unitario y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en estado 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entrada» y selecciona el producto.</w:t>
            </w:r>
          </w:p>
          <w:p>
            <w:pPr>
              <w:spacing w:after="18" w:line="236"/>
            </w:pPr>
            <w:r>
              <w:rPr>
                <w:rFonts w:ascii="Arial" w:cs="Arial" w:eastAsia="Arial" w:hAnsi="Arial"/>
                <w:sz w:val="19"/>
                <w:szCs w:val="19"/>
              </w:rPr>
              <w:t xml:space="preserve">2. Ingresa la cantidad, el costo unitario y la fecha del lote.</w:t>
            </w:r>
          </w:p>
          <w:p>
            <w:pPr>
              <w:spacing w:after="18" w:line="236"/>
            </w:pPr>
            <w:r>
              <w:rPr>
                <w:rFonts w:ascii="Arial" w:cs="Arial" w:eastAsia="Arial" w:hAnsi="Arial"/>
                <w:sz w:val="19"/>
                <w:szCs w:val="19"/>
              </w:rPr>
              <w:t xml:space="preserve">3. El sistema valida los datos (cantidad y costo válidos).</w:t>
            </w:r>
          </w:p>
          <w:p>
            <w:pPr>
              <w:spacing w:after="18" w:line="236"/>
            </w:pPr>
            <w:r>
              <w:rPr>
                <w:rFonts w:ascii="Arial" w:cs="Arial" w:eastAsia="Arial" w:hAnsi="Arial"/>
                <w:sz w:val="19"/>
                <w:szCs w:val="19"/>
              </w:rPr>
              <w:t xml:space="preserve">4. El sistema crea el lote, aumenta el saldo de existencias y registra el movimiento de entrada en el kardex.</w:t>
            </w:r>
          </w:p>
          <w:p>
            <w:pPr>
              <w:spacing w:after="18" w:line="236"/>
            </w:pPr>
            <w:r>
              <w:rPr>
                <w:rFonts w:ascii="Arial" w:cs="Arial" w:eastAsia="Arial" w:hAnsi="Arial"/>
                <w:sz w:val="19"/>
                <w:szCs w:val="19"/>
              </w:rPr>
              <w:t xml:space="preserve">5. Si el producto tenía alerta de stock bajo y el nuevo saldo supera el mínimo, la desactiva.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registra la entrada.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compra es un lote independiente con su propio costo; las existencias se derivan de los lotes; es la base del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el lote y actualizados las existencias y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CU-INV-06 — Ajustar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corrige el saldo de existencias por diferencias de inventario (mermas, daños o conteo físico).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con lotes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«Ajustar existencias» y selecciona el producto o lote.</w:t>
            </w:r>
          </w:p>
          <w:p>
            <w:pPr>
              <w:spacing w:after="18" w:line="236"/>
            </w:pPr>
            <w:r>
              <w:rPr>
                <w:rFonts w:ascii="Arial" w:cs="Arial" w:eastAsia="Arial" w:hAnsi="Arial"/>
                <w:sz w:val="19"/>
                <w:szCs w:val="19"/>
              </w:rPr>
              <w:t xml:space="preserve">2. Ingresa la cantidad del ajuste y el motivo.</w:t>
            </w:r>
          </w:p>
          <w:p>
            <w:pPr>
              <w:spacing w:after="18" w:line="236"/>
            </w:pPr>
            <w:r>
              <w:rPr>
                <w:rFonts w:ascii="Arial" w:cs="Arial" w:eastAsia="Arial" w:hAnsi="Arial"/>
                <w:sz w:val="19"/>
                <w:szCs w:val="19"/>
              </w:rPr>
              <w:t xml:space="preserve">3. El sistema valida y aplica el ajuste al saldo del lote.</w:t>
            </w:r>
          </w:p>
          <w:p>
            <w:pPr>
              <w:spacing w:after="18" w:line="236"/>
            </w:pPr>
            <w:r>
              <w:rPr>
                <w:rFonts w:ascii="Arial" w:cs="Arial" w:eastAsia="Arial" w:hAnsi="Arial"/>
                <w:sz w:val="19"/>
                <w:szCs w:val="19"/>
              </w:rPr>
              <w:t xml:space="preserve">4. El sistema registra el movimiento de ajuste en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Ajuste positivo (sobrante) o negativo (faltante o merma).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Un ajuste que dejaría el saldo negativo: el sistema lo impide.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Todo ajuste queda registrado con su motivo y fecha (kardex inmutable); no altera el costo de las ventas ya realizadas.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saldo queda corregido y el ajuste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CU-INV-07 — Alertar stock bajo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avisa cuando la existencia de un producto baja de su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definido un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Tras cada movimiento (venta o ajuste), el sistema compara la existencia con el stock mínimo.</w:t>
            </w:r>
          </w:p>
          <w:p>
            <w:pPr>
              <w:spacing w:after="18" w:line="236"/>
            </w:pPr>
            <w:r>
              <w:rPr>
                <w:rFonts w:ascii="Arial" w:cs="Arial" w:eastAsia="Arial" w:hAnsi="Arial"/>
                <w:sz w:val="19"/>
                <w:szCs w:val="19"/>
              </w:rPr>
              <w:t xml:space="preserve">2. Si la existencia es igual o menor al mínimo, activa la alerta.</w:t>
            </w:r>
          </w:p>
          <w:p>
            <w:pPr>
              <w:spacing w:after="18" w:line="236"/>
            </w:pPr>
            <w:r>
              <w:rPr>
                <w:rFonts w:ascii="Arial" w:cs="Arial" w:eastAsia="Arial" w:hAnsi="Arial"/>
                <w:sz w:val="19"/>
                <w:szCs w:val="19"/>
              </w:rPr>
              <w:t xml:space="preserve">3. Muestra el producto en el panel de alertas.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Al reponer por lote y superar el mínimo, la alerta se desactiva (CU-INV-05).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alerta es automática (actor Sistema); no bloquea la venta, solo notifica.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por debajo del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CU-INV-08 — Alertar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RF-INV-08</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identifica los productos con poca o nula venta en un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 y un periodo de referencia configurado.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evalúa periódicamente las ventas por producto.</w:t>
            </w:r>
          </w:p>
          <w:p>
            <w:pPr>
              <w:spacing w:after="18" w:line="236"/>
            </w:pPr>
            <w:r>
              <w:rPr>
                <w:rFonts w:ascii="Arial" w:cs="Arial" w:eastAsia="Arial" w:hAnsi="Arial"/>
                <w:sz w:val="19"/>
                <w:szCs w:val="19"/>
              </w:rPr>
              <w:t xml:space="preserve">2. Marca los productos cuya rotación está por debajo del umbral.</w:t>
            </w:r>
          </w:p>
          <w:p>
            <w:pPr>
              <w:spacing w:after="18" w:line="236"/>
            </w:pPr>
            <w:r>
              <w:rPr>
                <w:rFonts w:ascii="Arial" w:cs="Arial" w:eastAsia="Arial" w:hAnsi="Arial"/>
                <w:sz w:val="19"/>
                <w:szCs w:val="19"/>
              </w:rPr>
              <w:t xml:space="preserve">3. Los muestra en el panel de alertas y en el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nuevo sin historial suficiente: no se evalúa hasta cumplir el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automático (actor Sistema); apoya las decisiones de compra y de promociones.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CU-INV-09 — Consultar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RF-INV-09</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historial de movimientos de un producto (entradas, salidas y ajustes) con su costo.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«Kardex».</w:t>
            </w:r>
          </w:p>
          <w:p>
            <w:pPr>
              <w:spacing w:after="18" w:line="236"/>
            </w:pPr>
            <w:r>
              <w:rPr>
                <w:rFonts w:ascii="Arial" w:cs="Arial" w:eastAsia="Arial" w:hAnsi="Arial"/>
                <w:sz w:val="19"/>
                <w:szCs w:val="19"/>
              </w:rPr>
              <w:t xml:space="preserve">2. El sistema muestra los movimientos en orden cronológico con cantidad, costo y saldo.</w:t>
            </w:r>
          </w:p>
          <w:p>
            <w:pPr>
              <w:spacing w:after="18" w:line="236"/>
            </w:pPr>
            <w:r>
              <w:rPr>
                <w:rFonts w:ascii="Arial" w:cs="Arial" w:eastAsia="Arial" w:hAnsi="Arial"/>
                <w:sz w:val="19"/>
                <w:szCs w:val="19"/>
              </w:rPr>
              <w:t xml:space="preserve">3. El usuario filtra por fecha o por tipo de movimiento.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kardex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movimientos: el sistema muestra el kardex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kardex es inmutable (no se edita ni se borra) y refleja el costo real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historial del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CU-INV-10 — Valorar inventario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RF-INV-10</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calcula el valor del inventario según el costo de los lotes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«Valorar inventario».</w:t>
            </w:r>
          </w:p>
          <w:p>
            <w:pPr>
              <w:spacing w:after="18" w:line="236"/>
            </w:pPr>
            <w:r>
              <w:rPr>
                <w:rFonts w:ascii="Arial" w:cs="Arial" w:eastAsia="Arial" w:hAnsi="Arial"/>
                <w:sz w:val="19"/>
                <w:szCs w:val="19"/>
              </w:rPr>
              <w:t xml:space="preserve">2. El sistema toma los saldos de los lotes con su costo unitario.</w:t>
            </w:r>
          </w:p>
          <w:p>
            <w:pPr>
              <w:spacing w:after="18" w:line="236"/>
            </w:pPr>
            <w:r>
              <w:rPr>
                <w:rFonts w:ascii="Arial" w:cs="Arial" w:eastAsia="Arial" w:hAnsi="Arial"/>
                <w:sz w:val="19"/>
                <w:szCs w:val="19"/>
              </w:rPr>
              <w:t xml:space="preserve">3. Calcula el valor por producto y el valor total aplicando PEPS.</w:t>
            </w:r>
          </w:p>
          <w:p>
            <w:pPr>
              <w:spacing w:after="18" w:line="236"/>
            </w:pPr>
            <w:r>
              <w:rPr>
                <w:rFonts w:ascii="Arial" w:cs="Arial" w:eastAsia="Arial" w:hAnsi="Arial"/>
                <w:sz w:val="19"/>
                <w:szCs w:val="19"/>
              </w:rPr>
              <w:t xml:space="preserve">4. Muestra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Valorar a una fecha de corte determinada.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valoración usa el costo real de cada lote (primeras entradas, primeras salidas),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valor del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CU-INV-11 — Sugerir precio por margen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calcula un precio de venta sugerido a partir del costo y de un margen deseado.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un costo de referencia (por ejemplo, el del último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producto, elige «Sugerir precio».</w:t>
            </w:r>
          </w:p>
          <w:p>
            <w:pPr>
              <w:spacing w:after="18" w:line="236"/>
            </w:pPr>
            <w:r>
              <w:rPr>
                <w:rFonts w:ascii="Arial" w:cs="Arial" w:eastAsia="Arial" w:hAnsi="Arial"/>
                <w:sz w:val="19"/>
                <w:szCs w:val="19"/>
              </w:rPr>
              <w:t xml:space="preserve">2. Ingresa el margen deseado como porcentaje.</w:t>
            </w:r>
          </w:p>
          <w:p>
            <w:pPr>
              <w:spacing w:after="18" w:line="236"/>
            </w:pPr>
            <w:r>
              <w:rPr>
                <w:rFonts w:ascii="Arial" w:cs="Arial" w:eastAsia="Arial" w:hAnsi="Arial"/>
                <w:sz w:val="19"/>
                <w:szCs w:val="19"/>
              </w:rPr>
              <w:t xml:space="preserve">3. El sistema calcula el precio sugerido a partir del costo y el margen.</w:t>
            </w:r>
          </w:p>
          <w:p>
            <w:pPr>
              <w:spacing w:after="18" w:line="236"/>
            </w:pPr>
            <w:r>
              <w:rPr>
                <w:rFonts w:ascii="Arial" w:cs="Arial" w:eastAsia="Arial" w:hAnsi="Arial"/>
                <w:sz w:val="19"/>
                <w:szCs w:val="19"/>
              </w:rPr>
              <w:t xml:space="preserve">4. Muestra el precio sugerido y el administrador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administrador ajusta manualmente el precio antes de guardarlo.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sin costo de referencia: el sistema solicita registrar primero un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solo una sugerencia; el precio final siempre lo confirma el administrador (nunca es automático) y no modifica los costos.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cuenta con un precio sugerido y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p>
      <w:pPr>
        <w:pStyle w:val="Heading2"/>
        <w:spacing w:after="80" w:before="150"/>
      </w:pPr>
      <w:bookmarkStart w:name="bm45" w:id="45"/>
      <w:r>
        <w:rPr>
          <w:rFonts w:ascii="Arial" w:cs="Arial" w:eastAsia="Arial" w:hAnsi="Arial"/>
          <w:b/>
          <w:bCs/>
          <w:color w:val="2E5496"/>
          <w:sz w:val="23"/>
          <w:szCs w:val="23"/>
        </w:rPr>
        <w:t xml:space="preserve">9.4 Módulo VEN — Ventas (punto de venta)</w:t>
      </w:r>
      <w:bookmarkEnd w:id="45"/>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CU-VEN-01 — Registrar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registra una venta en el punto de venta, descontando el inventario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está autenticado con la caja abierta y existen productos con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Agrega los productos a la venta (por búsqueda o código).</w:t>
            </w:r>
          </w:p>
          <w:p>
            <w:pPr>
              <w:spacing w:after="18" w:line="236"/>
            </w:pPr>
            <w:r>
              <w:rPr>
                <w:rFonts w:ascii="Arial" w:cs="Arial" w:eastAsia="Arial" w:hAnsi="Arial"/>
                <w:sz w:val="19"/>
                <w:szCs w:val="19"/>
              </w:rPr>
              <w:t xml:space="preserve">2. El sistema verifica las existencias y calcula el total.</w:t>
            </w:r>
          </w:p>
          <w:p>
            <w:pPr>
              <w:spacing w:after="18" w:line="236"/>
            </w:pPr>
            <w:r>
              <w:rPr>
                <w:rFonts w:ascii="Arial" w:cs="Arial" w:eastAsia="Arial" w:hAnsi="Arial"/>
                <w:sz w:val="19"/>
                <w:szCs w:val="19"/>
              </w:rPr>
              <w:t xml:space="preserve">3. El vendedor selecciona el medio de pago (CU-VEN-02).</w:t>
            </w:r>
          </w:p>
          <w:p>
            <w:pPr>
              <w:spacing w:after="18" w:line="236"/>
            </w:pPr>
            <w:r>
              <w:rPr>
                <w:rFonts w:ascii="Arial" w:cs="Arial" w:eastAsia="Arial" w:hAnsi="Arial"/>
                <w:sz w:val="19"/>
                <w:szCs w:val="19"/>
              </w:rPr>
              <w:t xml:space="preserve">4. El sistema descuenta el inventario consumiendo los lotes más antiguos (PEPS) y registra el costo real.</w:t>
            </w:r>
          </w:p>
          <w:p>
            <w:pPr>
              <w:spacing w:after="18" w:line="236"/>
            </w:pPr>
            <w:r>
              <w:rPr>
                <w:rFonts w:ascii="Arial" w:cs="Arial" w:eastAsia="Arial" w:hAnsi="Arial"/>
                <w:sz w:val="19"/>
                <w:szCs w:val="19"/>
              </w:rPr>
              <w:t xml:space="preserve">5. El sistema registra el movimiento de inventario en el kardex y genera el comprobante (CU-VEN-03).</w:t>
            </w:r>
          </w:p>
          <w:p>
            <w:pPr>
              <w:spacing w:after="18" w:line="236"/>
            </w:pPr>
            <w:r>
              <w:rPr>
                <w:rFonts w:ascii="Arial" w:cs="Arial" w:eastAsia="Arial" w:hAnsi="Arial"/>
                <w:sz w:val="19"/>
                <w:szCs w:val="19"/>
              </w:rPr>
              <w:t xml:space="preserve">6. El sistema registra el movimiento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Aplicar un descuento a la venta (opcional).</w:t>
            </w:r>
          </w:p>
          <w:p>
            <w:pPr>
              <w:spacing w:after="18" w:line="236"/>
            </w:pPr>
            <w:r>
              <w:rPr>
                <w:rFonts w:ascii="Arial" w:cs="Arial" w:eastAsia="Arial" w:hAnsi="Arial"/>
                <w:sz w:val="19"/>
                <w:szCs w:val="19"/>
              </w:rPr>
              <w:t xml:space="preserve">5a. Emitir factura electrónica (CU-FAC-02) si el cliente la solicita.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Existencias insuficientes para un producto: el sistema avisa y el vendedor ajusta la cantidad.</w:t>
            </w:r>
          </w:p>
          <w:p>
            <w:pPr>
              <w:spacing w:after="18" w:line="236"/>
            </w:pPr>
            <w:r>
              <w:rPr>
                <w:rFonts w:ascii="Arial" w:cs="Arial" w:eastAsia="Arial" w:hAnsi="Arial"/>
                <w:sz w:val="19"/>
                <w:szCs w:val="19"/>
              </w:rPr>
              <w:t xml:space="preserve">3a. Pago con tarjeta rechazado por la pasarela: el sistema informa y solicita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descuenta por PEPS y guarda el costo real del despacho; el precio de venta es independiente del costo; una venta registrada afecta las existencias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registrada, con el inventario y la caja actualizados y el comprobante generado.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CU-VEN-02 — Seleccionar medio de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 Pasarela de pagos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elige cómo se paga la venta (efectivo, tarjeta u otro).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curso con su total calculado.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selecciona el medio de pago.</w:t>
            </w:r>
          </w:p>
          <w:p>
            <w:pPr>
              <w:spacing w:after="18" w:line="236"/>
            </w:pPr>
            <w:r>
              <w:rPr>
                <w:rFonts w:ascii="Arial" w:cs="Arial" w:eastAsia="Arial" w:hAnsi="Arial"/>
                <w:sz w:val="19"/>
                <w:szCs w:val="19"/>
              </w:rPr>
              <w:t xml:space="preserve">2. Si es efectivo, ingresa el monto recibido y el sistema calcula el cambio.</w:t>
            </w:r>
          </w:p>
          <w:p>
            <w:pPr>
              <w:spacing w:after="18" w:line="236"/>
            </w:pPr>
            <w:r>
              <w:rPr>
                <w:rFonts w:ascii="Arial" w:cs="Arial" w:eastAsia="Arial" w:hAnsi="Arial"/>
                <w:sz w:val="19"/>
                <w:szCs w:val="19"/>
              </w:rPr>
              <w:t xml:space="preserve">3. Si es tarjeta, el sistema envía el cobro a la pasarela de pagos y espera la respuesta.</w:t>
            </w:r>
          </w:p>
          <w:p>
            <w:pPr>
              <w:spacing w:after="18" w:line="236"/>
            </w:pPr>
            <w:r>
              <w:rPr>
                <w:rFonts w:ascii="Arial" w:cs="Arial" w:eastAsia="Arial" w:hAnsi="Arial"/>
                <w:sz w:val="19"/>
                <w:szCs w:val="19"/>
              </w:rPr>
              <w:t xml:space="preserve">4. El sistema registra el medio de pago en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Pago mixto (una parte en efectivo y otra con tarjeta), si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Pago con tarjeta rechazado: el sistema informa y permite elegir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pasarela opera en modo de pruebas (sandbox); el medio de pago queda asociado a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con su medio de pago confirmado.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CU-VEN-03 — Generar comprobante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genera el comprobante de la venta (tiquete o soporte).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fue confirmada y pagada.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(productos, totales, medio de pago y consecutivo).</w:t>
            </w:r>
          </w:p>
          <w:p>
            <w:pPr>
              <w:spacing w:after="18" w:line="236"/>
            </w:pPr>
            <w:r>
              <w:rPr>
                <w:rFonts w:ascii="Arial" w:cs="Arial" w:eastAsia="Arial" w:hAnsi="Arial"/>
                <w:sz w:val="19"/>
                <w:szCs w:val="19"/>
              </w:rPr>
              <w:t xml:space="preserve">2. Genera el comprobante con su numeración consecutiva.</w:t>
            </w:r>
          </w:p>
          <w:p>
            <w:pPr>
              <w:spacing w:after="18" w:line="236"/>
            </w:pPr>
            <w:r>
              <w:rPr>
                <w:rFonts w:ascii="Arial" w:cs="Arial" w:eastAsia="Arial" w:hAnsi="Arial"/>
                <w:sz w:val="19"/>
                <w:szCs w:val="19"/>
              </w:rPr>
              <w:t xml:space="preserve">3. Lo muestra para impresión o envío.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Si se requiere factura electrónica, se emite mediante el módulo FAC (CU-FAC-02).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impresión: el comprobante queda guardado y puede reimprimirse.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numeración es consecutiva y única; el comprobante refleja los valores de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comprobante queda generado y disponible.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CU-VEN-04 — Anular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anula una venta registrada y revierte sus efectos en el inventario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estado registrada y dentro de la política de anulación.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venta y elige «Anular».</w:t>
            </w:r>
          </w:p>
          <w:p>
            <w:pPr>
              <w:spacing w:after="18" w:line="236"/>
            </w:pPr>
            <w:r>
              <w:rPr>
                <w:rFonts w:ascii="Arial" w:cs="Arial" w:eastAsia="Arial" w:hAnsi="Arial"/>
                <w:sz w:val="19"/>
                <w:szCs w:val="19"/>
              </w:rPr>
              <w:t xml:space="preserve">2. El sistema solicita confirmación y motivo.</w:t>
            </w:r>
          </w:p>
          <w:p>
            <w:pPr>
              <w:spacing w:after="18" w:line="236"/>
            </w:pPr>
            <w:r>
              <w:rPr>
                <w:rFonts w:ascii="Arial" w:cs="Arial" w:eastAsia="Arial" w:hAnsi="Arial"/>
                <w:sz w:val="19"/>
                <w:szCs w:val="19"/>
              </w:rPr>
              <w:t xml:space="preserve">3. El sistema repone las cantidades a los lotes consumidos (revierte PEPS).</w:t>
            </w:r>
          </w:p>
          <w:p>
            <w:pPr>
              <w:spacing w:after="18" w:line="236"/>
            </w:pPr>
            <w:r>
              <w:rPr>
                <w:rFonts w:ascii="Arial" w:cs="Arial" w:eastAsia="Arial" w:hAnsi="Arial"/>
                <w:sz w:val="19"/>
                <w:szCs w:val="19"/>
              </w:rPr>
              <w:t xml:space="preserve">4. Registra el movimiento de reverso en el kardex y marca la venta como anulada.</w:t>
            </w:r>
          </w:p>
          <w:p>
            <w:pPr>
              <w:spacing w:after="18" w:line="236"/>
            </w:pPr>
            <w:r>
              <w:rPr>
                <w:rFonts w:ascii="Arial" w:cs="Arial" w:eastAsia="Arial" w:hAnsi="Arial"/>
                <w:sz w:val="19"/>
                <w:szCs w:val="19"/>
              </w:rPr>
              <w:t xml:space="preserve">5. Registra el ajuste correspondiente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Si la venta tenía factura electrónica, se emite una nota crédito (CU-FAC-04).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Venta no anulable (fuera de política o ya anulada):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anulación no borra la venta (queda marcada como anulada) para conservar la trazabilidad; revierte el inventario y la caja de forma consistente.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anulada y sus efectos en inventario y caja revertidos.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CU-VEN-05 — Consultar historial de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ventas realizadas con sus detalles.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historial de ventas.</w:t>
            </w:r>
          </w:p>
          <w:p>
            <w:pPr>
              <w:spacing w:after="18" w:line="236"/>
            </w:pPr>
            <w:r>
              <w:rPr>
                <w:rFonts w:ascii="Arial" w:cs="Arial" w:eastAsia="Arial" w:hAnsi="Arial"/>
                <w:sz w:val="19"/>
                <w:szCs w:val="19"/>
              </w:rPr>
              <w:t xml:space="preserve">2. El sistema muestra las ventas con fecha, total, vendedor y estado.</w:t>
            </w:r>
          </w:p>
          <w:p>
            <w:pPr>
              <w:spacing w:after="18" w:line="236"/>
            </w:pPr>
            <w:r>
              <w:rPr>
                <w:rFonts w:ascii="Arial" w:cs="Arial" w:eastAsia="Arial" w:hAnsi="Arial"/>
                <w:sz w:val="19"/>
                <w:szCs w:val="19"/>
              </w:rPr>
              <w:t xml:space="preserve">3. El administrador filtra por fecha, vendedor o estado y consulta el detalle.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historial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para el filtro elegido: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consultan tanto las ventas registradas como las anuladas; el vendedor solo ve sus propias ventas del turno,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CU-VEN-06 — Cierre de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cierra la caja del turno cuadrando el efectivo con las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caja abierta con ventas del turno.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elige «Cerrar caja».</w:t>
            </w:r>
          </w:p>
          <w:p>
            <w:pPr>
              <w:spacing w:after="18" w:line="236"/>
            </w:pPr>
            <w:r>
              <w:rPr>
                <w:rFonts w:ascii="Arial" w:cs="Arial" w:eastAsia="Arial" w:hAnsi="Arial"/>
                <w:sz w:val="19"/>
                <w:szCs w:val="19"/>
              </w:rPr>
              <w:t xml:space="preserve">2. El sistema muestra el total esperado (ventas en efectivo del turno).</w:t>
            </w:r>
          </w:p>
          <w:p>
            <w:pPr>
              <w:spacing w:after="18" w:line="236"/>
            </w:pPr>
            <w:r>
              <w:rPr>
                <w:rFonts w:ascii="Arial" w:cs="Arial" w:eastAsia="Arial" w:hAnsi="Arial"/>
                <w:sz w:val="19"/>
                <w:szCs w:val="19"/>
              </w:rPr>
              <w:t xml:space="preserve">3. El vendedor ingresa el efectivo contado.</w:t>
            </w:r>
          </w:p>
          <w:p>
            <w:pPr>
              <w:spacing w:after="18" w:line="236"/>
            </w:pPr>
            <w:r>
              <w:rPr>
                <w:rFonts w:ascii="Arial" w:cs="Arial" w:eastAsia="Arial" w:hAnsi="Arial"/>
                <w:sz w:val="19"/>
                <w:szCs w:val="19"/>
              </w:rPr>
              <w:t xml:space="preserve">4. El sistema compara y calcula la diferencia.</w:t>
            </w:r>
          </w:p>
          <w:p>
            <w:pPr>
              <w:spacing w:after="18" w:line="236"/>
            </w:pPr>
            <w:r>
              <w:rPr>
                <w:rFonts w:ascii="Arial" w:cs="Arial" w:eastAsia="Arial" w:hAnsi="Arial"/>
                <w:sz w:val="19"/>
                <w:szCs w:val="19"/>
              </w:rPr>
              <w:t xml:space="preserve">5. El sistema registra el cierre con sus totales.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Diferencia (sobrante o faltante): el sistema la registra y solicita una observación.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cierre deja constancia del efectivo esperado, el contado y la diferencia; una vez cerrada, la caja requiere una nueva apertura para seguir vendiendo.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caja queda cerrada con su cuadre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6" w:id="46"/>
      <w:r>
        <w:rPr>
          <w:rFonts w:ascii="Arial" w:cs="Arial" w:eastAsia="Arial" w:hAnsi="Arial"/>
          <w:b/>
          <w:bCs/>
          <w:color w:val="2E5496"/>
          <w:sz w:val="23"/>
          <w:szCs w:val="23"/>
        </w:rPr>
        <w:t xml:space="preserve">9.5 Módulo REP — Reportes</w:t>
      </w:r>
      <w:bookmarkEnd w:id="46"/>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CU-REP-01 — Reporte de ventas por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genera un reporte de las ventas en un rango de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«Reporte de ventas» y define el rango de fechas y los filtros (sede, vendedor).</w:t>
            </w:r>
          </w:p>
          <w:p>
            <w:pPr>
              <w:spacing w:after="18" w:line="236"/>
            </w:pPr>
            <w:r>
              <w:rPr>
                <w:rFonts w:ascii="Arial" w:cs="Arial" w:eastAsia="Arial" w:hAnsi="Arial"/>
                <w:sz w:val="19"/>
                <w:szCs w:val="19"/>
              </w:rPr>
              <w:t xml:space="preserve">2. El sistema consulta las ventas del período.</w:t>
            </w:r>
          </w:p>
          <w:p>
            <w:pPr>
              <w:spacing w:after="18" w:line="236"/>
            </w:pPr>
            <w:r>
              <w:rPr>
                <w:rFonts w:ascii="Arial" w:cs="Arial" w:eastAsia="Arial" w:hAnsi="Arial"/>
                <w:sz w:val="19"/>
                <w:szCs w:val="19"/>
              </w:rPr>
              <w:t xml:space="preserve">3. El sistema muestra el reporte con los totales por día, medio de pago y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en el período: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Considera las ventas registradas y distingue las anuladas; los totales cuadran con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las ventas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CU-REP-02 — Reporte de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valor del inventario por producto y total,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valorizado» y la fecha de corte.</w:t>
            </w:r>
          </w:p>
          <w:p>
            <w:pPr>
              <w:spacing w:after="18" w:line="236"/>
            </w:pPr>
            <w:r>
              <w:rPr>
                <w:rFonts w:ascii="Arial" w:cs="Arial" w:eastAsia="Arial" w:hAnsi="Arial"/>
                <w:sz w:val="19"/>
                <w:szCs w:val="19"/>
              </w:rPr>
              <w:t xml:space="preserve">2. El sistema toma los saldos de los lotes con su costo por PEPS (apoyado en CU-INV-10).</w:t>
            </w:r>
          </w:p>
          <w:p>
            <w:pPr>
              <w:spacing w:after="18" w:line="236"/>
            </w:pPr>
            <w:r>
              <w:rPr>
                <w:rFonts w:ascii="Arial" w:cs="Arial" w:eastAsia="Arial" w:hAnsi="Arial"/>
                <w:sz w:val="19"/>
                <w:szCs w:val="19"/>
              </w:rPr>
              <w:t xml:space="preserve">3. Muestra el valor por producto y el valor total.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Usa el costo real de los lotes,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CU-REP-03 — Reporte de más vendidos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los productos más vendidos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«Más vendidos», el período y el criterio (cantidad o ingresos).</w:t>
            </w:r>
          </w:p>
          <w:p>
            <w:pPr>
              <w:spacing w:after="18" w:line="236"/>
            </w:pPr>
            <w:r>
              <w:rPr>
                <w:rFonts w:ascii="Arial" w:cs="Arial" w:eastAsia="Arial" w:hAnsi="Arial"/>
                <w:sz w:val="19"/>
                <w:szCs w:val="19"/>
              </w:rPr>
              <w:t xml:space="preserve">2. El sistema calcula el ranking de productos.</w:t>
            </w:r>
          </w:p>
          <w:p>
            <w:pPr>
              <w:spacing w:after="18" w:line="236"/>
            </w:pPr>
            <w:r>
              <w:rPr>
                <w:rFonts w:ascii="Arial" w:cs="Arial" w:eastAsia="Arial" w:hAnsi="Arial"/>
                <w:sz w:val="19"/>
                <w:szCs w:val="19"/>
              </w:rPr>
              <w:t xml:space="preserve">3. Muestra los productos ordenados según el criterio.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basa en las ventas registradas; apoya las decisiones de compra.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ranking de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CU-REP-04 —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rotación de los productos (velocidad de venta)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e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«Rotación» y el período.</w:t>
            </w:r>
          </w:p>
          <w:p>
            <w:pPr>
              <w:spacing w:after="18" w:line="236"/>
            </w:pPr>
            <w:r>
              <w:rPr>
                <w:rFonts w:ascii="Arial" w:cs="Arial" w:eastAsia="Arial" w:hAnsi="Arial"/>
                <w:sz w:val="19"/>
                <w:szCs w:val="19"/>
              </w:rPr>
              <w:t xml:space="preserve">2. El sistema calcula la rotación por producto (ventas frente a existencia promedio).</w:t>
            </w:r>
          </w:p>
          <w:p>
            <w:pPr>
              <w:spacing w:after="18" w:line="236"/>
            </w:pPr>
            <w:r>
              <w:rPr>
                <w:rFonts w:ascii="Arial" w:cs="Arial" w:eastAsia="Arial" w:hAnsi="Arial"/>
                <w:sz w:val="19"/>
                <w:szCs w:val="19"/>
              </w:rPr>
              <w:t xml:space="preserve">3. Muestra los productos y destaca los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Productos sin historial suficiente: se excluyen o se marcan.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relaciona con la alerta de baja rotación (CU-INV-08); apoya promociones y compras.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rotación de los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CU-REP-05 — Reporte de utilidad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utilidad de las ventas (precio de venta menos costo real por PEPS)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con su costo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«Utilidad» y el período.</w:t>
            </w:r>
          </w:p>
          <w:p>
            <w:pPr>
              <w:spacing w:after="18" w:line="236"/>
            </w:pPr>
            <w:r>
              <w:rPr>
                <w:rFonts w:ascii="Arial" w:cs="Arial" w:eastAsia="Arial" w:hAnsi="Arial"/>
                <w:sz w:val="19"/>
                <w:szCs w:val="19"/>
              </w:rPr>
              <w:t xml:space="preserve">2. El sistema toma cada venta con su costo real (PEPS) y su precio.</w:t>
            </w:r>
          </w:p>
          <w:p>
            <w:pPr>
              <w:spacing w:after="18" w:line="236"/>
            </w:pPr>
            <w:r>
              <w:rPr>
                <w:rFonts w:ascii="Arial" w:cs="Arial" w:eastAsia="Arial" w:hAnsi="Arial"/>
                <w:sz w:val="19"/>
                <w:szCs w:val="19"/>
              </w:rPr>
              <w:t xml:space="preserve">3. Calcula la utilidad por producto y total.</w:t>
            </w:r>
          </w:p>
          <w:p>
            <w:pPr>
              <w:spacing w:after="18" w:line="236"/>
            </w:pPr>
            <w:r>
              <w:rPr>
                <w:rFonts w:ascii="Arial" w:cs="Arial" w:eastAsia="Arial" w:hAnsi="Arial"/>
                <w:sz w:val="19"/>
                <w:szCs w:val="19"/>
              </w:rPr>
              <w:t xml:space="preserve">4. Muestra el reporte.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utilidad usa el costo histórico del despacho (PEPS), no el costo actual, y el precio de cada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utilidad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CU-REP-06 — Exportar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exporta cualquiera de los reportes a un archivo (por ejemplo, PDF o Excel). Extiende a los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Hay un reporte generado en pantalla.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reporte, elige «Exportar» y el formato.</w:t>
            </w:r>
          </w:p>
          <w:p>
            <w:pPr>
              <w:spacing w:after="18" w:line="236"/>
            </w:pPr>
            <w:r>
              <w:rPr>
                <w:rFonts w:ascii="Arial" w:cs="Arial" w:eastAsia="Arial" w:hAnsi="Arial"/>
                <w:sz w:val="19"/>
                <w:szCs w:val="19"/>
              </w:rPr>
              <w:t xml:space="preserve">2. El sistema genera el archivo con el contenido del reporte.</w:t>
            </w:r>
          </w:p>
          <w:p>
            <w:pPr>
              <w:spacing w:after="18" w:line="236"/>
            </w:pPr>
            <w:r>
              <w:rPr>
                <w:rFonts w:ascii="Arial" w:cs="Arial" w:eastAsia="Arial" w:hAnsi="Arial"/>
                <w:sz w:val="19"/>
                <w:szCs w:val="19"/>
              </w:rPr>
              <w:t xml:space="preserve">3. Lo descarga o lo ofrece para guardar.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Elegir el rango o las columnas antes de exportar.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al generar el archivo: el sistema informa y permite reintentar.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Es un comportamiento opcional que extiende a los reportes; el archivo refleja los datos mostrados.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reporte en un archivo.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a122b65f44f4fa28f27e440a75540dcd169eb.png"/><Relationship Id="rId9" Type="http://schemas.openxmlformats.org/officeDocument/2006/relationships/image" Target="media/9e782d5c9a280d6790947d56dc5dc21b045dd448.png"/><Relationship Id="rId10" Type="http://schemas.openxmlformats.org/officeDocument/2006/relationships/image" Target="media/3c8ee8c40eeda2e5ab0baffc397b5acd2fa176a3.png"/><Relationship Id="rId11" Type="http://schemas.openxmlformats.org/officeDocument/2006/relationships/image" Target="media/e275c867e8c1449c4581539f7d3aa7be36fcc257.png"/><Relationship Id="rId12" Type="http://schemas.openxmlformats.org/officeDocument/2006/relationships/image" Target="media/0ca96c972999ffda77383c18570c2373c2544713.png"/><Relationship Id="rId13" Type="http://schemas.openxmlformats.org/officeDocument/2006/relationships/image" Target="media/42e8e4b8ec714f171380dbda87f6288e288f9a43.png"/><Relationship Id="rId14" Type="http://schemas.openxmlformats.org/officeDocument/2006/relationships/image" Target="media/c96c828d15f3b48dea021c92ece024a023691076.png"/><Relationship Id="rId15" Type="http://schemas.openxmlformats.org/officeDocument/2006/relationships/image" Target="media/1d03b544e736ad72eca7aaad46658f0647148133.png"/><Relationship Id="rId16" Type="http://schemas.openxmlformats.org/officeDocument/2006/relationships/image" Target="media/662c581cfd970bea51b134f688dcc82422fd0927.png"/><Relationship Id="rId17" Type="http://schemas.openxmlformats.org/officeDocument/2006/relationships/image" Target="media/1efcf99f8dce077c9aaf06dfb477d6a2c13ab0ac.png"/><Relationship Id="rId18" Type="http://schemas.openxmlformats.org/officeDocument/2006/relationships/image" Target="media/5ce2feac38325005770043bf3e194a57106d18b7.png"/><Relationship Id="rId19" Type="http://schemas.openxmlformats.org/officeDocument/2006/relationships/image" Target="media/770aba23244545f23e3299765c9f16016496fcc8.png"/><Relationship Id="rId20" Type="http://schemas.openxmlformats.org/officeDocument/2006/relationships/image" Target="media/7b6eccb333c140eaa62621922f451f26c0eb6547.png"/><Relationship Id="rId21" Type="http://schemas.openxmlformats.org/officeDocument/2006/relationships/image" Target="media/f99d76cad2a3948f8379fd21a4ea1d72d37202df.png"/><Relationship Id="rId22" Type="http://schemas.openxmlformats.org/officeDocument/2006/relationships/image" Target="media/553381887cfb4778bcfabb92d01999ab06be9712.png"/><Relationship Id="rId23" Type="http://schemas.openxmlformats.org/officeDocument/2006/relationships/image" Target="media/83c7c240894a91a1c0499f9a1957c432eef15cf8.png"/><Relationship Id="rId24" Type="http://schemas.openxmlformats.org/officeDocument/2006/relationships/image" Target="media/7a8fb3033c5a01c833fdf215d418206c463dcb2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2026-09-08T18:26:12.710Z</dcterms:created>
  <dcterms:modified xsi:type="dcterms:W3CDTF">2026-09-08T18:26:12.713Z</dcterms:modified>
</cp:coreProperties>
</file>

<file path=docProps/custom.xml><?xml version="1.0" encoding="utf-8"?>
<Properties xmlns="http://schemas.openxmlformats.org/officeDocument/2006/custom-properties" xmlns:vt="http://schemas.openxmlformats.org/officeDocument/2006/docPropsVTypes"/>
</file>