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 w:line="264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TÉCNICO DE DISEÑO</w:t>
      </w:r>
    </w:p>
    <w:p>
      <w:pPr>
        <w:spacing w:after="0" w:before="150" w:line="264"/>
        <w:jc w:val="center"/>
      </w:pPr>
      <w:r>
        <w:rPr>
          <w:rFonts w:ascii="Arial" w:cs="Arial" w:eastAsia="Arial" w:hAnsi="Arial"/>
          <w:color w:val="2E5496"/>
          <w:sz w:val="26"/>
          <w:szCs w:val="26"/>
        </w:rPr>
        <w:t xml:space="preserve">Proyecto INVENTRA — Aplicación web de inventario y ventas para licoreras</w:t>
      </w:r>
    </w:p>
    <w:p>
      <w:pPr>
        <w:spacing w:after="0" w:before="2600" w:line="264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CRISTIAN DARÍO MACÍAS ESPITIA</w:t>
      </w:r>
    </w:p>
    <w:p>
      <w:pPr>
        <w:spacing w:after="0" w:before="270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SERVICIO NACIONAL DE APRENDIZAJE (SENA)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CENTRO DE FORMACIÓN EN DISEÑO, CONFECCIÓN Y MODA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ANÁLISIS Y DESARROLLO DE SOFTWARE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MEDELLÍN</w:t>
      </w:r>
    </w:p>
    <w:p>
      <w:pPr>
        <w:spacing w:after="0" w:before="70" w:line="264"/>
        <w:jc w:val="center"/>
      </w:pPr>
      <w:r>
        <w:rPr>
          <w:rFonts w:ascii="Arial" w:cs="Arial" w:eastAsia="Arial" w:hAnsi="Arial"/>
          <w:sz w:val="26"/>
          <w:szCs w:val="26"/>
        </w:rPr>
        <w:t xml:space="preserve">2026</w:t>
      </w:r>
    </w:p>
    <w:p>
      <w:pPr>
        <w:pageBreakBefore/>
        <w:spacing w:after="20" w:before="12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Ficha del documento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500"/>
        <w:gridCol w:w="1200"/>
        <w:gridCol w:w="3400"/>
        <w:gridCol w:w="326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Revisión</w:t>
            </w:r>
          </w:p>
        </w:tc>
        <w:tc>
          <w:tcPr>
            <w:tcW w:type="dxa" w:w="3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32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Basado en</w:t>
            </w:r>
          </w:p>
        </w:tc>
      </w:tr>
      <w:tr>
        <w:trPr>
          <w:tblHeader w:val="false"/>
        </w:trPr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09/09/2026</w:t>
            </w:r>
          </w:p>
        </w:tc>
        <w:tc>
          <w:tcPr>
            <w:tcW w:type="dxa" w:w="1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Cristian Darío Macías Espitia</w:t>
            </w:r>
          </w:p>
        </w:tc>
        <w:tc>
          <w:tcPr>
            <w:tcW w:type="dxa" w:w="32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Paleta INVENTRA, prototipo y ERS (rev.1)</w:t>
            </w:r>
          </w:p>
        </w:tc>
      </w:tr>
    </w:tbl>
    <w:p>
      <w:pPr>
        <w:pageBreakBefore/>
        <w:spacing w:after="15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Tabla de contenido</w:t>
      </w:r>
    </w:p>
    <w:p>
      <w:pPr>
        <w:tabs>
          <w:tab w:val="right" w:pos="9200" w:leader="dot"/>
        </w:tabs>
        <w:spacing w:after="40" w:line="252"/>
      </w:pPr>
      <w:hyperlink w:history="1" w:anchor="bm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1. Introducción, objetivo y alcance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2. Principios de diseño y experiencia de usuario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3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3. Accesibilidad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bm3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4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4. Identidad visual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bm4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5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4.1 Paleta de colores — modo claro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4.2 Paleta de colores — modo oscuro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4.3 Uso del color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4.4 Tipografía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bm8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9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4.5 Iconografía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bm9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0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5. Rejilla, espaciado y puntos de quiebre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bm10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1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5.1 Espaciado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5.2 Rejilla y radios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5.3 Puntos de quiebre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bm13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14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6. Componentes comunes de la interfaz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bm14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5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6.1 Estados de los componentes interactivos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bm15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6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6.2 Botones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bm16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7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6.3 Campos de formulario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bm17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8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6.4 Mensajes, alertas y etiquetas de estado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bm18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19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6.5 Navegación, tarjetas y tablas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bm19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0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6.6 Ventanas de confirmación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bm20</w:instrText>
        <w:fldChar w:fldCharType="end"/>
      </w:r>
    </w:p>
    <w:p>
      <w:pPr>
        <w:tabs>
          <w:tab w:val="right" w:pos="9200" w:leader="dot"/>
        </w:tabs>
        <w:spacing w:after="40" w:line="252"/>
      </w:pPr>
      <w:hyperlink w:history="1" w:anchor="bm21">
        <w:r>
          <w:rPr>
            <w:rFonts w:ascii="Arial" w:cs="Arial" w:eastAsia="Arial" w:hAnsi="Arial"/>
            <w:b/>
            <w:bCs/>
            <w:color w:val="1F3864"/>
            <w:sz w:val="21"/>
            <w:szCs w:val="21"/>
          </w:rPr>
          <w:t xml:space="preserve">7. Formularios de autenticación y registro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bm21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2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7.1 Inicio de sesión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bm22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3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7.2 Registro de la licorería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bm23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4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7.3 Recuperación de contraseña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bm24</w:instrText>
        <w:fldChar w:fldCharType="end"/>
      </w:r>
    </w:p>
    <w:p>
      <w:pPr>
        <w:tabs>
          <w:tab w:val="right" w:pos="9200" w:leader="dot"/>
        </w:tabs>
        <w:spacing w:after="40" w:line="252"/>
        <w:ind w:left="360"/>
      </w:pPr>
      <w:hyperlink w:history="1" w:anchor="bm25">
        <w:r>
          <w:rPr>
            <w:rFonts w:ascii="Arial" w:cs="Arial" w:eastAsia="Arial" w:hAnsi="Arial"/>
            <w:b w:val="false"/>
            <w:bCs w:val="false"/>
            <w:color w:val="1F3864"/>
            <w:sz w:val="20"/>
            <w:szCs w:val="20"/>
          </w:rPr>
          <w:t xml:space="preserve">7.4 Validaciones y mensajes</w:t>
        </w:r>
      </w:hyperlink>
      <w:r>
        <w:rPr>
          <w:rFonts w:ascii="Arial" w:cs="Arial" w:eastAsia="Arial" w:hAnsi="Arial"/>
          <w:sz w:val="20"/>
          <w:szCs w:val="20"/>
        </w:rPr>
        <w:t xml:space="preserve">	</w:t>
      </w:r>
      <w:r>
        <w:fldChar w:fldCharType="begin" w:dirty="true"/>
        <w:instrText xml:space="preserve">PAGEREF bm25</w:instrText>
        <w:fldChar w:fldCharType="end"/>
      </w:r>
    </w:p>
    <w:p>
      <w:pPr>
        <w:pStyle w:val="Heading1"/>
        <w:spacing w:after="110" w:before="220"/>
      </w:pPr>
      <w:bookmarkStart w:name="bm1" w:id="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1. Introducción, objetivo y alcance</w:t>
      </w:r>
      <w:bookmarkEnd w:id="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define el sistema de diseño de la interfaz de INVENTRA para las plataformas web y móvil. Reúne la identidad visual, los componentes reutilizables, las pautas de accesibilidad y de experiencia de usuario, y las pantallas principales de la aplicación. Su propósito es servir de guía para la etapa de construcción y garantizar una interfaz coherente en todo el producto.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Objetivo. </w:t>
      </w:r>
      <w:r>
        <w:rPr>
          <w:rFonts w:ascii="Arial" w:cs="Arial" w:eastAsia="Arial" w:hAnsi="Arial"/>
          <w:sz w:val="22"/>
          <w:szCs w:val="22"/>
        </w:rPr>
        <w:t xml:space="preserve">Establecer los lineamientos visuales y de interacción que orientan el desarrollo de la interfaz, de modo que las pantallas mantengan una apariencia y un comportamiento uniformes.</w:t>
      </w:r>
    </w:p>
    <w:p>
      <w:pPr>
        <w:spacing w:after="110" w:line="262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Alcance. </w:t>
      </w:r>
      <w:r>
        <w:rPr>
          <w:rFonts w:ascii="Arial" w:cs="Arial" w:eastAsia="Arial" w:hAnsi="Arial"/>
          <w:sz w:val="22"/>
          <w:szCs w:val="22"/>
        </w:rPr>
        <w:t xml:space="preserve">Cubre la aplicación web y su versión móvil. Se apoya en la especificación de requisitos (IEEE 830), en el modelo de datos (MER y diccionario) y en el prototipo de INVENTRA. No incluye la implementación del código, que corresponde a la etapa de construcción.</w:t>
      </w:r>
    </w:p>
    <w:p>
      <w:pPr>
        <w:pStyle w:val="Heading1"/>
        <w:pageBreakBefore/>
        <w:spacing w:after="110" w:before="220"/>
      </w:pPr>
      <w:bookmarkStart w:name="bm2" w:id="2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2. Principios de diseño y experiencia de usuario</w:t>
      </w:r>
      <w:bookmarkEnd w:id="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usuarios de INVENTRA son propietarios y vendedores de licorerías, con distinto nivel de manejo de herramientas tecnológicas. El diseño prioriza la sencillez y la rapidez de uso, especialmente en el punto de venta. Se adoptan los siguientes principios: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Claridad. </w:t>
      </w:r>
      <w:r>
        <w:rPr>
          <w:rFonts w:ascii="Arial" w:cs="Arial" w:eastAsia="Arial" w:hAnsi="Arial"/>
          <w:sz w:val="22"/>
          <w:szCs w:val="22"/>
        </w:rPr>
        <w:t xml:space="preserve">Interfaces simples y directas, sin elementos innecesarios.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Consistencia. </w:t>
      </w:r>
      <w:r>
        <w:rPr>
          <w:rFonts w:ascii="Arial" w:cs="Arial" w:eastAsia="Arial" w:hAnsi="Arial"/>
          <w:sz w:val="22"/>
          <w:szCs w:val="22"/>
        </w:rPr>
        <w:t xml:space="preserve">Los mismos patrones y componentes se repiten en toda la aplicación.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Eficiencia. </w:t>
      </w:r>
      <w:r>
        <w:rPr>
          <w:rFonts w:ascii="Arial" w:cs="Arial" w:eastAsia="Arial" w:hAnsi="Arial"/>
          <w:sz w:val="22"/>
          <w:szCs w:val="22"/>
        </w:rPr>
        <w:t xml:space="preserve">Flujos cortos y con el menor número de pasos, sobre todo en el registro de ventas.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Prevención de errores. </w:t>
      </w:r>
      <w:r>
        <w:rPr>
          <w:rFonts w:ascii="Arial" w:cs="Arial" w:eastAsia="Arial" w:hAnsi="Arial"/>
          <w:sz w:val="22"/>
          <w:szCs w:val="22"/>
        </w:rPr>
        <w:t xml:space="preserve">Validaciones y confirmaciones en las acciones sensibles (anular, restaurar, inactivar).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Jerarquía visual. </w:t>
      </w:r>
      <w:r>
        <w:rPr>
          <w:rFonts w:ascii="Arial" w:cs="Arial" w:eastAsia="Arial" w:hAnsi="Arial"/>
          <w:sz w:val="22"/>
          <w:szCs w:val="22"/>
        </w:rPr>
        <w:t xml:space="preserve">La información y las acciones más importantes se destacan primero.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Retroalimentación. </w:t>
      </w:r>
      <w:r>
        <w:rPr>
          <w:rFonts w:ascii="Arial" w:cs="Arial" w:eastAsia="Arial" w:hAnsi="Arial"/>
          <w:sz w:val="22"/>
          <w:szCs w:val="22"/>
        </w:rPr>
        <w:t xml:space="preserve">El sistema informa siempre el resultado de cada acción (éxito, error o proceso en curso).</w:t>
      </w:r>
    </w:p>
    <w:p>
      <w:pPr>
        <w:pStyle w:val="Heading1"/>
        <w:pageBreakBefore/>
        <w:spacing w:after="110" w:before="220"/>
      </w:pPr>
      <w:bookmarkStart w:name="bm3" w:id="3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3. Accesibilidad</w:t>
      </w:r>
      <w:bookmarkEnd w:id="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interfaz se diseña para ser usable por la mayor cantidad de personas posible, tomando como referencia las pautas WCAG 2.1 en su nivel AA: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Contraste. </w:t>
      </w:r>
      <w:r>
        <w:rPr>
          <w:rFonts w:ascii="Arial" w:cs="Arial" w:eastAsia="Arial" w:hAnsi="Arial"/>
          <w:sz w:val="22"/>
          <w:szCs w:val="22"/>
        </w:rPr>
        <w:t xml:space="preserve">Se mantiene un contraste suficiente entre el texto y su fondo para que la lectura sea cómoda.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Tamaños táctiles. </w:t>
      </w:r>
      <w:r>
        <w:rPr>
          <w:rFonts w:ascii="Arial" w:cs="Arial" w:eastAsia="Arial" w:hAnsi="Arial"/>
          <w:sz w:val="22"/>
          <w:szCs w:val="22"/>
        </w:rPr>
        <w:t xml:space="preserve">En la versión móvil, los botones y campos tienen un área de toque amplia.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Foco visible. </w:t>
      </w:r>
      <w:r>
        <w:rPr>
          <w:rFonts w:ascii="Arial" w:cs="Arial" w:eastAsia="Arial" w:hAnsi="Arial"/>
          <w:sz w:val="22"/>
          <w:szCs w:val="22"/>
        </w:rPr>
        <w:t xml:space="preserve">Los elementos interactivos muestran claramente cuándo están enfocados.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Operación por teclado. </w:t>
      </w:r>
      <w:r>
        <w:rPr>
          <w:rFonts w:ascii="Arial" w:cs="Arial" w:eastAsia="Arial" w:hAnsi="Arial"/>
          <w:sz w:val="22"/>
          <w:szCs w:val="22"/>
        </w:rPr>
        <w:t xml:space="preserve">Los formularios y las acciones se pueden completar usando el teclado.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Etiquetas y textos alternativos. </w:t>
      </w:r>
      <w:r>
        <w:rPr>
          <w:rFonts w:ascii="Arial" w:cs="Arial" w:eastAsia="Arial" w:hAnsi="Arial"/>
          <w:sz w:val="22"/>
          <w:szCs w:val="22"/>
        </w:rPr>
        <w:t xml:space="preserve">Cada campo tiene su etiqueta y los iconos con significado incluyen una descripción.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Mensajes comprensibles. </w:t>
      </w:r>
      <w:r>
        <w:rPr>
          <w:rFonts w:ascii="Arial" w:cs="Arial" w:eastAsia="Arial" w:hAnsi="Arial"/>
          <w:sz w:val="22"/>
          <w:szCs w:val="22"/>
        </w:rPr>
        <w:t xml:space="preserve">Los errores se explican en lenguaje sencillo e indican cómo corregirlos.</w:t>
      </w:r>
    </w:p>
    <w:p>
      <w:pPr>
        <w:pStyle w:val="Heading1"/>
        <w:pageBreakBefore/>
        <w:spacing w:after="110" w:before="220"/>
      </w:pPr>
      <w:bookmarkStart w:name="bm4" w:id="4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4. Identidad visual</w:t>
      </w:r>
      <w:bookmarkEnd w:id="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identidad visual de INVENTRA se basa en una paleta sobria y profesional, con un color de acción (CTA) que resalta las acciones principales. La paleta cuenta con una variante clara y una oscura, que comparten los mismos roles.</w:t>
      </w:r>
    </w:p>
    <w:p>
      <w:pPr>
        <w:pStyle w:val="Heading2"/>
        <w:spacing w:after="80" w:before="150"/>
      </w:pPr>
      <w:bookmarkStart w:name="bm5" w:id="5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4.1 Paleta de colores — modo claro</w:t>
      </w:r>
      <w:bookmarkEnd w:id="5"/>
    </w:p>
    <w:p>
      <w:pPr>
        <w:spacing w:after="20" w:before="60"/>
        <w:jc w:val="center"/>
      </w:pPr>
      <w:r>
        <w:drawing>
          <wp:inline distT="0" distB="0" distL="0" distR="0">
            <wp:extent cx="5905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1. Paleta de colores en modo claro. Fuente: del autor.</w:t>
      </w:r>
    </w:p>
    <w:p>
      <w:pPr>
        <w:pStyle w:val="Heading2"/>
        <w:spacing w:after="80" w:before="150"/>
      </w:pPr>
      <w:bookmarkStart w:name="bm6" w:id="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4.2 Paleta de colores — modo oscuro</w:t>
      </w:r>
      <w:bookmarkEnd w:id="6"/>
    </w:p>
    <w:p>
      <w:pPr>
        <w:spacing w:after="20" w:before="60"/>
        <w:jc w:val="center"/>
      </w:pPr>
      <w:r>
        <w:drawing>
          <wp:inline distT="0" distB="0" distL="0" distR="0">
            <wp:extent cx="5334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2. Paleta de colores en modo oscuro. Fuente: del autor.</w:t>
      </w:r>
    </w:p>
    <w:p>
      <w:pPr>
        <w:pStyle w:val="Heading2"/>
        <w:spacing w:after="80" w:before="150"/>
      </w:pPr>
      <w:bookmarkStart w:name="bm7" w:id="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4.3 Uso del color</w:t>
      </w:r>
      <w:bookmarkEnd w:id="7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Cada color cumple una función definida para conservar la coherencia y el significado en toda la aplicación: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67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Azul primario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Encabezados, barra de navegación y elementos de marca.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Azul secundario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Acentos, enlaces y elementos destacados secundarios.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CTA (verde)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Únicamente la acción principal de cada pantalla (guardar, registrar venta, confirmar).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Fondo y superficie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Fondo general y superficies de tarjetas y paneles.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Borde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Separadores y contornos de campos y tarjetas.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y texto secundario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principal y texto de apoyo o descripciones.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Advertencia</w:t>
            </w:r>
          </w:p>
        </w:tc>
        <w:tc>
          <w:tcPr>
            <w:tcW w:type="dxa" w:w="6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Alertas de stock bajo y avisos preventivos.</w:t>
            </w:r>
          </w:p>
        </w:tc>
      </w:tr>
      <w:tr>
        <w:trPr>
          <w:tblHeader w:val="false"/>
        </w:trPr>
        <w:tc>
          <w:tcPr>
            <w:tcW w:type="dxa" w:w="2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Peligro</w:t>
            </w:r>
          </w:p>
        </w:tc>
        <w:tc>
          <w:tcPr>
            <w:tcW w:type="dxa" w:w="6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Acciones destructivas o de riesgo (anular, eliminar).</w:t>
            </w:r>
          </w:p>
        </w:tc>
      </w:tr>
    </w:tbl>
    <w:p>
      <w:pPr>
        <w:pStyle w:val="Heading2"/>
        <w:spacing w:after="80" w:before="150"/>
      </w:pPr>
      <w:bookmarkStart w:name="bm8" w:id="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4.4 Tipografía</w:t>
      </w:r>
      <w:bookmarkEnd w:id="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familia tipográfica es Inter, por su legibilidad en pantalla. Se define la siguiente escala: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400"/>
        <w:gridCol w:w="1500"/>
        <w:gridCol w:w="1700"/>
        <w:gridCol w:w="376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Estilo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Tamaño</w:t>
            </w:r>
          </w:p>
        </w:tc>
        <w:tc>
          <w:tcPr>
            <w:tcW w:type="dxa" w:w="1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Peso</w:t>
            </w:r>
          </w:p>
        </w:tc>
        <w:tc>
          <w:tcPr>
            <w:tcW w:type="dxa" w:w="37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 principal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Negrita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Títulos de portada y de pantalla.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Título de sección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22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Negrita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Encabezados de sección.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Subtítulo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Seminegrita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Subtítulos y agrupaciones.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Cuerpo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Regular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general y contenido de formularios.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Texto secundario</w:t>
            </w:r>
          </w:p>
        </w:tc>
        <w:tc>
          <w:tcPr>
            <w:tcW w:type="dxa" w:w="15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 px</w:t>
            </w:r>
          </w:p>
        </w:tc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Regular</w:t>
            </w:r>
          </w:p>
        </w:tc>
        <w:tc>
          <w:tcPr>
            <w:tcW w:type="dxa" w:w="37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Descripciones, ayudas y notas.</w:t>
            </w:r>
          </w:p>
        </w:tc>
      </w:tr>
      <w:tr>
        <w:trPr>
          <w:tblHeader w:val="false"/>
        </w:trPr>
        <w:tc>
          <w:tcPr>
            <w:tcW w:type="dxa" w:w="24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Etiqueta</w:t>
            </w:r>
          </w:p>
        </w:tc>
        <w:tc>
          <w:tcPr>
            <w:tcW w:type="dxa" w:w="15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px</w:t>
            </w:r>
          </w:p>
        </w:tc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Media</w:t>
            </w:r>
          </w:p>
        </w:tc>
        <w:tc>
          <w:tcPr>
            <w:tcW w:type="dxa" w:w="37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Etiquetas de campos y badges.</w:t>
            </w:r>
          </w:p>
        </w:tc>
      </w:tr>
    </w:tbl>
    <w:p>
      <w:pPr>
        <w:pStyle w:val="Heading2"/>
        <w:spacing w:after="80" w:before="150"/>
      </w:pPr>
      <w:bookmarkStart w:name="bm9" w:id="9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4.5 Iconografía</w:t>
      </w:r>
      <w:bookmarkEnd w:id="9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Se emplean iconos de línea (estilo lineal, en formato vectorial SVG), con un trazo uniforme y un tamaño base coherente con el texto que acompañan. Los iconos con significado incluyen una etiqueta o descripción para no depender solo del símbolo.</w:t>
      </w:r>
    </w:p>
    <w:p>
      <w:pPr>
        <w:pStyle w:val="Heading1"/>
        <w:pageBreakBefore/>
        <w:spacing w:after="110" w:before="220"/>
      </w:pPr>
      <w:bookmarkStart w:name="bm10" w:id="10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5. Rejilla, espaciado y puntos de quiebre</w:t>
      </w:r>
      <w:bookmarkEnd w:id="10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disposición de los elementos se apoya en una rejilla y en una escala de espaciado uniforme, para dar orden y ritmo visual a las pantallas.</w:t>
      </w:r>
    </w:p>
    <w:p>
      <w:pPr>
        <w:pStyle w:val="Heading2"/>
        <w:spacing w:after="80" w:before="150"/>
      </w:pPr>
      <w:bookmarkStart w:name="bm11" w:id="11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5.1 Espaciado</w:t>
      </w:r>
      <w:bookmarkEnd w:id="1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espaciado se basa en una escala de múltiplos de cuatro, lo que mantiene proporciones consistentes entre los elementos: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71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 habitual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px / 8 px</w:t>
            </w:r>
          </w:p>
        </w:tc>
        <w:tc>
          <w:tcPr>
            <w:tcW w:type="dxa" w:w="7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Separaciones internas pequeñas (icono y texto, campos).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 px / 16 px</w:t>
            </w:r>
          </w:p>
        </w:tc>
        <w:tc>
          <w:tcPr>
            <w:tcW w:type="dxa" w:w="7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Separación entre elementos de un grupo y relleno de tarjetas.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 px / 32 px</w:t>
            </w:r>
          </w:p>
        </w:tc>
        <w:tc>
          <w:tcPr>
            <w:tcW w:type="dxa" w:w="7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Separación entre secciones y márgenes de contenido.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 px</w:t>
            </w:r>
          </w:p>
        </w:tc>
        <w:tc>
          <w:tcPr>
            <w:tcW w:type="dxa" w:w="7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Espacios amplios entre bloques principales.</w:t>
            </w:r>
          </w:p>
        </w:tc>
      </w:tr>
    </w:tbl>
    <w:p>
      <w:pPr>
        <w:pStyle w:val="Heading2"/>
        <w:spacing w:after="80" w:before="150"/>
      </w:pPr>
      <w:bookmarkStart w:name="bm12" w:id="1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5.2 Rejilla y radios</w:t>
      </w:r>
      <w:bookmarkEnd w:id="1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En la versión web se usa una rejilla de doce columnas con márgenes laterales; en móvil, una sola columna fluida. Las tarjetas y los botones emplean esquinas redondeadas suaves y sombras sutiles para diferenciar las superficies y dar sensación de profundidad.</w:t>
      </w:r>
    </w:p>
    <w:p>
      <w:pPr>
        <w:pStyle w:val="Heading2"/>
        <w:spacing w:after="80" w:before="150"/>
      </w:pPr>
      <w:bookmarkStart w:name="bm13" w:id="1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5.3 Puntos de quiebre</w:t>
      </w:r>
      <w:bookmarkEnd w:id="1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interfaz es responsiva y se adapta a distintos tamaños de pantalla: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2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Ancho</w:t>
            </w:r>
          </w:p>
        </w:tc>
        <w:tc>
          <w:tcPr>
            <w:tcW w:type="dxa" w:w="49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Comportamiento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Móvil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Hasta 480 px</w:t>
            </w:r>
          </w:p>
        </w:tc>
        <w:tc>
          <w:tcPr>
            <w:tcW w:type="dxa" w:w="4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Una columna; navegación inferior; controles amplios.</w:t>
            </w:r>
          </w:p>
        </w:tc>
      </w:tr>
      <w:tr>
        <w:trPr>
          <w:tblHeader w:val="false"/>
        </w:trPr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Tablet</w:t>
            </w:r>
          </w:p>
        </w:tc>
        <w:tc>
          <w:tcPr>
            <w:tcW w:type="dxa" w:w="22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481 a 1024 px</w:t>
            </w:r>
          </w:p>
        </w:tc>
        <w:tc>
          <w:tcPr>
            <w:tcW w:type="dxa" w:w="49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Dos columnas; navegación lateral colapsable.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Escritorio</w:t>
            </w:r>
          </w:p>
        </w:tc>
        <w:tc>
          <w:tcPr>
            <w:tcW w:type="dxa" w:w="22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1025 px en adelante</w:t>
            </w:r>
          </w:p>
        </w:tc>
        <w:tc>
          <w:tcPr>
            <w:tcW w:type="dxa" w:w="49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Rejilla completa; navegación lateral fija.</w:t>
            </w:r>
          </w:p>
        </w:tc>
      </w:tr>
    </w:tbl>
    <w:p>
      <w:pPr>
        <w:pStyle w:val="Heading1"/>
        <w:pageBreakBefore/>
        <w:spacing w:after="110" w:before="220"/>
      </w:pPr>
      <w:bookmarkStart w:name="bm14" w:id="14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6. Componentes comunes de la interfaz</w:t>
      </w:r>
      <w:bookmarkEnd w:id="1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interfaz se construye a partir de un conjunto reducido de componentes reutilizables. Cada componente tiene una función definida, una apariencia única en toda la aplicación y un comportamiento previsible frente a la acción del usuario. Esta sección describe los componentes base, sus variantes y los estados en que puede encontrarse cada uno.</w:t>
      </w:r>
    </w:p>
    <w:p>
      <w:pPr>
        <w:pStyle w:val="Heading2"/>
        <w:spacing w:after="80" w:before="150"/>
      </w:pPr>
      <w:bookmarkStart w:name="bm15" w:id="15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6.1 Estados de los componentes interactivos</w:t>
      </w:r>
      <w:bookmarkEnd w:id="15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Todo elemento con el que el usuario puede interactuar cambia de apariencia según su situación. Los estados son los mismos para botones, campos, enlaces y elementos de navegación, de modo que el comportamiento resulte reconocible en cualquier pantalla: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700"/>
        <w:gridCol w:w="4000"/>
        <w:gridCol w:w="366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  <w:tc>
          <w:tcPr>
            <w:tcW w:type="dxa" w:w="4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Cuándo se presenta</w:t>
            </w:r>
          </w:p>
        </w:tc>
        <w:tc>
          <w:tcPr>
            <w:tcW w:type="dxa" w:w="36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Señal visual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Normal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elemento está disponible y en reposo.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Color y borde definidos para su variante.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Puntero encima</w:t>
            </w:r>
          </w:p>
        </w:tc>
        <w:tc>
          <w:tcPr>
            <w:tcW w:type="dxa" w:w="4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cursor se sitúa sobre el elemento.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color de fondo se oscurece ligeramente.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Foco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elemento se selecciona con el teclado o al escribir en él.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Anillo de foco en azul secundario alrededor del elemento.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Presionado</w:t>
            </w:r>
          </w:p>
        </w:tc>
        <w:tc>
          <w:tcPr>
            <w:tcW w:type="dxa" w:w="4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mantiene pulsado el elemento.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Tono más oscuro y leve reducción de la sombra.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Deshabilitado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acción no está permitida en ese momento.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Colores atenuados y cursor no disponible.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proceso</w:t>
            </w:r>
          </w:p>
        </w:tc>
        <w:tc>
          <w:tcPr>
            <w:tcW w:type="dxa" w:w="40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acción se está ejecutando.</w:t>
            </w:r>
          </w:p>
        </w:tc>
        <w:tc>
          <w:tcPr>
            <w:tcW w:type="dxa" w:w="36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Indicador de carga y bloqueo temporal del botón.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</w:t>
            </w:r>
          </w:p>
        </w:tc>
        <w:tc>
          <w:tcPr>
            <w:tcW w:type="dxa" w:w="40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dato ingresado no cumple una validación.</w:t>
            </w:r>
          </w:p>
        </w:tc>
        <w:tc>
          <w:tcPr>
            <w:tcW w:type="dxa" w:w="36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Borde en color de peligro y mensaje explicativo.</w:t>
            </w:r>
          </w:p>
        </w:tc>
      </w:tr>
    </w:tbl>
    <w:p>
      <w:pPr>
        <w:pStyle w:val="Heading2"/>
        <w:spacing w:after="80" w:before="150"/>
      </w:pPr>
      <w:bookmarkStart w:name="bm16" w:id="16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6.2 Botones</w:t>
      </w:r>
      <w:bookmarkEnd w:id="16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botones concentran las acciones de cada pantalla. Se definen cuatro variantes, diferenciadas por su importancia dentro del flujo: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700"/>
        <w:gridCol w:w="4600"/>
        <w:gridCol w:w="306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Variante</w:t>
            </w:r>
          </w:p>
        </w:tc>
        <w:tc>
          <w:tcPr>
            <w:tcW w:type="dxa" w:w="46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0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Primario</w:t>
            </w:r>
          </w:p>
        </w:tc>
        <w:tc>
          <w:tcPr>
            <w:tcW w:type="dxa" w:w="4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Acción principal de la pantalla: registrar venta, guardar, confirmar.</w:t>
            </w:r>
          </w:p>
        </w:tc>
        <w:tc>
          <w:tcPr>
            <w:tcW w:type="dxa" w:w="30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CTA verde con texto blanco.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Secundario</w:t>
            </w:r>
          </w:p>
        </w:tc>
        <w:tc>
          <w:tcPr>
            <w:tcW w:type="dxa" w:w="4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Acciones de apoyo: cancelar, volver, exportar.</w:t>
            </w:r>
          </w:p>
        </w:tc>
        <w:tc>
          <w:tcPr>
            <w:tcW w:type="dxa" w:w="30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Fondo claro con borde y texto en azul secundario.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 texto</w:t>
            </w:r>
          </w:p>
        </w:tc>
        <w:tc>
          <w:tcPr>
            <w:tcW w:type="dxa" w:w="46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Acciones de baja jerarquía y enlaces dentro de un bloque.</w:t>
            </w:r>
          </w:p>
        </w:tc>
        <w:tc>
          <w:tcPr>
            <w:tcW w:type="dxa" w:w="30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fondo ni borde, texto en azul secundario.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 peligro</w:t>
            </w:r>
          </w:p>
        </w:tc>
        <w:tc>
          <w:tcPr>
            <w:tcW w:type="dxa" w:w="46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Acciones destructivas o irreversibles: anular, eliminar.</w:t>
            </w:r>
          </w:p>
        </w:tc>
        <w:tc>
          <w:tcPr>
            <w:tcW w:type="dxa" w:w="30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Rojo de peligro con texto blanco.</w:t>
            </w:r>
          </w:p>
        </w:tc>
      </w:tr>
    </w:tbl>
    <w:p>
      <w:pPr>
        <w:spacing w:after="20" w:before="6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3. Variantes de botón y sus estados. Fuente: del autor.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Reglas de uso: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Cada pantalla tiene una sola acción principal, expresada con un botón primario.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etiqueta del botón nombra la acción que ejecuta (Guardar producto, Cobrar, Anular venta) y no expresiones genéricas.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En formularios y en la versión móvil el botón principal ocupa el ancho disponible.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Las acciones destructivas usan la variante de peligro y siempre solicitan confirmación.</w:t>
      </w:r>
    </w:p>
    <w:p>
      <w:pPr>
        <w:pStyle w:val="Heading2"/>
        <w:spacing w:after="80" w:before="150"/>
      </w:pPr>
      <w:bookmarkStart w:name="bm17" w:id="17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6.3 Campos de formulario</w:t>
      </w:r>
      <w:bookmarkEnd w:id="17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Los campos comparten una misma estructura: etiqueta visible sobre el control, área de captura de altura uniforme y, debajo, el texto de ayuda o el mensaje de validación. La etiqueta no se reemplaza por el texto de ejemplo interno, que desaparece al escribir.</w:t>
      </w:r>
    </w:p>
    <w:p>
      <w:pPr>
        <w:spacing w:after="20" w:before="60"/>
        <w:jc w:val="center"/>
      </w:pPr>
      <w:r>
        <w:drawing>
          <wp:inline distT="0" distB="0" distL="0" distR="0">
            <wp:extent cx="59055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4. Estados del campo de texto. Fuente: del autor.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Normal. </w:t>
      </w:r>
      <w:r>
        <w:rPr>
          <w:rFonts w:ascii="Arial" w:cs="Arial" w:eastAsia="Arial" w:hAnsi="Arial"/>
          <w:sz w:val="22"/>
          <w:szCs w:val="22"/>
        </w:rPr>
        <w:t xml:space="preserve">Borde neutro y texto de ejemplo en gris; el texto de ayuda describe el formato esperado.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Enfocado. </w:t>
      </w:r>
      <w:r>
        <w:rPr>
          <w:rFonts w:ascii="Arial" w:cs="Arial" w:eastAsia="Arial" w:hAnsi="Arial"/>
          <w:sz w:val="22"/>
          <w:szCs w:val="22"/>
        </w:rPr>
        <w:t xml:space="preserve">Borde en azul secundario y anillo de foco, visible también al navegar con el teclado.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 error. </w:t>
      </w:r>
      <w:r>
        <w:rPr>
          <w:rFonts w:ascii="Arial" w:cs="Arial" w:eastAsia="Arial" w:hAnsi="Arial"/>
          <w:sz w:val="22"/>
          <w:szCs w:val="22"/>
        </w:rPr>
        <w:t xml:space="preserve">Borde en color de peligro y mensaje que indica la causa y la forma de corregirla.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Deshabilitado. </w:t>
      </w:r>
      <w:r>
        <w:rPr>
          <w:rFonts w:ascii="Arial" w:cs="Arial" w:eastAsia="Arial" w:hAnsi="Arial"/>
          <w:sz w:val="22"/>
          <w:szCs w:val="22"/>
        </w:rPr>
        <w:t xml:space="preserve">Fondo atenuado y contenido no editable; se emplea cuando el dato depende de otra selección.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Además del campo de texto, se emplean listas desplegables, campos numéricos, selectores de fecha, casillas de verificación y el buscador con filtros. Todos conservan la misma altura, el mismo radio de esquina y los mismos estados.</w:t>
      </w:r>
    </w:p>
    <w:p>
      <w:pPr>
        <w:pStyle w:val="Heading2"/>
        <w:spacing w:after="80" w:before="150"/>
      </w:pPr>
      <w:bookmarkStart w:name="bm18" w:id="18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6.4 Mensajes, alertas y etiquetas de estado</w:t>
      </w:r>
      <w:bookmarkEnd w:id="18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retroalimentación al usuario se entrega mediante mensajes de bloque, ubicados dentro del contenido, y avisos emergentes de corta duración para las confirmaciones. El color y el icono identifican el tipo de mensaje: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1700"/>
        <w:gridCol w:w="2300"/>
        <w:gridCol w:w="536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Color</w:t>
            </w:r>
          </w:p>
        </w:tc>
        <w:tc>
          <w:tcPr>
            <w:tcW w:type="dxa" w:w="53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Éxito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CTA verde</w:t>
            </w:r>
          </w:p>
        </w:tc>
        <w:tc>
          <w:tcPr>
            <w:tcW w:type="dxa" w:w="5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Confirma que la operación se completó.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Advertencia</w:t>
            </w:r>
          </w:p>
        </w:tc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Naranja de advertencia</w:t>
            </w:r>
          </w:p>
        </w:tc>
        <w:tc>
          <w:tcPr>
            <w:tcW w:type="dxa" w:w="5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Avisos de stock bajo y situaciones que requieren atención.</w:t>
            </w:r>
          </w:p>
        </w:tc>
      </w:tr>
      <w:tr>
        <w:trPr>
          <w:tblHeader w:val="false"/>
        </w:trPr>
        <w:tc>
          <w:tcPr>
            <w:tcW w:type="dxa" w:w="17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</w:t>
            </w:r>
          </w:p>
        </w:tc>
        <w:tc>
          <w:tcPr>
            <w:tcW w:type="dxa" w:w="23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Rojo de peligro</w:t>
            </w:r>
          </w:p>
        </w:tc>
        <w:tc>
          <w:tcPr>
            <w:tcW w:type="dxa" w:w="53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operación no pudo completarse e indica cómo continuar.</w:t>
            </w:r>
          </w:p>
        </w:tc>
      </w:tr>
      <w:tr>
        <w:trPr>
          <w:tblHeader w:val="false"/>
        </w:trPr>
        <w:tc>
          <w:tcPr>
            <w:tcW w:type="dxa" w:w="17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Información</w:t>
            </w:r>
          </w:p>
        </w:tc>
        <w:tc>
          <w:tcPr>
            <w:tcW w:type="dxa" w:w="23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Azul secundario</w:t>
            </w:r>
          </w:p>
        </w:tc>
        <w:tc>
          <w:tcPr>
            <w:tcW w:type="dxa" w:w="53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Datos de contexto, como el envío de una factura en ambiente de pruebas.</w:t>
            </w:r>
          </w:p>
        </w:tc>
      </w:tr>
    </w:tbl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Las etiquetas de estado identifican la situación de un registro dentro de las listas y los detalles. Se emplean los estados definidos en el modelo de datos: activo e inactivo para productos y usuarios, stock bajo y agotado para existencias, registrada y anulada para ventas, y activa o suspendida para la suscripción de la licorería.</w:t>
      </w:r>
    </w:p>
    <w:p>
      <w:pPr>
        <w:spacing w:after="20" w:before="60"/>
        <w:jc w:val="center"/>
      </w:pPr>
      <w:r>
        <w:drawing>
          <wp:inline distT="0" distB="0" distL="0" distR="0">
            <wp:extent cx="533400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5. Mensajes del sistema y etiquetas de estado. Fuente: del autor.</w:t>
      </w:r>
    </w:p>
    <w:p>
      <w:pPr>
        <w:pStyle w:val="Heading2"/>
        <w:spacing w:after="80" w:before="150"/>
      </w:pPr>
      <w:bookmarkStart w:name="bm19" w:id="19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6.5 Navegación, tarjetas y tablas</w:t>
      </w:r>
      <w:bookmarkEnd w:id="19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 estructura de la aplicación se apoya en tres componentes de disposición: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Navegación. </w:t>
      </w:r>
      <w:r>
        <w:rPr>
          <w:rFonts w:ascii="Arial" w:cs="Arial" w:eastAsia="Arial" w:hAnsi="Arial"/>
          <w:sz w:val="22"/>
          <w:szCs w:val="22"/>
        </w:rPr>
        <w:t xml:space="preserve">En escritorio, una barra lateral fija en azul primario con los módulos habilitados según el rol y el plan; en la parte superior, el título de la pantalla, las acciones de contexto y el acceso al perfil. En móvil, la navegación se traslada a la parte inferior.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Tarjetas de indicador. </w:t>
      </w:r>
      <w:r>
        <w:rPr>
          <w:rFonts w:ascii="Arial" w:cs="Arial" w:eastAsia="Arial" w:hAnsi="Arial"/>
          <w:sz w:val="22"/>
          <w:szCs w:val="22"/>
        </w:rPr>
        <w:t xml:space="preserve">Presentan una cifra principal con su descripción y la variación frente al periodo anterior. Se usan en el panel principal y en reportes.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Tablas. </w:t>
      </w:r>
      <w:r>
        <w:rPr>
          <w:rFonts w:ascii="Arial" w:cs="Arial" w:eastAsia="Arial" w:hAnsi="Arial"/>
          <w:sz w:val="22"/>
          <w:szCs w:val="22"/>
        </w:rPr>
        <w:t xml:space="preserve">Muestran los listados de productos, ventas y movimientos. Incluyen encabezado fijo, buscador, filtros rápidos, etiquetas de estado en la última columna y paginación cuando el volumen lo requiere.</w:t>
      </w:r>
    </w:p>
    <w:p>
      <w:pPr>
        <w:spacing w:after="20" w:before="60"/>
        <w:jc w:val="center"/>
      </w:pPr>
      <w:r>
        <w:drawing>
          <wp:inline distT="0" distB="0" distL="0" distR="0">
            <wp:extent cx="60960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6. Barra de navegación, tarjeta de indicador y tabla de listado. Fuente: del autor.</w:t>
      </w:r>
    </w:p>
    <w:p>
      <w:pPr>
        <w:pStyle w:val="Heading2"/>
        <w:spacing w:after="80" w:before="150"/>
      </w:pPr>
      <w:bookmarkStart w:name="bm20" w:id="20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6.6 Ventanas de confirmación</w:t>
      </w:r>
      <w:bookmarkEnd w:id="20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Las acciones sensibles se confirman en una ventana modal antes de ejecutarse. La ventana enuncia la acción en el título, explica su consecuencia en una frase y ofrece dos botones: uno secundario para cancelar y uno de peligro para continuar. El fondo de la pantalla se atenúa y la ventana se cierra con la tecla de escape o con la acción de cancelar.</w:t>
      </w:r>
    </w:p>
    <w:p>
      <w:pPr>
        <w:spacing w:after="20" w:before="60"/>
        <w:jc w:val="center"/>
      </w:pPr>
      <w:r>
        <w:drawing>
          <wp:inline distT="0" distB="0" distL="0" distR="0">
            <wp:extent cx="4762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7. Ventana de confirmación de una acción sensible. Fuente: del autor.</w:t>
      </w:r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Requieren confirmación, entre otras, la anulación de una venta, la inactivación de un producto o un usuario, el traslado de mercancía entre sedes y la restauración de una copia de seguridad.</w:t>
      </w:r>
    </w:p>
    <w:p>
      <w:pPr>
        <w:pStyle w:val="Heading1"/>
        <w:pageBreakBefore/>
        <w:spacing w:after="110" w:before="220"/>
      </w:pPr>
      <w:bookmarkStart w:name="bm21" w:id="21"/>
      <w:r>
        <w:rPr>
          <w:rFonts w:ascii="Arial" w:cs="Arial" w:eastAsia="Arial" w:hAnsi="Arial"/>
          <w:b/>
          <w:bCs/>
          <w:color w:val="1F3864"/>
          <w:sz w:val="27"/>
          <w:szCs w:val="27"/>
        </w:rPr>
        <w:t xml:space="preserve">7. Formularios de autenticación y registro</w:t>
      </w:r>
      <w:bookmarkEnd w:id="21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acceso a INVENTRA se realiza mediante una cuenta de usuario asociada a una licorería. Los formularios de autenticación y registro comparten una misma disposición: un panel de marca a la izquierda, con la propuesta de valor del producto, y el formulario a la derecha, con los campos estrictamente necesarios para completar la acción.</w:t>
      </w:r>
    </w:p>
    <w:p>
      <w:pPr>
        <w:pStyle w:val="Heading2"/>
        <w:spacing w:after="80" w:before="150"/>
      </w:pPr>
      <w:bookmarkStart w:name="bm22" w:id="22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7.1 Inicio de sesión</w:t>
      </w:r>
      <w:bookmarkEnd w:id="22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formulario solicita el correo electrónico y la contraseña. Incluye la opción de mantener la sesión iniciada, el enlace de recuperación de contraseña y el acceso al registro para quienes aún no tienen cuenta.</w:t>
      </w:r>
    </w:p>
    <w:p>
      <w:pPr>
        <w:spacing w:after="20" w:before="60"/>
        <w:jc w:val="center"/>
      </w:pPr>
      <w:r>
        <w:drawing>
          <wp:inline distT="0" distB="0" distL="0" distR="0">
            <wp:extent cx="6096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8. Pantalla de inicio de sesión. Fuente: del autor.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botón principal permanece deshabilitado mientras falte alguno de los dos campos.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Si las credenciales no coinciden, el mensaje es el mismo para el correo y para la contraseña, de modo que no se revele cuáles cuentas existen.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Tras varios intentos fallidos consecutivos la cuenta se bloquea de forma temporal y el formulario informa la situación.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Si la cuenta está inactiva o la suscripción se encuentra suspendida, el acceso se deniega con un mensaje que indica el motivo.</w:t>
      </w:r>
    </w:p>
    <w:p>
      <w:pPr>
        <w:pStyle w:val="Heading2"/>
        <w:spacing w:after="80" w:before="150"/>
      </w:pPr>
      <w:bookmarkStart w:name="bm23" w:id="23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7.2 Registro de la licorería</w:t>
      </w:r>
      <w:bookmarkEnd w:id="23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El registro crea al mismo tiempo la licorería y su primer usuario, con rol de administrador. Se piden únicamente cuatro datos: el nombre del negocio, el nombre y apellido del responsable, el correo electrónico y la contraseña.</w:t>
      </w:r>
    </w:p>
    <w:p>
      <w:pPr>
        <w:spacing w:after="20" w:before="60"/>
        <w:jc w:val="center"/>
      </w:pPr>
      <w:r>
        <w:drawing>
          <wp:inline distT="0" distB="0" distL="0" distR="0">
            <wp:extent cx="6096000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 w:before="6"/>
        <w:jc w:val="center"/>
      </w:pPr>
      <w:r>
        <w:rPr>
          <w:rFonts w:ascii="Arial" w:cs="Arial" w:eastAsia="Arial" w:hAnsi="Arial"/>
          <w:i/>
          <w:iCs/>
          <w:color w:val="5B6678"/>
          <w:sz w:val="18"/>
          <w:szCs w:val="18"/>
        </w:rPr>
        <w:t xml:space="preserve">Figura 9. Pantalla de registro de la licorería. Fuente: del autor.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El correo electrónico identifica al usuario y no puede estar registrado previamente.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La contraseña exige una longitud mínima de ocho caracteres; el campo permite mostrar u ocultar el contenido escrito.</w:t>
      </w:r>
    </w:p>
    <w:p>
      <w:pPr>
        <w:pStyle w:val="ListParagraph"/>
        <w:numPr>
          <w:ilvl w:val="0"/>
          <w:numId w:val="1"/>
        </w:numPr>
        <w:spacing w:after="60" w:line="258"/>
      </w:pPr>
      <w:r>
        <w:rPr>
          <w:rFonts w:ascii="Arial" w:cs="Arial" w:eastAsia="Arial" w:hAnsi="Arial"/>
          <w:sz w:val="22"/>
          <w:szCs w:val="22"/>
        </w:rPr>
        <w:t xml:space="preserve">Al completar el registro, la licorería queda asociada al plan Básico y el usuario ingresa directamente al panel principal.</w:t>
      </w:r>
    </w:p>
    <w:p>
      <w:pPr>
        <w:pStyle w:val="Heading2"/>
        <w:spacing w:after="80" w:before="150"/>
      </w:pPr>
      <w:bookmarkStart w:name="bm24" w:id="24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7.3 Recuperación de contraseña</w:t>
      </w:r>
      <w:bookmarkEnd w:id="24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Desde el inicio de sesión se accede a la recuperación de contraseña. El usuario ingresa su correo electrónico y recibe un enlace de vigencia limitada para definir una contraseña nueva. El mensaje en pantalla es el mismo exista o no la cuenta, y la contraseña anterior deja de ser válida una vez completado el cambio.</w:t>
      </w:r>
    </w:p>
    <w:p>
      <w:pPr>
        <w:pStyle w:val="Heading2"/>
        <w:spacing w:after="80" w:before="150"/>
      </w:pPr>
      <w:bookmarkStart w:name="bm25" w:id="25"/>
      <w:r>
        <w:rPr>
          <w:rFonts w:ascii="Arial" w:cs="Arial" w:eastAsia="Arial" w:hAnsi="Arial"/>
          <w:b/>
          <w:bCs/>
          <w:color w:val="2E5496"/>
          <w:sz w:val="23"/>
          <w:szCs w:val="23"/>
        </w:rPr>
        <w:t xml:space="preserve">7.4 Validaciones y mensajes</w:t>
      </w:r>
      <w:bookmarkEnd w:id="25"/>
    </w:p>
    <w:p>
      <w:pPr>
        <w:spacing w:after="110" w:line="262"/>
        <w:jc w:val="both"/>
      </w:pPr>
      <w:r>
        <w:rPr>
          <w:rFonts w:ascii="Arial" w:cs="Arial" w:eastAsia="Arial" w:hAnsi="Arial"/>
          <w:sz w:val="22"/>
          <w:szCs w:val="22"/>
        </w:rPr>
        <w:t xml:space="preserve">Las validaciones se ejecutan al salir de cada campo y nuevamente al enviar el formulario. El mensaje se ubica bajo el campo correspondiente, en color de peligro, y el foco se traslada al primer campo con error.</w:t>
      </w:r>
    </w:p>
    <w:tbl>
      <w:tblPr>
        <w:tblW w:type="dxa" w:w="9360"/>
        <w:tblBorders>
          <w:top w:val="single" w:color="9CA3AF" w:sz="6"/>
          <w:left w:val="single" w:color="9CA3AF" w:sz="6"/>
          <w:bottom w:val="single" w:color="9CA3AF" w:sz="6"/>
          <w:right w:val="single" w:color="9CA3AF" w:sz="6"/>
          <w:insideH w:val="single" w:color="9CA3AF" w:sz="6"/>
          <w:insideV w:val="single" w:color="9CA3AF" w:sz="6"/>
        </w:tblBorders>
        <w:tblLayout w:type="fixed"/>
      </w:tblPr>
      <w:tblGrid>
        <w:gridCol w:w="2100"/>
        <w:gridCol w:w="3100"/>
        <w:gridCol w:w="416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3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16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Mensaje</w:t>
            </w:r>
          </w:p>
        </w:tc>
      </w:tr>
      <w:tr>
        <w:trPr>
          <w:tblHeader w:val="false"/>
        </w:trPr>
        <w:tc>
          <w:tcPr>
            <w:tcW w:type="dxa" w:w="2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Correo electrónico</w:t>
            </w:r>
          </w:p>
        </w:tc>
        <w:tc>
          <w:tcPr>
            <w:tcW w:type="dxa" w:w="3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Obligatorio y con formato válido.</w:t>
            </w:r>
          </w:p>
        </w:tc>
        <w:tc>
          <w:tcPr>
            <w:tcW w:type="dxa" w:w="4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Ingresa un correo electrónico válido.</w:t>
            </w:r>
          </w:p>
        </w:tc>
      </w:tr>
      <w:tr>
        <w:trPr>
          <w:tblHeader w:val="false"/>
        </w:trPr>
        <w:tc>
          <w:tcPr>
            <w:tcW w:type="dxa" w:w="2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</w:t>
            </w:r>
          </w:p>
        </w:tc>
        <w:tc>
          <w:tcPr>
            <w:tcW w:type="dxa" w:w="3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Obligatoria.</w:t>
            </w:r>
          </w:p>
        </w:tc>
        <w:tc>
          <w:tcPr>
            <w:tcW w:type="dxa" w:w="4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contraseña es obligatoria.</w:t>
            </w:r>
          </w:p>
        </w:tc>
      </w:tr>
      <w:tr>
        <w:trPr>
          <w:tblHeader w:val="false"/>
        </w:trPr>
        <w:tc>
          <w:tcPr>
            <w:tcW w:type="dxa" w:w="2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 (registro)</w:t>
            </w:r>
          </w:p>
        </w:tc>
        <w:tc>
          <w:tcPr>
            <w:tcW w:type="dxa" w:w="3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Mínimo ocho caracteres.</w:t>
            </w:r>
          </w:p>
        </w:tc>
        <w:tc>
          <w:tcPr>
            <w:tcW w:type="dxa" w:w="4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contraseña debe tener mínimo 8 caracteres.</w:t>
            </w:r>
          </w:p>
        </w:tc>
      </w:tr>
      <w:tr>
        <w:trPr>
          <w:tblHeader w:val="false"/>
        </w:trPr>
        <w:tc>
          <w:tcPr>
            <w:tcW w:type="dxa" w:w="2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Nombre del negocio</w:t>
            </w:r>
          </w:p>
        </w:tc>
        <w:tc>
          <w:tcPr>
            <w:tcW w:type="dxa" w:w="3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Obligatorio.</w:t>
            </w:r>
          </w:p>
        </w:tc>
        <w:tc>
          <w:tcPr>
            <w:tcW w:type="dxa" w:w="4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Ingresa el nombre de tu negocio.</w:t>
            </w:r>
          </w:p>
        </w:tc>
      </w:tr>
      <w:tr>
        <w:trPr>
          <w:tblHeader w:val="false"/>
        </w:trPr>
        <w:tc>
          <w:tcPr>
            <w:tcW w:type="dxa" w:w="2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Nombre y apellido</w:t>
            </w:r>
          </w:p>
        </w:tc>
        <w:tc>
          <w:tcPr>
            <w:tcW w:type="dxa" w:w="310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Obligatorio.</w:t>
            </w:r>
          </w:p>
        </w:tc>
        <w:tc>
          <w:tcPr>
            <w:tcW w:type="dxa" w:w="4160"/>
            <w:shd w:fill="FFFFF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Ingresa tu nombre y apellido.</w:t>
            </w:r>
          </w:p>
        </w:tc>
      </w:tr>
      <w:tr>
        <w:trPr>
          <w:tblHeader w:val="false"/>
        </w:trPr>
        <w:tc>
          <w:tcPr>
            <w:tcW w:type="dxa" w:w="2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Credenciales</w:t>
            </w:r>
          </w:p>
        </w:tc>
        <w:tc>
          <w:tcPr>
            <w:tcW w:type="dxa" w:w="310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Deben corresponder a una cuenta activa.</w:t>
            </w:r>
          </w:p>
        </w:tc>
        <w:tc>
          <w:tcPr>
            <w:tcW w:type="dxa" w:w="4160"/>
            <w:shd w:fill="F2F2F2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3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correo o la contraseña no son correctos.</w:t>
            </w:r>
          </w:p>
        </w:tc>
      </w:tr>
    </w:tbl>
    <w:sectPr>
      <w:footerReference w:type="default" r:id="rId7"/>
      <w:pgSz w:w="12240" w:h="158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1d7404e8dee6029ba17a78bce3a353f1f0c9687.png"/><Relationship Id="rId9" Type="http://schemas.openxmlformats.org/officeDocument/2006/relationships/image" Target="media/bd71460788164cb00085802f2974ee2eff6f7385.png"/><Relationship Id="rId10" Type="http://schemas.openxmlformats.org/officeDocument/2006/relationships/image" Target="media/558d0fcce7f05b30437f7d71ef2572889b706e10.png"/><Relationship Id="rId11" Type="http://schemas.openxmlformats.org/officeDocument/2006/relationships/image" Target="media/4b38e7a2e1542fbb3aede6d6b210d31a9d51ca04.png"/><Relationship Id="rId12" Type="http://schemas.openxmlformats.org/officeDocument/2006/relationships/image" Target="media/7ddf90f861966d0646388db7375bb11d737f4b1f.png"/><Relationship Id="rId13" Type="http://schemas.openxmlformats.org/officeDocument/2006/relationships/image" Target="media/cd81c2220ca8a44ab8ab7d3416b958da0fe91b34.png"/><Relationship Id="rId14" Type="http://schemas.openxmlformats.org/officeDocument/2006/relationships/image" Target="media/df3d2b6e4cbb6da6f6f320bfb1b1ad48977833d7.png"/><Relationship Id="rId15" Type="http://schemas.openxmlformats.org/officeDocument/2006/relationships/image" Target="media/605e9e5e30377a7b815e3fa274232b42b4870fe7.png"/><Relationship Id="rId16" Type="http://schemas.openxmlformats.org/officeDocument/2006/relationships/image" Target="media/ae512b10c359efbdfd18133f6b5480da3f987c8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Cristian Dario Macias Espitia</dc:creator>
  <cp:lastModifiedBy>Un-named</cp:lastModifiedBy>
  <cp:revision>1</cp:revision>
  <dcterms:created xsi:type="dcterms:W3CDTF">2026-09-11T02:30:53.124Z</dcterms:created>
  <dcterms:modified xsi:type="dcterms:W3CDTF">2026-09-11T02:30:53.125Z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