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 w:line="264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PROPUESTA TÉCNICA Y ECONÓMICA</w:t>
      </w:r>
    </w:p>
    <w:p>
      <w:pPr>
        <w:spacing w:after="0" w:before="150" w:line="264"/>
        <w:jc w:val="center"/>
      </w:pPr>
      <w:r>
        <w:rPr>
          <w:rFonts w:ascii="Arial" w:cs="Arial" w:eastAsia="Arial" w:hAnsi="Arial"/>
          <w:color w:val="2E5496"/>
          <w:sz w:val="26"/>
          <w:szCs w:val="26"/>
        </w:rPr>
        <w:t xml:space="preserve">Proyecto INVENTRA — Aplicación web de inventario y ventas para licoreras</w:t>
      </w:r>
    </w:p>
    <w:p>
      <w:pPr>
        <w:spacing w:after="0" w:before="260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CRISTIAN DARÍO MACÍAS ESPITIA</w:t>
      </w:r>
    </w:p>
    <w:p>
      <w:pPr>
        <w:spacing w:after="0" w:before="2700" w:line="264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SERVICIO NACIONAL DE APRENDIZAJE (SENA)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CENTRO DE FORMACIÓN EN DISEÑO, CONFECCIÓN Y MODA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ANÁLISIS Y DESARROLLO DE SOFTWARE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MEDELLÍN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2026</w:t>
      </w:r>
    </w:p>
    <w:p>
      <w:pPr>
        <w:pageBreakBefore/>
        <w:spacing w:after="20" w:before="12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Ficha del documento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400"/>
        <w:gridCol w:w="1100"/>
        <w:gridCol w:w="3200"/>
        <w:gridCol w:w="366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Revisión</w:t>
            </w:r>
          </w:p>
        </w:tc>
        <w:tc>
          <w:tcPr>
            <w:tcW w:type="dxa" w:w="3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3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Basado en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12/09/2026</w:t>
            </w:r>
          </w:p>
        </w:tc>
        <w:tc>
          <w:tcPr>
            <w:tcW w:type="dxa" w:w="1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Cristian Darío Macías Espitia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ERS, MER, UML, backlog, documento de diseño y modelo de negocio</w:t>
            </w:r>
          </w:p>
        </w:tc>
      </w:tr>
    </w:tbl>
    <w:p>
      <w:pPr>
        <w:pageBreakBefore/>
        <w:spacing w:after="15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Tabla de contenido</w:t>
      </w:r>
    </w:p>
    <w:p>
      <w:pPr>
        <w:tabs>
          <w:tab w:val="right" w:pos="9200" w:leader="dot"/>
        </w:tabs>
        <w:spacing w:after="40" w:line="252"/>
      </w:pPr>
      <w:hyperlink w:history="1" w:anchor="bm1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1. Introducción, objeto y alcance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2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1.1 Objeto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3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1.2 Alcance funcional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bm3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4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1.3 Condiciones del alcance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bm4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5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2. Solución técnica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bm5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6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2.1 Arquitectura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bm6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7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2.2 Tecnologías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bm7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8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2.3 Documentos de referencia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bm8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9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3. Metodología de trabajo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bm9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0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4. Plan de trabajo y cronograma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bm10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1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4.1 Estructura por sprints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bm11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2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4.2 Cronograma general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bm12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3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4.3 Entregables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bm13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4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5. Equipo de trabajo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bm14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5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6. Propuesta económica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bm15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6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6.1 Costo del personal durante el desarrollo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bm16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7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6.2 Equipos, software e infraestructura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bm17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8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6.3 Otros rubros del proyecto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bm18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9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6.4 Resumen del presupuesto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bm19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0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7. Supuestos y condiciones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bm20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1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8. Entrega, garantía y soporte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bm21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2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9. Conclusión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bm22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3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10. Referencias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bm23</w:instrText>
        <w:fldChar w:fldCharType="end"/>
      </w:r>
    </w:p>
    <w:p>
      <w:pPr>
        <w:pStyle w:val="Heading1"/>
        <w:spacing w:after="110" w:before="220"/>
      </w:pPr>
      <w:bookmarkStart w:name="bm1" w:id="1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1. Introducción, objeto y alcance</w:t>
      </w:r>
      <w:bookmarkEnd w:id="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presenta la propuesta técnica y económica para el desarrollo de INVENTRA, la aplicación web de inventario y ventas dirigida a licoreras y tiendas de barrio. Reúne la solución técnica, la metodología de trabajo, el plan de sprints con su cronograma, el equipo requerido y los costos asociados. Su contenido se apoya en los documentos de análisis y diseño ya elaborados para el proyecto y en el modelo de negocio aprobado, sin incorporar alcances distintos a los allí definidos.</w:t>
      </w:r>
    </w:p>
    <w:p>
      <w:pPr>
        <w:pStyle w:val="Heading2"/>
        <w:spacing w:after="80" w:before="150"/>
      </w:pPr>
      <w:bookmarkStart w:name="bm2" w:id="2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1.1 Objeto</w:t>
      </w:r>
      <w:bookmarkEnd w:id="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Desarrollar, probar y desplegar la aplicación web INVENTRA, con su versión móvil, de acuerdo con los cuarenta y ocho requisitos funcionales y los ocho requisitos no funcionales establecidos en la especificación de requisitos de software, y entregar la documentación técnica y de usuario que acompaña al producto.</w:t>
      </w:r>
    </w:p>
    <w:p>
      <w:pPr>
        <w:pStyle w:val="Heading2"/>
        <w:spacing w:after="80" w:before="150"/>
      </w:pPr>
      <w:bookmarkStart w:name="bm3" w:id="3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1.2 Alcance funcional</w:t>
      </w:r>
      <w:bookmarkEnd w:id="3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solución se organiza en ocho módulos funcionales, que corresponden a los definidos en la especificación de requisitos y en el análisis y diseño en UML: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000"/>
        <w:gridCol w:w="4660"/>
        <w:gridCol w:w="1350"/>
        <w:gridCol w:w="135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4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13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Historias</w:t>
            </w:r>
          </w:p>
        </w:tc>
        <w:tc>
          <w:tcPr>
            <w:tcW w:type="dxa" w:w="13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 — Seguridad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y autenticación de usuarios, roles y permisos, recuperación de contraseña e inactivación.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SUS — Suscripciones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de licoreras, planes Básico y Pro, estado de la suscripción y restricción de funciones por plan.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INV — Inventario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Catálogo de productos, entradas por lote, valoración PEPS, kardex, ajustes y alertas de existencias.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VEN — Ventas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Punto de venta, medios de pago, comprobante, anulación con reversión de lotes y cierre de caja.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 — Reportes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Ventas por período, inventario valorizado, más vendidos, rotación, utilidad y exportación.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SED — Multisede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de sedes, asignación de usuarios, inventario por sede y traslados de mercancía.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 — Facturación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Datos fiscales, emisión de factura electrónica, consulta y reenvío, y nota crédito.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 — Auditoría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de eventos, consulta de auditoría, copias de seguridad y restauración.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Cuarenta y ocho requisitos funcionales.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168</w:t>
            </w:r>
          </w:p>
        </w:tc>
      </w:tr>
    </w:tbl>
    <w:p>
      <w:pPr>
        <w:pStyle w:val="Heading2"/>
        <w:spacing w:after="80" w:before="150"/>
      </w:pPr>
      <w:bookmarkStart w:name="bm4" w:id="4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1.3 Condiciones del alcance</w:t>
      </w:r>
      <w:bookmarkEnd w:id="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Las siguientes condiciones fueron definidas durante el análisis y se mantienen en esta propuesta: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 facturación electrónica se implementa y se demuestra en el ambiente de pruebas del proveedor tecnológico autorizado por la DIAN. El paso a producción depende de la habilitación comercial de la empresa y no forma parte de este desarrollo.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cobro con pasarela de pagos se integra en modo de pruebas, sin transacciones reales.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módulo multisede se desarrolla completo y se demuestra con datos de ejemplo.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 valoración del inventario se realiza por el método de primeras entradas, primeras salidas, con control por lote. El precio de venta se administra de forma independiente del costo.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No se incluyen desarrollos a la medida para un cliente en particular ni integraciones con sistemas contables de terceros.</w:t>
      </w:r>
    </w:p>
    <w:p>
      <w:pPr>
        <w:pStyle w:val="Heading1"/>
        <w:pageBreakBefore/>
        <w:spacing w:after="110" w:before="220"/>
      </w:pPr>
      <w:bookmarkStart w:name="bm5" w:id="5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2. Solución técnica</w:t>
      </w:r>
      <w:bookmarkEnd w:id="5"/>
    </w:p>
    <w:p>
      <w:pPr>
        <w:pStyle w:val="Heading2"/>
        <w:spacing w:after="80" w:before="150"/>
      </w:pPr>
      <w:bookmarkStart w:name="bm6" w:id="6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2.1 Arquitectura</w:t>
      </w:r>
      <w:bookmarkEnd w:id="6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aplicación se construye bajo una arquitectura cliente–servidor con separación por capas. El cliente es una aplicación web de página única que consume una interfaz de programación de tipo REST; el servidor concentra la lógica de negocio, las reglas del dominio y el acceso a la base de datos. La organización interna separa la capa de presentación y servicios, la capa de aplicación con los casos de uso, la capa de dominio con las entidades y reglas —incluida la valoración por lotes— y la capa de infraestructura encargada de la persistencia y de los servicios externos.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Cada licorería opera como un inquilino independiente dentro de la misma instancia: la información de negocio se identifica con la licorería a la que pertenece, de modo que los datos de un cliente no son visibles para otro.</w:t>
      </w:r>
    </w:p>
    <w:p>
      <w:pPr>
        <w:pStyle w:val="Heading2"/>
        <w:spacing w:after="80" w:before="150"/>
      </w:pPr>
      <w:bookmarkStart w:name="bm7" w:id="7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2.2 Tecnologías</w:t>
      </w:r>
      <w:bookmarkEnd w:id="7"/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3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de aplicación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Django con Django REST Framework (Python)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Lógica de negocio y publicación de la interfaz REST.</w:t>
            </w:r>
          </w:p>
        </w:tc>
      </w:tr>
      <w:tr>
        <w:trPr>
          <w:tblHeader w:val="false"/>
        </w:trPr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3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MySQL 8 con motor InnoDB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Almacenamiento transaccional de las veinticuatro entidades del modelo.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Cliente web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React (Node y npm)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Interfaz de usuario para escritorio y dispositivos móviles.</w:t>
            </w:r>
          </w:p>
        </w:tc>
      </w:tr>
      <w:tr>
        <w:trPr>
          <w:tblHeader w:val="false"/>
        </w:trPr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Comunicación</w:t>
            </w:r>
          </w:p>
        </w:tc>
        <w:tc>
          <w:tcPr>
            <w:tcW w:type="dxa" w:w="3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REST sobre HTTPS, con formato JSON y autenticación por token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Intercambio entre el cliente y el servidor.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web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Nginx y Gunicorn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Publicación de la aplicación y atención de las peticiones.</w:t>
            </w:r>
          </w:p>
        </w:tc>
      </w:tr>
      <w:tr>
        <w:trPr>
          <w:tblHeader w:val="false"/>
        </w:trPr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Servicios externos</w:t>
            </w:r>
          </w:p>
        </w:tc>
        <w:tc>
          <w:tcPr>
            <w:tcW w:type="dxa" w:w="3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 tecnológico DIAN y pasarela de pagos, en ambiente de pruebas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Facturación electrónica y cobro.</w:t>
            </w:r>
          </w:p>
        </w:tc>
      </w:tr>
    </w:tbl>
    <w:p>
      <w:pPr>
        <w:pStyle w:val="Heading2"/>
        <w:spacing w:after="80" w:before="150"/>
      </w:pPr>
      <w:bookmarkStart w:name="bm8" w:id="8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2.3 Documentos de referencia</w:t>
      </w:r>
      <w:bookmarkEnd w:id="8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propuesta se sustenta en los siguientes documentos del proyecto, todos en revisión 1: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Especificación de requisitos de software (IEEE 830): 48 requisitos funcionales y 8 no funcionales.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entidad-relación, modelo relacional y diccionario de datos: 24 entidades y 30 relaciones.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de análisis y diseño en UML: actores, clases del dominio, componentes, despliegue, diagramas de actividades y 48 casos de uso extendidos.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Historias de usuario y product backlog: 48 historias priorizadas y estimadas en 168 puntos.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técnico de diseño: identidad visual, componentes, formularios y pantallas.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de negocio (formato CREAR) y su proyección financiera.</w:t>
      </w:r>
    </w:p>
    <w:p>
      <w:pPr>
        <w:pStyle w:val="Heading1"/>
        <w:pageBreakBefore/>
        <w:spacing w:after="110" w:before="220"/>
      </w:pPr>
      <w:bookmarkStart w:name="bm9" w:id="9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3. Metodología de trabajo</w:t>
      </w:r>
      <w:bookmarkEnd w:id="9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desarrollo se gestiona con el marco ágil Scrum, en sprints de dos semanas. Al inicio de cada sprint se seleccionan las historias del backlog según su prioridad y se define el objetivo del sprint; al cierre se entrega un incremento funcional y se registra el avance.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backlog y los sprints se administran en un tablero de Trello, organizado en dos fases: las tarjetas de análisis y diseño, que habilitan el paso a la construcción, y las tarjetas de construcción agrupadas por módulo. El movimiento de las tarjetas en el tiempo evidencia el proceso de desarrollo, y el repositorio de código registra el flujo de ramas y confirmaciones.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Una historia se considera terminada cuando cumple sus criterios de aceptación, cuenta con pruebas que verifican su comportamiento, está integrada en la rama principal y su documentación asociada se encuentra actualizada.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Product Owner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Define y prioriza el backlog, y acepta el incremento de cada sprint.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Scrum Master</w:t>
            </w:r>
          </w:p>
        </w:tc>
        <w:tc>
          <w:tcPr>
            <w:tcW w:type="dxa" w:w="6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Facilita el proceso, mantiene el tablero y remueve los impedimentos.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Equipo de desarrollo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Construye el incremento: análisis técnico, programación, pruebas y despliegue.</w:t>
            </w:r>
          </w:p>
        </w:tc>
      </w:tr>
    </w:tbl>
    <w:p>
      <w:pPr>
        <w:pStyle w:val="Heading1"/>
        <w:pageBreakBefore/>
        <w:spacing w:after="110" w:before="220"/>
      </w:pPr>
      <w:bookmarkStart w:name="bm10" w:id="10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4. Plan de trabajo y cronograma</w:t>
      </w:r>
      <w:bookmarkEnd w:id="10"/>
    </w:p>
    <w:p>
      <w:pPr>
        <w:pStyle w:val="Heading2"/>
        <w:spacing w:after="80" w:before="150"/>
      </w:pPr>
      <w:bookmarkStart w:name="bm11" w:id="11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4.1 Estructura por sprints</w:t>
      </w:r>
      <w:bookmarkEnd w:id="1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trabajo se distribuye en ocho sprints de dos semanas: uno de análisis y diseño, seis de construcción organizados por módulo según su dependencia, y uno final de estabilización, despliegue y entrega. El orden de los módulos respeta las dependencias establecidas en el análisis: la seguridad y las suscripciones sostienen el resto de la aplicación, el inventario precede a las ventas, y los reportes se apoyan en ambos.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900"/>
        <w:gridCol w:w="4700"/>
        <w:gridCol w:w="1150"/>
        <w:gridCol w:w="950"/>
        <w:gridCol w:w="166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11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Historias</w:t>
            </w:r>
          </w:p>
        </w:tc>
        <w:tc>
          <w:tcPr>
            <w:tcW w:type="dxa" w:w="9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 y diseño: requisitos, modelo de datos, UML, prototipo, documento de diseño y manual de marca.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 y SUS: seguridad, gestión de usuarios, registro de licoreras y control de planes.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INV: catálogo, entradas por lote, valoración PEPS, kardex y alertas.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VEN: punto de venta, medios de pago, anulación y cierre de caja.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REP: reportes de ventas, inventario valorizado, rotación, utilidad y exportación.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SED: sedes, asignación de usuarios, inventario por sede y traslados.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 y AUD: facturación electrónica en pruebas, auditoría y respaldos.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Estabilización: pruebas integrales, corrección, despliegue, manuales y acta de entrega.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Dieciséis semanas, equivalentes a cuatro meses de trabajo.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168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 semanas</w:t>
            </w:r>
          </w:p>
        </w:tc>
      </w:tr>
    </w:tbl>
    <w:p>
      <w:pPr>
        <w:pStyle w:val="Heading2"/>
        <w:spacing w:after="80" w:before="150"/>
      </w:pPr>
      <w:bookmarkStart w:name="bm12" w:id="12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4.2 Cronograma general</w:t>
      </w:r>
      <w:bookmarkEnd w:id="1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desarrollo se ejecuta dentro de la etapa productiva, prevista en seis meses. Los cuatro primeros meses corresponden a los ocho sprints, a razón de dos por mes: el de análisis y diseño, los seis de construcción y el de estabilización. Los meses restantes se destinan a la puesta en marcha con los primeros clientes, conforme al plan operativo del modelo de negocio.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3360"/>
        <w:gridCol w:w="1000"/>
        <w:gridCol w:w="1000"/>
        <w:gridCol w:w="1000"/>
        <w:gridCol w:w="1000"/>
        <w:gridCol w:w="1000"/>
        <w:gridCol w:w="1000"/>
      </w:tblGrid>
      <w:tr>
        <w:trPr>
          <w:tblHeader/>
        </w:trPr>
        <w:tc>
          <w:tcPr>
            <w:tcW w:type="dxa" w:w="33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1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2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3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4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5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6</w:t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 y diseño (sprint 0)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Construcción de módulos (sprints 1 a 6)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funcionales e integración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Estabilización y despliegue (sprint 7)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Manuales y documentación de entrega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Puesta en marcha con los primeros clientes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Acta de entrega y sustentación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</w:tbl>
    <w:p>
      <w:pPr>
        <w:pStyle w:val="Heading2"/>
        <w:spacing w:after="80" w:before="150"/>
      </w:pPr>
      <w:bookmarkStart w:name="bm13" w:id="13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4.3 Entregables</w:t>
      </w:r>
      <w:bookmarkEnd w:id="13"/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73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Entregables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7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Especificación de requisitos, modelo de datos y diccionario, análisis y diseño en UML, historias de usuario y backlog, prototipo, documento técnico de diseño, manual de marca y esta propuesta.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Construcción</w:t>
            </w:r>
          </w:p>
        </w:tc>
        <w:tc>
          <w:tcPr>
            <w:tcW w:type="dxa" w:w="7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Código fuente en el repositorio con su flujo de ramas y confirmaciones, scripts de base de datos con la carga inicial, e incrementos funcionales por módulo.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</w:t>
            </w:r>
          </w:p>
        </w:tc>
        <w:tc>
          <w:tcPr>
            <w:tcW w:type="dxa" w:w="7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de pruebas unitarias, de integración, funcionales y de la interfaz de programación, con sus bitácoras y planes de mejora.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y entrega</w:t>
            </w:r>
          </w:p>
        </w:tc>
        <w:tc>
          <w:tcPr>
            <w:tcW w:type="dxa" w:w="7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Aplicación desplegada con su dirección de acceso, manual de usuario, manual técnico, plan de respaldo y recuperación, documento de cierre técnico y acta de entrega.</w:t>
            </w:r>
          </w:p>
        </w:tc>
      </w:tr>
    </w:tbl>
    <w:p>
      <w:pPr>
        <w:pStyle w:val="Heading1"/>
        <w:pageBreakBefore/>
        <w:spacing w:after="110" w:before="220"/>
      </w:pPr>
      <w:bookmarkStart w:name="bm14" w:id="14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5. Equipo de trabajo</w:t>
      </w:r>
      <w:bookmarkEnd w:id="1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proyecto se ejecuta con el equipo previsto en el modelo de negocio: dos personas vinculadas por prestación de servicios desde el primer mes.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800"/>
        <w:gridCol w:w="4900"/>
        <w:gridCol w:w="266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  <w:tc>
          <w:tcPr>
            <w:tcW w:type="dxa" w:w="2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Dedicación</w:t>
            </w:r>
          </w:p>
        </w:tc>
      </w:tr>
      <w:tr>
        <w:trPr>
          <w:tblHeader w:val="false"/>
        </w:trPr>
        <w:tc>
          <w:tcPr>
            <w:tcW w:type="dxa" w:w="18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Líder técnico</w:t>
            </w:r>
          </w:p>
        </w:tc>
        <w:tc>
          <w:tcPr>
            <w:tcW w:type="dxa" w:w="4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Análisis, diseño, programación del servidor y del cliente, pruebas, despliegue y documentación técnica.</w:t>
            </w:r>
          </w:p>
        </w:tc>
        <w:tc>
          <w:tcPr>
            <w:tcW w:type="dxa" w:w="2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Tiempo completo durante los ocho sprints.</w:t>
            </w:r>
          </w:p>
        </w:tc>
      </w:tr>
      <w:tr>
        <w:trPr>
          <w:tblHeader w:val="false"/>
        </w:trPr>
        <w:tc>
          <w:tcPr>
            <w:tcW w:type="dxa" w:w="18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4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de aceptación, capacitación de los primeros clientes, soporte de primer nivel y actividades de venta.</w:t>
            </w:r>
          </w:p>
        </w:tc>
        <w:tc>
          <w:tcPr>
            <w:tcW w:type="dxa" w:w="2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Tiempo completo, con participación en el desarrollo desde las pruebas de aceptación.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líder técnico asume igualmente los roles de Product Owner y Scrum Master previstos en la metodología, con la validación del instructor asignado por el centro de formación.</w:t>
      </w:r>
    </w:p>
    <w:p>
      <w:pPr>
        <w:pStyle w:val="Heading1"/>
        <w:pageBreakBefore/>
        <w:spacing w:after="110" w:before="220"/>
      </w:pPr>
      <w:bookmarkStart w:name="bm15" w:id="15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6. Propuesta económica</w:t>
      </w:r>
      <w:bookmarkEnd w:id="15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valores de esta sección provienen del modelo de negocio del proyecto y de su presupuesto aprobado. Todas las cifras están expresadas en pesos colombianos.</w:t>
      </w:r>
    </w:p>
    <w:p>
      <w:pPr>
        <w:pStyle w:val="Heading2"/>
        <w:spacing w:after="80" w:before="150"/>
      </w:pPr>
      <w:bookmarkStart w:name="bm16" w:id="16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6.1 Costo del personal durante el desarrollo</w:t>
      </w:r>
      <w:bookmarkEnd w:id="16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honorarios mensuales son de $2.500.000 para el líder técnico y de $2.000.000 para el comercial. Los cuatro meses que ocupa el desarrollo del software representan el siguiente costo: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3000"/>
        <w:gridCol w:w="2200"/>
        <w:gridCol w:w="1200"/>
        <w:gridCol w:w="296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mensual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Meses</w:t>
            </w:r>
          </w:p>
        </w:tc>
        <w:tc>
          <w:tcPr>
            <w:tcW w:type="dxa" w:w="2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Subtotal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Líder técnico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$2.500.000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$10.000.000</w:t>
            </w:r>
          </w:p>
        </w:tc>
      </w:tr>
      <w:tr>
        <w:trPr>
          <w:tblHeader w:val="false"/>
        </w:trPr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$2.000.000</w:t>
            </w:r>
          </w:p>
        </w:tc>
        <w:tc>
          <w:tcPr>
            <w:tcW w:type="dxa" w:w="1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$8.000.000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Subtotal del desarrollo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$4.500.000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$18.000.000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periodo financiado del plan operativo es de nueve meses, con un total de honorarios de $40.500.000. De ese total, $18.000.000 corresponden a los cuatro meses de desarrollo del software y $22.500.000 a los cinco meses siguientes, dedicados a la puesta en marcha comercial y al soporte de los primeros clientes.</w:t>
      </w:r>
    </w:p>
    <w:p>
      <w:pPr>
        <w:pStyle w:val="Heading2"/>
        <w:spacing w:after="80" w:before="150"/>
      </w:pPr>
      <w:bookmarkStart w:name="bm17" w:id="17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6.2 Equipos, software e infraestructura</w:t>
      </w:r>
      <w:bookmarkEnd w:id="17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rubro de equipos, muebles y software asciende a $19.000.000 y cubre los equipos de cómputo del equipo de trabajo, el mobiliario y las licencias y servicios necesarios para el desarrollo y la operación de la aplicación. Las herramientas de construcción —el marco de trabajo del servidor, el motor de base de datos y las librerías del cliente— son de distribución libre y no generan costo de licenciamiento.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6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Equipos de cómputo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Estaciones de trabajo para el líder técnico y el comercial.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Mobiliario</w:t>
            </w:r>
          </w:p>
        </w:tc>
        <w:tc>
          <w:tcPr>
            <w:tcW w:type="dxa" w:w="6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Puestos de trabajo del lugar de operaciones.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y publicación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 de alojamiento de la aplicación y de la base de datos, con su dominio y certificado de seguridad.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Correo y respaldo</w:t>
            </w:r>
          </w:p>
        </w:tc>
        <w:tc>
          <w:tcPr>
            <w:tcW w:type="dxa" w:w="6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 de correo corporativo y almacenamiento para las copias de seguridad.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Servicios externos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Ambiente de pruebas del proveedor tecnológico de facturación electrónica y de la pasarela de pagos, sin costo en esta etapa.</w:t>
            </w:r>
          </w:p>
        </w:tc>
      </w:tr>
    </w:tbl>
    <w:p>
      <w:pPr>
        <w:pStyle w:val="Heading2"/>
        <w:spacing w:after="80" w:before="150"/>
      </w:pPr>
      <w:bookmarkStart w:name="bm18" w:id="18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6.3 Otros rubros del proyecto</w:t>
      </w:r>
      <w:bookmarkEnd w:id="18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presupuesto contempla además $6.000.000 para la estrategia de comunicación, destinada a la difusión de la solución y a la captación de los primeros clientes, y $6.600.000 para insumos y gastos operativos del periodo de ejecución.</w:t>
      </w:r>
    </w:p>
    <w:p>
      <w:pPr>
        <w:pStyle w:val="Heading2"/>
        <w:spacing w:after="80" w:before="150"/>
      </w:pPr>
      <w:bookmarkStart w:name="bm19" w:id="19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6.4 Resumen del presupuesto</w:t>
      </w:r>
      <w:bookmarkEnd w:id="19"/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Rubro</w:t>
            </w:r>
          </w:p>
        </w:tc>
        <w:tc>
          <w:tcPr>
            <w:tcW w:type="dxa" w:w="3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Equipos, muebles y software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$19.000.000</w:t>
            </w:r>
          </w:p>
        </w:tc>
      </w:tr>
      <w:tr>
        <w:trPr>
          <w:tblHeader w:val="false"/>
        </w:trPr>
        <w:tc>
          <w:tcPr>
            <w:tcW w:type="dxa" w:w="4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Honorarios del equipo (nueve meses)</w:t>
            </w:r>
          </w:p>
        </w:tc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$40.500.000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Estrategia de comunicación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$6.000.000</w:t>
            </w:r>
          </w:p>
        </w:tc>
      </w:tr>
      <w:tr>
        <w:trPr>
          <w:tblHeader w:val="false"/>
        </w:trPr>
        <w:tc>
          <w:tcPr>
            <w:tcW w:type="dxa" w:w="4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Insumos y gastos operativos</w:t>
            </w:r>
          </w:p>
        </w:tc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$6.600.000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Subtotal solicitado al Fondo Emprender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$72.100.000</w:t>
            </w:r>
          </w:p>
        </w:tc>
      </w:tr>
      <w:tr>
        <w:trPr>
          <w:tblHeader w:val="false"/>
        </w:trPr>
        <w:tc>
          <w:tcPr>
            <w:tcW w:type="dxa" w:w="4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Constitución legal de la empresa</w:t>
            </w:r>
          </w:p>
        </w:tc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Aporte del emprendedor</w:t>
            </w:r>
          </w:p>
        </w:tc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$1.500.000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del proyecto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$73.600.000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valor solicitado al Fondo Emprender equivale a 41,2 salarios mínimos mensuales legales vigentes de 2026, por debajo del tope de 42 previsto para las iniciativas individuales que generan dos empleos formales.</w:t>
      </w:r>
    </w:p>
    <w:p>
      <w:pPr>
        <w:pStyle w:val="Heading1"/>
        <w:pageBreakBefore/>
        <w:spacing w:after="110" w:before="220"/>
      </w:pPr>
      <w:bookmarkStart w:name="bm20" w:id="20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7. Supuestos y condiciones</w:t>
      </w:r>
      <w:bookmarkEnd w:id="20"/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desarrollo inicia una vez aprobados los documentos de análisis y diseño por parte del área técnica del centro de formación.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alcance corresponde a los requisitos aprobados. Cualquier requisito nuevo se incorpora al backlog y se atiende en un sprint posterior, previo acuerdo sobre su efecto en el plazo.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Las pruebas con servicios externos se realizan en sus ambientes de prueba; la habilitación en producción es un trámite de la operación comercial.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Los valores presentados corresponden al presupuesto del modelo de negocio y no incluyen tributos adicionales ni costos de terceros no previstos en él.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proyecto se ejecuta con el equipo de dos personas indicado. Una vinculación adicional se evalúa en fases posteriores, según el comportamiento de las ventas.</w:t>
      </w:r>
    </w:p>
    <w:p>
      <w:pPr>
        <w:pStyle w:val="Heading1"/>
        <w:pageBreakBefore/>
        <w:spacing w:after="110" w:before="220"/>
      </w:pPr>
      <w:bookmarkStart w:name="bm21" w:id="21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8. Entrega, garantía y soporte</w:t>
      </w:r>
      <w:bookmarkEnd w:id="2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entrega del producto comprende la aplicación desplegada y accesible, el código fuente en el repositorio, los scripts de base de datos con su carga inicial, el manual de usuario, el manual técnico, el informe de pruebas, el plan de respaldo y recuperación, y el acta de entrega firmada.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Tras la entrega se prevé un periodo de acompañamiento en el que se corrigen los defectos que se identifiquen sobre el alcance aprobado, se capacita a los usuarios de los primeros clientes y se atiende el soporte de primer nivel. Las copias de seguridad se programan de forma periódica y su restauración queda registrada en la auditoría del sistema.</w:t>
      </w:r>
    </w:p>
    <w:p>
      <w:pPr>
        <w:pStyle w:val="Heading1"/>
        <w:pageBreakBefore/>
        <w:spacing w:after="110" w:before="220"/>
      </w:pPr>
      <w:bookmarkStart w:name="bm22" w:id="22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9. Conclusión</w:t>
      </w:r>
      <w:bookmarkEnd w:id="2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propuesta muestra que INVENTRA puede construirse en dieciséis semanas de trabajo, distribuidas en ocho sprints, con el equipo de dos personas y los recursos contemplados en el modelo de negocio. El desarrollo consume $18.000.000 de los $40.500.000 de honorarios previstos, dentro de un presupuesto total de $73.600.000 que incluye los equipos, la estrategia de comunicación y los gastos operativos del periodo de ejecución.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plan se apoya en documentos de análisis y diseño ya terminados —requisitos, modelo de datos, casos de uso, prototipo y sistema de diseño—, lo que reduce la incertidumbre de la construcción y permite que cada sprint entregue un incremento verificable frente a requisitos previamente definidos.</w:t>
      </w:r>
    </w:p>
    <w:p>
      <w:pPr>
        <w:pStyle w:val="Heading1"/>
        <w:pageBreakBefore/>
        <w:spacing w:after="110" w:before="220"/>
      </w:pPr>
      <w:bookmarkStart w:name="bm23" w:id="23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10. Referencias</w:t>
      </w:r>
      <w:bookmarkEnd w:id="23"/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Especificación de requisitos de software INVENTRA (IEEE 830),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entidad-relación, modelo relacional y diccionario de datos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de análisis y diseño en UML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Historias de usuario y product backlog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técnico de diseño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de negocio INVENTRA, formato CREAR del Fondo Emprender, y su proyección financiera.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Schwaber, K. y Sutherland, J. La guía de Scrum. Scrum.org, 2020.</w:t>
      </w:r>
    </w:p>
    <w:sectPr>
      <w:footerReference w:type="default" r:id="rId7"/>
      <w:pgSz w:w="12240" w:h="15840" w:orient="portrait"/>
      <w:pgMar w:top="1080" w:right="1000" w:bottom="108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Dario Macias Espitia</dc:creator>
  <cp:lastModifiedBy>Un-named</cp:lastModifiedBy>
  <cp:revision>1</cp:revision>
  <dcterms:created xsi:type="dcterms:W3CDTF">2026-09-12T22:33:07.846Z</dcterms:created>
  <dcterms:modified xsi:type="dcterms:W3CDTF">2026-09-12T22:33:07.846Z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