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TerraMint: Real Estate NFT Marketplace Whitepaper</w:t>
      </w:r>
    </w:p>
    <w:p>
      <w:pPr>
        <w:pStyle w:val="Heading1"/>
      </w:pPr>
      <w:r>
        <w:t>Executive Summary</w:t>
      </w:r>
    </w:p>
    <w:p>
      <w:r>
        <w:t>Brief overview of TerraMint, its mission, and the problem it aims to solve with NFT-based real estate tokenization.</w:t>
      </w:r>
    </w:p>
    <w:p>
      <w:pPr>
        <w:pStyle w:val="Heading1"/>
      </w:pPr>
      <w:r>
        <w:t>Introduction</w:t>
      </w:r>
    </w:p>
    <w:p>
      <w:r>
        <w:t>Context on real estate inefficiencies, relevance of NFTs, and TerraMint’s vision.</w:t>
      </w:r>
    </w:p>
    <w:p>
      <w:pPr>
        <w:pStyle w:val="Heading1"/>
      </w:pPr>
      <w:r>
        <w:t>Problem Statement</w:t>
      </w:r>
    </w:p>
    <w:p>
      <w:r>
        <w:t>Issues like illiquidity, high entry barriers, lack of transparency, and inefficiencies in traditional real estate markets.</w:t>
      </w:r>
    </w:p>
    <w:p>
      <w:pPr>
        <w:pStyle w:val="Heading1"/>
      </w:pPr>
      <w:r>
        <w:t>Solution: TerraMint Platform</w:t>
      </w:r>
    </w:p>
    <w:p>
      <w:r>
        <w:t>Explanation of how TerraMint addresses these problems via blockchain, NFTs, and smart contracts.</w:t>
      </w:r>
    </w:p>
    <w:p>
      <w:pPr>
        <w:pStyle w:val="Heading1"/>
      </w:pPr>
      <w:r>
        <w:t>Platform Architecture</w:t>
      </w:r>
    </w:p>
    <w:p>
      <w:r>
        <w:t>Overview of the technical components: blockchain protocol, smart contracts, oracles, identity layers, and storage.</w:t>
      </w:r>
    </w:p>
    <w:p>
      <w:pPr>
        <w:pStyle w:val="Heading1"/>
      </w:pPr>
      <w:r>
        <w:t>Tokenomics</w:t>
      </w:r>
    </w:p>
    <w:p>
      <w:r>
        <w:t>Utility of native token (if any), supply, distribution, staking, rewards, and governance role.</w:t>
      </w:r>
    </w:p>
    <w:p>
      <w:pPr>
        <w:pStyle w:val="Heading1"/>
      </w:pPr>
      <w:r>
        <w:t>Legal and Compliance Framework</w:t>
      </w:r>
    </w:p>
    <w:p>
      <w:r>
        <w:t>KYC/AML, regulatory adherence, jurisdictional considerations, and real-world asset binding.</w:t>
      </w:r>
    </w:p>
    <w:p>
      <w:pPr>
        <w:pStyle w:val="Heading1"/>
      </w:pPr>
      <w:r>
        <w:t>Marketplace Features</w:t>
      </w:r>
    </w:p>
    <w:p>
      <w:r>
        <w:t>Features of the TerraMint marketplace including browsing, purchasing, resale, and user interface elements.</w:t>
      </w:r>
    </w:p>
    <w:p>
      <w:pPr>
        <w:pStyle w:val="Heading1"/>
      </w:pPr>
      <w:r>
        <w:t>Roadmap</w:t>
      </w:r>
    </w:p>
    <w:p>
      <w:r>
        <w:t>Development phases, MVP launch, feature rollouts, and expansion timeline.</w:t>
      </w:r>
    </w:p>
    <w:p>
      <w:pPr>
        <w:pStyle w:val="Heading1"/>
      </w:pPr>
      <w:r>
        <w:t>Team and Advisors</w:t>
      </w:r>
    </w:p>
    <w:p>
      <w:r>
        <w:t>Details about core team and advisory members, their backgrounds, and roles.</w:t>
      </w:r>
    </w:p>
    <w:p>
      <w:pPr>
        <w:pStyle w:val="Heading1"/>
      </w:pPr>
      <w:r>
        <w:t>Risks and Mitigation</w:t>
      </w:r>
    </w:p>
    <w:p>
      <w:r>
        <w:t>Key technical, legal, and market risks with mitigation strategies.</w:t>
      </w:r>
    </w:p>
    <w:p>
      <w:pPr>
        <w:pStyle w:val="Heading1"/>
      </w:pPr>
      <w:r>
        <w:t>Competitive Analysis</w:t>
      </w:r>
    </w:p>
    <w:p>
      <w:r>
        <w:t>Review of other platforms and how TerraMint differentiates.</w:t>
      </w:r>
    </w:p>
    <w:p>
      <w:pPr>
        <w:pStyle w:val="Heading1"/>
      </w:pPr>
      <w:r>
        <w:t>Community and Governance</w:t>
      </w:r>
    </w:p>
    <w:p>
      <w:r>
        <w:t>Plans for DAO integration, token-holder governance, and community incentives.</w:t>
      </w:r>
    </w:p>
    <w:p>
      <w:pPr>
        <w:pStyle w:val="Heading1"/>
      </w:pPr>
      <w:r>
        <w:t>Conclusion</w:t>
      </w:r>
    </w:p>
    <w:p>
      <w:r>
        <w:t>Final thoughts on TerraMint’s potential impact on real estate investing.</w:t>
      </w:r>
    </w:p>
    <w:p>
      <w:pPr>
        <w:pStyle w:val="Heading1"/>
      </w:pPr>
      <w:r>
        <w:t>Appendices</w:t>
      </w:r>
    </w:p>
    <w:p>
      <w:r>
        <w:t>Glossary, technical diagrams, regulatory references, and FAQs.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