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5326" w:rsidRPr="00455326" w:rsidRDefault="00455326" w:rsidP="00455326">
      <w:pPr>
        <w:rPr>
          <w:rFonts w:ascii="Times New Roman" w:eastAsia="Times New Roman" w:hAnsi="Times New Roman" w:cs="Times New Roman"/>
        </w:rPr>
      </w:pPr>
      <w:r w:rsidRPr="00455326">
        <w:rPr>
          <w:rFonts w:ascii="Times New Roman" w:eastAsia="Times New Roman" w:hAnsi="Times New Roman" w:cs="Times New Roman"/>
        </w:rPr>
        <w:fldChar w:fldCharType="begin"/>
      </w:r>
      <w:r w:rsidRPr="00455326">
        <w:rPr>
          <w:rFonts w:ascii="Times New Roman" w:eastAsia="Times New Roman" w:hAnsi="Times New Roman" w:cs="Times New Roman"/>
        </w:rPr>
        <w:instrText xml:space="preserve"> HYPERLINK "https://www.kaggle.com/noriuk/us-education-datasets-unification-project" </w:instrText>
      </w:r>
      <w:r w:rsidRPr="00455326">
        <w:rPr>
          <w:rFonts w:ascii="Times New Roman" w:eastAsia="Times New Roman" w:hAnsi="Times New Roman" w:cs="Times New Roman"/>
        </w:rPr>
        <w:fldChar w:fldCharType="separate"/>
      </w:r>
      <w:r w:rsidRPr="00455326">
        <w:rPr>
          <w:rFonts w:ascii="Times New Roman" w:eastAsia="Times New Roman" w:hAnsi="Times New Roman" w:cs="Times New Roman"/>
          <w:color w:val="0000FF"/>
          <w:u w:val="single"/>
        </w:rPr>
        <w:t>https://www.kaggle.com/noriuk/us-education-datasets-unification-project</w:t>
      </w:r>
      <w:r w:rsidRPr="00455326">
        <w:rPr>
          <w:rFonts w:ascii="Times New Roman" w:eastAsia="Times New Roman" w:hAnsi="Times New Roman" w:cs="Times New Roman"/>
        </w:rPr>
        <w:fldChar w:fldCharType="end"/>
      </w:r>
    </w:p>
    <w:p w:rsidR="00F1300D" w:rsidRDefault="003C1F09"/>
    <w:p w:rsidR="009836AD" w:rsidRDefault="009836AD" w:rsidP="009836AD">
      <w:pPr>
        <w:rPr>
          <w:rFonts w:ascii="Times New Roman" w:eastAsia="Times New Roman" w:hAnsi="Times New Roman" w:cs="Times New Roman"/>
        </w:rPr>
      </w:pPr>
      <w:hyperlink r:id="rId4" w:history="1">
        <w:r w:rsidRPr="009836AD">
          <w:rPr>
            <w:rFonts w:ascii="Times New Roman" w:eastAsia="Times New Roman" w:hAnsi="Times New Roman" w:cs="Times New Roman"/>
            <w:color w:val="0000FF"/>
            <w:u w:val="single"/>
          </w:rPr>
          <w:t>https://nces.ed.gov/</w:t>
        </w:r>
      </w:hyperlink>
      <w:r>
        <w:rPr>
          <w:rFonts w:ascii="Times New Roman" w:eastAsia="Times New Roman" w:hAnsi="Times New Roman" w:cs="Times New Roman"/>
        </w:rPr>
        <w:t xml:space="preserve"> : National Center for Education Statistics</w:t>
      </w:r>
    </w:p>
    <w:p w:rsidR="009836AD" w:rsidRDefault="009836AD" w:rsidP="009836AD">
      <w:pPr>
        <w:rPr>
          <w:rFonts w:ascii="Times New Roman" w:eastAsia="Times New Roman" w:hAnsi="Times New Roman" w:cs="Times New Roman"/>
        </w:rPr>
      </w:pPr>
    </w:p>
    <w:p w:rsidR="009836AD" w:rsidRPr="009836AD" w:rsidRDefault="009836AD" w:rsidP="009836AD">
      <w:pPr>
        <w:rPr>
          <w:rFonts w:ascii="Times New Roman" w:eastAsia="Times New Roman" w:hAnsi="Times New Roman" w:cs="Times New Roman"/>
        </w:rPr>
      </w:pPr>
      <w:proofErr w:type="gramStart"/>
      <w:r w:rsidRPr="009836AD">
        <w:rPr>
          <w:rFonts w:ascii="Times New Roman" w:eastAsia="Times New Roman" w:hAnsi="Times New Roman" w:cs="Times New Roman"/>
          <w:b/>
        </w:rPr>
        <w:t>ACGR</w:t>
      </w:r>
      <w:r>
        <w:rPr>
          <w:rFonts w:ascii="Times New Roman" w:eastAsia="Times New Roman" w:hAnsi="Times New Roman" w:cs="Times New Roman"/>
          <w:b/>
        </w:rPr>
        <w:t>(</w:t>
      </w:r>
      <w:proofErr w:type="gramEnd"/>
      <w:r w:rsidRPr="009836AD">
        <w:rPr>
          <w:rFonts w:ascii="Helvetica Neue" w:eastAsia="Times New Roman" w:hAnsi="Helvetica Neue" w:cs="Times New Roman"/>
          <w:b/>
          <w:bCs/>
          <w:i/>
          <w:iCs/>
          <w:color w:val="333333"/>
          <w:sz w:val="25"/>
          <w:szCs w:val="25"/>
          <w:shd w:val="clear" w:color="auto" w:fill="FFFFFF"/>
        </w:rPr>
        <w:t>Adjusted Cohort Graduation Rate</w:t>
      </w:r>
      <w:r>
        <w:rPr>
          <w:rFonts w:ascii="Helvetica Neue" w:eastAsia="Times New Roman" w:hAnsi="Helvetica Neue" w:cs="Times New Roman"/>
          <w:b/>
          <w:bCs/>
          <w:i/>
          <w:iCs/>
          <w:color w:val="333333"/>
          <w:sz w:val="25"/>
          <w:szCs w:val="25"/>
          <w:shd w:val="clear" w:color="auto" w:fill="FFFFFF"/>
        </w:rPr>
        <w:t>)</w:t>
      </w:r>
    </w:p>
    <w:p w:rsidR="009836AD" w:rsidRDefault="009836AD" w:rsidP="009836AD">
      <w:pPr>
        <w:rPr>
          <w:rFonts w:ascii="Helvetica Neue" w:eastAsia="Times New Roman" w:hAnsi="Helvetica Neue" w:cs="Times New Roman"/>
          <w:color w:val="333333"/>
          <w:sz w:val="25"/>
          <w:szCs w:val="25"/>
          <w:shd w:val="clear" w:color="auto" w:fill="FFFFFF"/>
        </w:rPr>
      </w:pPr>
      <w:r w:rsidRPr="009836AD">
        <w:rPr>
          <w:rFonts w:ascii="Times New Roman" w:eastAsia="Times New Roman" w:hAnsi="Times New Roman" w:cs="Times New Roman"/>
          <w:b/>
        </w:rPr>
        <w:t xml:space="preserve"> :</w:t>
      </w:r>
      <w:r>
        <w:rPr>
          <w:rFonts w:ascii="Times New Roman" w:eastAsia="Times New Roman" w:hAnsi="Times New Roman" w:cs="Times New Roman"/>
        </w:rPr>
        <w:t xml:space="preserve"> </w:t>
      </w:r>
      <w:r w:rsidRPr="009836AD">
        <w:rPr>
          <w:rFonts w:ascii="Helvetica Neue" w:eastAsia="Times New Roman" w:hAnsi="Helvetica Neue" w:cs="Times New Roman"/>
          <w:color w:val="333333"/>
          <w:sz w:val="25"/>
          <w:szCs w:val="25"/>
          <w:shd w:val="clear" w:color="auto" w:fill="FFFFFF"/>
        </w:rPr>
        <w:t>The ACGR was first collected for 2010-11 and is a newer graduation rate measure. To calculate the ACGR, states identify the “cohort” of first-time 9</w:t>
      </w:r>
      <w:r w:rsidRPr="009836AD">
        <w:rPr>
          <w:rFonts w:ascii="Helvetica Neue" w:eastAsia="Times New Roman" w:hAnsi="Helvetica Neue" w:cs="Times New Roman"/>
          <w:color w:val="333333"/>
          <w:sz w:val="19"/>
          <w:szCs w:val="19"/>
          <w:shd w:val="clear" w:color="auto" w:fill="FFFFFF"/>
          <w:vertAlign w:val="superscript"/>
        </w:rPr>
        <w:t>th</w:t>
      </w:r>
      <w:r w:rsidRPr="009836AD">
        <w:rPr>
          <w:rFonts w:ascii="Helvetica Neue" w:eastAsia="Times New Roman" w:hAnsi="Helvetica Neue" w:cs="Times New Roman"/>
          <w:color w:val="333333"/>
          <w:sz w:val="25"/>
          <w:szCs w:val="25"/>
          <w:shd w:val="clear" w:color="auto" w:fill="FFFFFF"/>
        </w:rPr>
        <w:t> graders in a particular school year, and adjust this number by adding any students who transfer into the cohort after 9</w:t>
      </w:r>
      <w:r w:rsidRPr="009836AD">
        <w:rPr>
          <w:rFonts w:ascii="Helvetica Neue" w:eastAsia="Times New Roman" w:hAnsi="Helvetica Neue" w:cs="Times New Roman"/>
          <w:color w:val="333333"/>
          <w:sz w:val="19"/>
          <w:szCs w:val="19"/>
          <w:shd w:val="clear" w:color="auto" w:fill="FFFFFF"/>
          <w:vertAlign w:val="superscript"/>
        </w:rPr>
        <w:t>th</w:t>
      </w:r>
      <w:r w:rsidRPr="009836AD">
        <w:rPr>
          <w:rFonts w:ascii="Helvetica Neue" w:eastAsia="Times New Roman" w:hAnsi="Helvetica Neue" w:cs="Times New Roman"/>
          <w:color w:val="333333"/>
          <w:sz w:val="25"/>
          <w:szCs w:val="25"/>
          <w:shd w:val="clear" w:color="auto" w:fill="FFFFFF"/>
        </w:rPr>
        <w:t> grade and subtracting any students who transfer out, emigrate to another country, or pass away. The ACGR is the percentage of the students in this cohort who graduate within four years. </w:t>
      </w:r>
    </w:p>
    <w:p w:rsidR="009836AD" w:rsidRDefault="009836AD" w:rsidP="009836AD">
      <w:pPr>
        <w:rPr>
          <w:rFonts w:ascii="Times New Roman" w:eastAsia="Times New Roman" w:hAnsi="Times New Roman" w:cs="Times New Roman"/>
        </w:rPr>
      </w:pPr>
    </w:p>
    <w:p w:rsidR="009836AD" w:rsidRPr="009836AD" w:rsidRDefault="009836AD" w:rsidP="009836AD">
      <w:pPr>
        <w:rPr>
          <w:rFonts w:ascii="Times New Roman" w:eastAsia="Times New Roman" w:hAnsi="Times New Roman" w:cs="Times New Roman"/>
        </w:rPr>
      </w:pPr>
      <w:r w:rsidRPr="009836AD">
        <w:rPr>
          <w:rFonts w:ascii="Helvetica Neue" w:eastAsia="Times New Roman" w:hAnsi="Helvetica Neue" w:cs="Times New Roman"/>
          <w:b/>
          <w:color w:val="333333"/>
          <w:sz w:val="25"/>
          <w:szCs w:val="25"/>
          <w:shd w:val="clear" w:color="auto" w:fill="FFFFFF"/>
        </w:rPr>
        <w:t xml:space="preserve">AGFR </w:t>
      </w:r>
      <w:r>
        <w:rPr>
          <w:rFonts w:ascii="Helvetica Neue" w:eastAsia="Times New Roman" w:hAnsi="Helvetica Neue" w:cs="Times New Roman"/>
          <w:b/>
          <w:color w:val="333333"/>
          <w:sz w:val="25"/>
          <w:szCs w:val="25"/>
          <w:shd w:val="clear" w:color="auto" w:fill="FFFFFF"/>
        </w:rPr>
        <w:t>(</w:t>
      </w:r>
      <w:r w:rsidRPr="009836AD">
        <w:rPr>
          <w:rFonts w:ascii="Helvetica Neue" w:eastAsia="Times New Roman" w:hAnsi="Helvetica Neue" w:cs="Times New Roman"/>
          <w:b/>
          <w:bCs/>
          <w:i/>
          <w:iCs/>
          <w:color w:val="333333"/>
          <w:sz w:val="25"/>
          <w:szCs w:val="25"/>
          <w:shd w:val="clear" w:color="auto" w:fill="FFFFFF"/>
        </w:rPr>
        <w:t>Averaged Freshman Graduation Rate</w:t>
      </w:r>
      <w:r>
        <w:rPr>
          <w:rFonts w:ascii="Helvetica Neue" w:eastAsia="Times New Roman" w:hAnsi="Helvetica Neue" w:cs="Times New Roman"/>
          <w:b/>
          <w:bCs/>
          <w:i/>
          <w:iCs/>
          <w:color w:val="333333"/>
          <w:sz w:val="25"/>
          <w:szCs w:val="25"/>
          <w:shd w:val="clear" w:color="auto" w:fill="FFFFFF"/>
        </w:rPr>
        <w:t>)</w:t>
      </w:r>
    </w:p>
    <w:p w:rsidR="009836AD" w:rsidRPr="009836AD" w:rsidRDefault="009836AD" w:rsidP="009836AD">
      <w:pPr>
        <w:rPr>
          <w:rFonts w:ascii="Times New Roman" w:eastAsia="Times New Roman" w:hAnsi="Times New Roman" w:cs="Times New Roman"/>
        </w:rPr>
      </w:pPr>
      <w:r w:rsidRPr="009836AD">
        <w:rPr>
          <w:rFonts w:ascii="Helvetica Neue" w:eastAsia="Times New Roman" w:hAnsi="Helvetica Neue" w:cs="Times New Roman"/>
          <w:b/>
          <w:color w:val="333333"/>
          <w:sz w:val="25"/>
          <w:szCs w:val="25"/>
          <w:shd w:val="clear" w:color="auto" w:fill="FFFFFF"/>
        </w:rPr>
        <w:t xml:space="preserve">: </w:t>
      </w:r>
      <w:r w:rsidRPr="009836AD">
        <w:rPr>
          <w:rFonts w:ascii="Helvetica Neue" w:eastAsia="Times New Roman" w:hAnsi="Helvetica Neue" w:cs="Times New Roman"/>
          <w:color w:val="333333"/>
          <w:sz w:val="25"/>
          <w:szCs w:val="25"/>
          <w:shd w:val="clear" w:color="auto" w:fill="FFFFFF"/>
        </w:rPr>
        <w:t>The AFGR uses aggregate student enrollment data to estimate the size of an incoming freshman class, which is compared to the number of high school diplomas awarded 4 years later. The incoming freshman class size is estimated by summing 8</w:t>
      </w:r>
      <w:r w:rsidRPr="009836AD">
        <w:rPr>
          <w:rFonts w:ascii="Helvetica Neue" w:eastAsia="Times New Roman" w:hAnsi="Helvetica Neue" w:cs="Times New Roman"/>
          <w:color w:val="333333"/>
          <w:sz w:val="19"/>
          <w:szCs w:val="19"/>
          <w:shd w:val="clear" w:color="auto" w:fill="FFFFFF"/>
          <w:vertAlign w:val="superscript"/>
        </w:rPr>
        <w:t>th</w:t>
      </w:r>
      <w:r w:rsidRPr="009836AD">
        <w:rPr>
          <w:rFonts w:ascii="Helvetica Neue" w:eastAsia="Times New Roman" w:hAnsi="Helvetica Neue" w:cs="Times New Roman"/>
          <w:color w:val="333333"/>
          <w:sz w:val="25"/>
          <w:szCs w:val="25"/>
          <w:shd w:val="clear" w:color="auto" w:fill="FFFFFF"/>
        </w:rPr>
        <w:t> grade enrollment in year one, 9</w:t>
      </w:r>
      <w:r w:rsidRPr="009836AD">
        <w:rPr>
          <w:rFonts w:ascii="Helvetica Neue" w:eastAsia="Times New Roman" w:hAnsi="Helvetica Neue" w:cs="Times New Roman"/>
          <w:color w:val="333333"/>
          <w:sz w:val="19"/>
          <w:szCs w:val="19"/>
          <w:shd w:val="clear" w:color="auto" w:fill="FFFFFF"/>
          <w:vertAlign w:val="superscript"/>
        </w:rPr>
        <w:t>th</w:t>
      </w:r>
      <w:r w:rsidRPr="009836AD">
        <w:rPr>
          <w:rFonts w:ascii="Helvetica Neue" w:eastAsia="Times New Roman" w:hAnsi="Helvetica Neue" w:cs="Times New Roman"/>
          <w:color w:val="333333"/>
          <w:sz w:val="25"/>
          <w:szCs w:val="25"/>
          <w:shd w:val="clear" w:color="auto" w:fill="FFFFFF"/>
        </w:rPr>
        <w:t> grade enrollment for the next year, and 10</w:t>
      </w:r>
      <w:r w:rsidRPr="009836AD">
        <w:rPr>
          <w:rFonts w:ascii="Helvetica Neue" w:eastAsia="Times New Roman" w:hAnsi="Helvetica Neue" w:cs="Times New Roman"/>
          <w:color w:val="333333"/>
          <w:sz w:val="19"/>
          <w:szCs w:val="19"/>
          <w:shd w:val="clear" w:color="auto" w:fill="FFFFFF"/>
          <w:vertAlign w:val="superscript"/>
        </w:rPr>
        <w:t>th</w:t>
      </w:r>
      <w:r w:rsidRPr="009836AD">
        <w:rPr>
          <w:rFonts w:ascii="Helvetica Neue" w:eastAsia="Times New Roman" w:hAnsi="Helvetica Neue" w:cs="Times New Roman"/>
          <w:color w:val="333333"/>
          <w:sz w:val="25"/>
          <w:szCs w:val="25"/>
          <w:shd w:val="clear" w:color="auto" w:fill="FFFFFF"/>
        </w:rPr>
        <w:t> grade enrollment for the year after, and then dividing by three</w:t>
      </w:r>
    </w:p>
    <w:p w:rsidR="009836AD" w:rsidRDefault="009836AD" w:rsidP="009836AD">
      <w:pPr>
        <w:rPr>
          <w:rFonts w:ascii="Times New Roman" w:eastAsia="Times New Roman" w:hAnsi="Times New Roman" w:cs="Times New Roman"/>
        </w:rPr>
      </w:pPr>
    </w:p>
    <w:p w:rsidR="00AE12DA" w:rsidRPr="00AE12DA" w:rsidRDefault="00644C65" w:rsidP="00AE12DA">
      <w:pPr>
        <w:rPr>
          <w:rFonts w:ascii="Times New Roman" w:eastAsia="Times New Roman" w:hAnsi="Times New Roman" w:cs="Times New Roman"/>
        </w:rPr>
      </w:pPr>
      <w:r w:rsidRPr="00644C65">
        <w:rPr>
          <w:rFonts w:ascii="Times New Roman" w:eastAsia="Times New Roman" w:hAnsi="Times New Roman" w:cs="Times New Roman"/>
          <w:b/>
        </w:rPr>
        <w:t>Graduation rate before 2010</w:t>
      </w:r>
      <w:r>
        <w:rPr>
          <w:rFonts w:ascii="Times New Roman" w:eastAsia="Times New Roman" w:hAnsi="Times New Roman" w:cs="Times New Roman"/>
        </w:rPr>
        <w:t xml:space="preserve">: </w:t>
      </w:r>
      <w:hyperlink r:id="rId5" w:history="1">
        <w:r w:rsidRPr="00634348">
          <w:rPr>
            <w:rStyle w:val="Hyperlink"/>
            <w:rFonts w:ascii="Times New Roman" w:eastAsia="Times New Roman" w:hAnsi="Times New Roman" w:cs="Times New Roman"/>
          </w:rPr>
          <w:t>https://www.edweek.org/ew/dc/2014/grad-rate-trends.html</w:t>
        </w:r>
      </w:hyperlink>
    </w:p>
    <w:p w:rsidR="00AE12DA" w:rsidRPr="009836AD" w:rsidRDefault="00AE12DA" w:rsidP="009836AD">
      <w:pPr>
        <w:rPr>
          <w:rFonts w:ascii="Times New Roman" w:eastAsia="Times New Roman" w:hAnsi="Times New Roman" w:cs="Times New Roman"/>
        </w:rPr>
      </w:pPr>
    </w:p>
    <w:p w:rsidR="009836AD" w:rsidRPr="009836AD" w:rsidRDefault="009836AD" w:rsidP="009836AD">
      <w:pPr>
        <w:rPr>
          <w:rFonts w:ascii="Times New Roman" w:eastAsia="Times New Roman" w:hAnsi="Times New Roman" w:cs="Times New Roman"/>
        </w:rPr>
      </w:pPr>
    </w:p>
    <w:p w:rsidR="00644C65" w:rsidRPr="00644C65" w:rsidRDefault="00644C65" w:rsidP="00644C65">
      <w:pPr>
        <w:rPr>
          <w:rFonts w:ascii="Times New Roman" w:eastAsia="Times New Roman" w:hAnsi="Times New Roman" w:cs="Times New Roman"/>
        </w:rPr>
      </w:pPr>
      <w:r>
        <w:t xml:space="preserve">School system Financials: </w:t>
      </w:r>
      <w:hyperlink r:id="rId6" w:history="1">
        <w:r w:rsidRPr="00644C65">
          <w:rPr>
            <w:rFonts w:ascii="Times New Roman" w:eastAsia="Times New Roman" w:hAnsi="Times New Roman" w:cs="Times New Roman"/>
            <w:color w:val="0000FF"/>
            <w:u w:val="single"/>
          </w:rPr>
          <w:t>https://www.census.gov/programs-surveys/school-finances/data/tables.html</w:t>
        </w:r>
      </w:hyperlink>
    </w:p>
    <w:p w:rsidR="009836AD" w:rsidRDefault="009836AD"/>
    <w:p w:rsidR="00644C65" w:rsidRDefault="00644C65">
      <w:bookmarkStart w:id="0" w:name="_GoBack"/>
      <w:bookmarkEnd w:id="0"/>
    </w:p>
    <w:sectPr w:rsidR="00644C65" w:rsidSect="00627A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326"/>
    <w:rsid w:val="003C1F09"/>
    <w:rsid w:val="00455326"/>
    <w:rsid w:val="00627A23"/>
    <w:rsid w:val="00644C65"/>
    <w:rsid w:val="009836AD"/>
    <w:rsid w:val="00AE12DA"/>
    <w:rsid w:val="00D11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7D3CF9"/>
  <w15:chartTrackingRefBased/>
  <w15:docId w15:val="{F082CE78-1B5B-AE48-B923-82FA90CE6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5326"/>
    <w:rPr>
      <w:color w:val="0000FF"/>
      <w:u w:val="single"/>
    </w:rPr>
  </w:style>
  <w:style w:type="character" w:styleId="Emphasis">
    <w:name w:val="Emphasis"/>
    <w:basedOn w:val="DefaultParagraphFont"/>
    <w:uiPriority w:val="20"/>
    <w:qFormat/>
    <w:rsid w:val="009836AD"/>
    <w:rPr>
      <w:i/>
      <w:iCs/>
    </w:rPr>
  </w:style>
  <w:style w:type="character" w:styleId="UnresolvedMention">
    <w:name w:val="Unresolved Mention"/>
    <w:basedOn w:val="DefaultParagraphFont"/>
    <w:uiPriority w:val="99"/>
    <w:semiHidden/>
    <w:unhideWhenUsed/>
    <w:rsid w:val="00644C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034590">
      <w:bodyDiv w:val="1"/>
      <w:marLeft w:val="0"/>
      <w:marRight w:val="0"/>
      <w:marTop w:val="0"/>
      <w:marBottom w:val="0"/>
      <w:divBdr>
        <w:top w:val="none" w:sz="0" w:space="0" w:color="auto"/>
        <w:left w:val="none" w:sz="0" w:space="0" w:color="auto"/>
        <w:bottom w:val="none" w:sz="0" w:space="0" w:color="auto"/>
        <w:right w:val="none" w:sz="0" w:space="0" w:color="auto"/>
      </w:divBdr>
    </w:div>
    <w:div w:id="536091271">
      <w:bodyDiv w:val="1"/>
      <w:marLeft w:val="0"/>
      <w:marRight w:val="0"/>
      <w:marTop w:val="0"/>
      <w:marBottom w:val="0"/>
      <w:divBdr>
        <w:top w:val="none" w:sz="0" w:space="0" w:color="auto"/>
        <w:left w:val="none" w:sz="0" w:space="0" w:color="auto"/>
        <w:bottom w:val="none" w:sz="0" w:space="0" w:color="auto"/>
        <w:right w:val="none" w:sz="0" w:space="0" w:color="auto"/>
      </w:divBdr>
    </w:div>
    <w:div w:id="647322819">
      <w:bodyDiv w:val="1"/>
      <w:marLeft w:val="0"/>
      <w:marRight w:val="0"/>
      <w:marTop w:val="0"/>
      <w:marBottom w:val="0"/>
      <w:divBdr>
        <w:top w:val="none" w:sz="0" w:space="0" w:color="auto"/>
        <w:left w:val="none" w:sz="0" w:space="0" w:color="auto"/>
        <w:bottom w:val="none" w:sz="0" w:space="0" w:color="auto"/>
        <w:right w:val="none" w:sz="0" w:space="0" w:color="auto"/>
      </w:divBdr>
    </w:div>
    <w:div w:id="668212258">
      <w:bodyDiv w:val="1"/>
      <w:marLeft w:val="0"/>
      <w:marRight w:val="0"/>
      <w:marTop w:val="0"/>
      <w:marBottom w:val="0"/>
      <w:divBdr>
        <w:top w:val="none" w:sz="0" w:space="0" w:color="auto"/>
        <w:left w:val="none" w:sz="0" w:space="0" w:color="auto"/>
        <w:bottom w:val="none" w:sz="0" w:space="0" w:color="auto"/>
        <w:right w:val="none" w:sz="0" w:space="0" w:color="auto"/>
      </w:divBdr>
    </w:div>
    <w:div w:id="1112822839">
      <w:bodyDiv w:val="1"/>
      <w:marLeft w:val="0"/>
      <w:marRight w:val="0"/>
      <w:marTop w:val="0"/>
      <w:marBottom w:val="0"/>
      <w:divBdr>
        <w:top w:val="none" w:sz="0" w:space="0" w:color="auto"/>
        <w:left w:val="none" w:sz="0" w:space="0" w:color="auto"/>
        <w:bottom w:val="none" w:sz="0" w:space="0" w:color="auto"/>
        <w:right w:val="none" w:sz="0" w:space="0" w:color="auto"/>
      </w:divBdr>
    </w:div>
    <w:div w:id="1267618701">
      <w:bodyDiv w:val="1"/>
      <w:marLeft w:val="0"/>
      <w:marRight w:val="0"/>
      <w:marTop w:val="0"/>
      <w:marBottom w:val="0"/>
      <w:divBdr>
        <w:top w:val="none" w:sz="0" w:space="0" w:color="auto"/>
        <w:left w:val="none" w:sz="0" w:space="0" w:color="auto"/>
        <w:bottom w:val="none" w:sz="0" w:space="0" w:color="auto"/>
        <w:right w:val="none" w:sz="0" w:space="0" w:color="auto"/>
      </w:divBdr>
    </w:div>
    <w:div w:id="1808820549">
      <w:bodyDiv w:val="1"/>
      <w:marLeft w:val="0"/>
      <w:marRight w:val="0"/>
      <w:marTop w:val="0"/>
      <w:marBottom w:val="0"/>
      <w:divBdr>
        <w:top w:val="none" w:sz="0" w:space="0" w:color="auto"/>
        <w:left w:val="none" w:sz="0" w:space="0" w:color="auto"/>
        <w:bottom w:val="none" w:sz="0" w:space="0" w:color="auto"/>
        <w:right w:val="none" w:sz="0" w:space="0" w:color="auto"/>
      </w:divBdr>
    </w:div>
    <w:div w:id="2102481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ensus.gov/programs-surveys/school-finances/data/tables.html" TargetMode="External"/><Relationship Id="rId5" Type="http://schemas.openxmlformats.org/officeDocument/2006/relationships/hyperlink" Target="https://www.edweek.org/ew/dc/2014/grad-rate-trends.html" TargetMode="External"/><Relationship Id="rId4" Type="http://schemas.openxmlformats.org/officeDocument/2006/relationships/hyperlink" Target="https://nces.ed.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230</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2020-01-29T17:54:00Z</dcterms:created>
  <dcterms:modified xsi:type="dcterms:W3CDTF">2020-01-30T04:39:00Z</dcterms:modified>
</cp:coreProperties>
</file>