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Arial Unicode MS"/>
          <w:b w:val="0"/>
          <w:sz w:val="52"/>
        </w:rPr>
        <w:t>ERP 頁面資料關係說明</w:t>
      </w:r>
    </w:p>
    <w:p>
      <w:r>
        <w:rPr>
          <w:rFonts w:ascii="Arial" w:hAnsi="Arial" w:eastAsia="Arial Unicode MS"/>
        </w:rPr>
        <w:t>UNV.PLAN ERP｜資料庫、頁面與欄位層級關聯整理</w:t>
      </w:r>
    </w:p>
    <w:p>
      <w:pPr>
        <w:pStyle w:val="Heading1"/>
      </w:pPr>
      <w:r>
        <w:rPr>
          <w:rFonts w:ascii="Arial" w:hAnsi="Arial" w:eastAsia="Arial Unicode MS"/>
          <w:sz w:val="40"/>
        </w:rPr>
        <w:t>目錄</w:t>
      </w:r>
    </w:p>
    <w:p>
      <w:pPr>
        <w:pStyle w:val="ListNumber"/>
      </w:pPr>
      <w:r>
        <w:rPr>
          <w:rFonts w:ascii="Arial" w:hAnsi="Arial" w:eastAsia="Arial Unicode MS"/>
        </w:rPr>
        <w:t>一、讀圖方式</w:t>
      </w:r>
    </w:p>
    <w:p>
      <w:pPr>
        <w:pStyle w:val="ListNumber"/>
      </w:pPr>
      <w:r>
        <w:rPr>
          <w:rFonts w:ascii="Arial" w:hAnsi="Arial" w:eastAsia="Arial Unicode MS"/>
        </w:rPr>
        <w:t>二、頁面模組總覽</w:t>
      </w:r>
    </w:p>
    <w:p>
      <w:pPr>
        <w:pStyle w:val="ListNumber"/>
      </w:pPr>
      <w:r>
        <w:rPr>
          <w:rFonts w:ascii="Arial" w:hAnsi="Arial" w:eastAsia="Arial Unicode MS"/>
        </w:rPr>
        <w:t>三、營收核心關聯</w:t>
      </w:r>
    </w:p>
    <w:p>
      <w:pPr>
        <w:pStyle w:val="ListNumber"/>
      </w:pPr>
      <w:r>
        <w:rPr>
          <w:rFonts w:ascii="Arial" w:hAnsi="Arial" w:eastAsia="Arial Unicode MS"/>
        </w:rPr>
        <w:t>四、模組、頁面與資料庫關聯</w:t>
      </w:r>
    </w:p>
    <w:p>
      <w:pPr>
        <w:pStyle w:val="ListNumber"/>
      </w:pPr>
      <w:r>
        <w:rPr>
          <w:rFonts w:ascii="Arial" w:hAnsi="Arial" w:eastAsia="Arial Unicode MS"/>
        </w:rPr>
        <w:t>五、頁面欄位層級關聯</w:t>
      </w:r>
    </w:p>
    <w:p>
      <w:pPr>
        <w:pStyle w:val="ListNumber"/>
      </w:pPr>
      <w:r>
        <w:rPr>
          <w:rFonts w:ascii="Arial" w:hAnsi="Arial" w:eastAsia="Arial Unicode MS"/>
        </w:rPr>
        <w:t>六、核心資料流</w:t>
      </w:r>
    </w:p>
    <w:p>
      <w:pPr>
        <w:pStyle w:val="ListNumber"/>
      </w:pPr>
      <w:r>
        <w:rPr>
          <w:rFonts w:ascii="Arial" w:hAnsi="Arial" w:eastAsia="Arial Unicode MS"/>
        </w:rPr>
        <w:t>七、報表計算資料來源</w:t>
      </w:r>
    </w:p>
    <w:p>
      <w:r>
        <w:fldChar w:fldCharType="begin"/>
        <w:instrText xml:space="preserve">TOC \o "1-3" \h \z \u</w:instrText>
        <w:fldChar w:fldCharType="separate"/>
        <w:t>請在 Word 或 Google Docs 更新目錄</w:t>
        <w:fldChar w:fldCharType="end"/>
      </w:r>
    </w:p>
    <w:p>
      <w:r>
        <w:br w:type="page"/>
      </w:r>
    </w:p>
    <w:p>
      <w:pPr>
        <w:pStyle w:val="Heading1"/>
      </w:pPr>
      <w:r>
        <w:rPr>
          <w:rFonts w:ascii="Arial" w:hAnsi="Arial" w:eastAsia="Arial Unicode MS"/>
          <w:sz w:val="40"/>
        </w:rPr>
        <w:t>一、讀圖方式</w:t>
      </w:r>
    </w:p>
    <w:p>
      <w:r>
        <w:rPr>
          <w:rFonts w:ascii="Arial" w:hAnsi="Arial" w:eastAsia="Arial Unicode MS"/>
        </w:rPr>
        <w:t>本文件依 http://localhost:3000 dev app 目前側邊欄頁面整理。</w:t>
      </w:r>
    </w:p>
    <w:p>
      <w:r>
        <w:rPr>
          <w:rFonts w:ascii="Arial" w:hAnsi="Arial" w:eastAsia="Arial Unicode MS"/>
        </w:rPr>
        <w:t>1. 外框是側邊欄模組。</w:t>
      </w:r>
    </w:p>
    <w:p>
      <w:r>
        <w:rPr>
          <w:rFonts w:ascii="Arial" w:hAnsi="Arial" w:eastAsia="Arial Unicode MS"/>
        </w:rPr>
        <w:t>2. 白色節點是實際頁面。</w:t>
      </w:r>
    </w:p>
    <w:p>
      <w:r>
        <w:rPr>
          <w:rFonts w:ascii="Arial" w:hAnsi="Arial" w:eastAsia="Arial Unicode MS"/>
        </w:rPr>
        <w:t>3. 圓柱節點是資料表。</w:t>
      </w:r>
    </w:p>
    <w:p>
      <w:r>
        <w:rPr>
          <w:rFonts w:ascii="Arial" w:hAnsi="Arial" w:eastAsia="Arial Unicode MS"/>
        </w:rPr>
        <w:t>4. 粗線表示頁面之間的強關聯。</w:t>
      </w:r>
    </w:p>
    <w:p>
      <w:r>
        <w:rPr>
          <w:rFonts w:ascii="Arial" w:hAnsi="Arial" w:eastAsia="Arial Unicode MS"/>
        </w:rPr>
        <w:t>5. 實線表示頁面讀寫資料表，或資料表之間的外鍵關聯。</w:t>
      </w:r>
    </w:p>
    <w:p>
      <w:r>
        <w:rPr>
          <w:rFonts w:ascii="Arial" w:hAnsi="Arial" w:eastAsia="Arial Unicode MS"/>
        </w:rPr>
        <w:t>6. 虛線表示同步產生、報表彙總或權限控制。</w:t>
      </w:r>
    </w:p>
    <w:p>
      <w:r>
        <w:rPr>
          <w:rFonts w:ascii="Arial" w:hAnsi="Arial" w:eastAsia="Arial Unicode MS"/>
        </w:rPr>
        <w:t>目前側邊欄頁面為：營收登記、數據總覽、進銷項目、人員管理、排班紀錄、月報表、年報表、庫存紀錄、零用支出、固定支出、活動管理、SOP、權限設定。</w:t>
      </w:r>
    </w:p>
    <w:p>
      <w:pPr>
        <w:pStyle w:val="Heading1"/>
      </w:pPr>
      <w:r>
        <w:rPr>
          <w:rFonts w:ascii="Arial" w:hAnsi="Arial" w:eastAsia="Arial Unicode MS"/>
          <w:sz w:val="40"/>
        </w:rPr>
        <w:t>二、頁面模組總覽</w:t>
      </w:r>
    </w:p>
    <w:p>
      <w:r>
        <w:drawing>
          <wp:inline xmlns:a="http://schemas.openxmlformats.org/drawingml/2006/main" xmlns:pic="http://schemas.openxmlformats.org/drawingml/2006/picture">
            <wp:extent cx="5943600" cy="330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-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 w:eastAsia="Arial Unicode MS"/>
        </w:rPr>
        <w:t>這張只放側邊欄頁面，不放資料表。先看模組位置與頁面之間的主流程。</w:t>
      </w:r>
    </w:p>
    <w:p>
      <w:pPr>
        <w:pStyle w:val="Heading1"/>
      </w:pPr>
      <w:r>
        <w:rPr>
          <w:rFonts w:ascii="Arial" w:hAnsi="Arial" w:eastAsia="Arial Unicode MS"/>
          <w:sz w:val="40"/>
        </w:rPr>
        <w:t>三、營收核心關聯</w:t>
      </w:r>
    </w:p>
    <w:p>
      <w:r>
        <w:drawing>
          <wp:inline xmlns:a="http://schemas.openxmlformats.org/drawingml/2006/main" xmlns:pic="http://schemas.openxmlformats.org/drawingml/2006/picture">
            <wp:extent cx="5943600" cy="30708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enue-co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 w:eastAsia="Arial Unicode MS"/>
        </w:rPr>
        <w:t>這張只看營收核心資料流向：進銷項目與人員管理提供輸入，營收登記寫入營收主檔與銷售明細，營收資料再流向數據總覽、月報表、年報表；需庫存品項會同步產生庫存流水。</w:t>
      </w:r>
    </w:p>
    <w:p>
      <w:pPr>
        <w:pStyle w:val="Heading1"/>
      </w:pPr>
      <w:r>
        <w:rPr>
          <w:rFonts w:ascii="Arial" w:hAnsi="Arial" w:eastAsia="Arial Unicode MS"/>
          <w:sz w:val="40"/>
        </w:rPr>
        <w:t>四、模組、頁面與資料庫關聯</w:t>
      </w:r>
    </w:p>
    <w:p>
      <w:r>
        <w:rPr>
          <w:rFonts w:ascii="Arial" w:hAnsi="Arial" w:eastAsia="Arial Unicode MS"/>
        </w:rPr>
        <w:t>這一節用表格取代多張局部圖，集中說明每個側邊欄模組、頁面與資料表的關聯。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F1F3F4"/>
          </w:tcPr>
          <w:p>
            <w:r>
              <w:rPr>
                <w:rFonts w:ascii="Arial" w:hAnsi="Arial" w:eastAsia="Arial Unicode MS"/>
                <w:b/>
                <w:sz w:val="18"/>
              </w:rPr>
              <w:t>模組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 w:eastAsia="Arial Unicode MS"/>
                <w:b/>
                <w:sz w:val="18"/>
              </w:rPr>
              <w:t>頁面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 w:eastAsia="Arial Unicode MS"/>
                <w:b/>
                <w:sz w:val="18"/>
              </w:rPr>
              <w:t>主要寫入資料表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 w:eastAsia="Arial Unicode MS"/>
                <w:b/>
                <w:sz w:val="18"/>
              </w:rPr>
              <w:t>主要讀取 / 關聯資料表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 w:eastAsia="Arial Unicode MS"/>
                <w:b/>
                <w:sz w:val="18"/>
              </w:rPr>
              <w:t>資料庫關聯重點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營收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營收登記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Sale、SaleLine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Item、Employee、InventoryMovement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Sale 是營收主檔；SaleLine 是明細。SaleLine 以 itemId 連 Item；Sale 以 salesPersonId、servicePersonId 連 Employee；需庫存品項銷售時同步新增 InventoryMovement。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營收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數據總覽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無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Sale、SaleLine、Item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只讀取 CLOSED 營收，彙總今日、本月、每日營收與品項占比。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管理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進銷項目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Item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InventoryMovement、Event、Employee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Item 是營收登記選品項來源；庫存數由 InventoryMovement 加總；活動管理可建立 eventId 對應的活動品項；部分品項可連服務人員。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管理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人員管理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Employee、EmployeeTag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Sale、Shift、PettyCashEntry、FixedExpense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Employee 供營收登記、排班、零用支出、固定支出共用；EmployeeTag 用於人員分類與部分下拉過濾。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管理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排班紀錄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Shift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Employee、Event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Shift 以 employeeId 連 Employee；活動日期備註可由 Event 同步建立；外部員工排班日數會被固定支出與報表用來推算薪資。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報表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月報表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無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Sale、SaleLine、Item、FixedExpense、PettyCashEntry、Shift、Event、Employee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彙總月營收、品項類別、付款方式、活動占比、固定支出、零用支出、排班薪資與服務分潤。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報表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年報表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無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Sale、SaleLine、FixedExpense、PettyCashEntry、Shift、Employee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彙總年度營收、年度成本、年度利潤與員工給付。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資產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庫存紀錄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InventoryMovement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Item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每筆庫存異動都連到 Item；庫存是流水加總，不直接存於 Item。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資產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零用支出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PettyCashEntry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Employee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每筆零用金收入/支出可用 employeeId 連代墊者；報表用於現金收入支出。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資產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固定支出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FixedExpense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Employee、Shift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固定支出可用 employeeId 連支出或薪資對象；頁面也會讀 Shift 推算外部員工系統薪資列。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活動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活動管理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Event、EventRegistration、Item、Shift、Sale、SaleLine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Item、Shift、Sale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Event 是活動主檔；活動頁可同步建立活動 Item、活動日期 Shift 備註；報名付款資料寫入 EventRegistration，付款後同步 Sale/SaleLine。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服務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SOP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Sop、SopStep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無跨模組必要關聯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Sop 是流程主檔；SopStep 以 sopId 連 Sop。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系統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權限設定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User、Role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pagePermissions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User 可連 Role；Role 與 User 都以 pagePermissions 控制頁面/API 可操作範圍。</w:t>
            </w:r>
          </w:p>
        </w:tc>
      </w:tr>
    </w:tbl>
    <w:p/>
    <w:p>
      <w:pPr>
        <w:pStyle w:val="Heading1"/>
      </w:pPr>
      <w:r>
        <w:rPr>
          <w:rFonts w:ascii="Arial" w:hAnsi="Arial" w:eastAsia="Arial Unicode MS"/>
          <w:sz w:val="40"/>
        </w:rPr>
        <w:t>五、頁面欄位層級關聯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eld-link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 w:eastAsia="Arial Unicode MS"/>
        </w:rPr>
        <w:t>這一節用「來源頁面欄位 → 目標頁面欄位」說明每個頁面資料庫欄位實際連到哪裡。</w:t>
      </w:r>
    </w:p>
    <w:p>
      <w:r>
        <w:rPr>
          <w:rFonts w:ascii="Arial" w:hAnsi="Arial" w:eastAsia="Arial Unicode MS"/>
        </w:rPr>
        <w:t>這張圖把每個關鍵資料欄位拆開成獨立節點，線會直接連到另一張表的對應欄位。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F1F3F4"/>
          </w:tcPr>
          <w:p>
            <w:r>
              <w:rPr>
                <w:rFonts w:ascii="Arial" w:hAnsi="Arial" w:eastAsia="Arial Unicode MS"/>
                <w:b/>
                <w:sz w:val="16"/>
              </w:rPr>
              <w:t>來源頁面</w:t>
            </w:r>
          </w:p>
        </w:tc>
        <w:tc>
          <w:tcPr>
            <w:tcW w:type="dxa" w:w="1337"/>
            <w:shd w:fill="F1F3F4"/>
          </w:tcPr>
          <w:p>
            <w:r>
              <w:rPr>
                <w:rFonts w:ascii="Arial" w:hAnsi="Arial" w:eastAsia="Arial Unicode MS"/>
                <w:b/>
                <w:sz w:val="16"/>
              </w:rPr>
              <w:t>來源資料表.欄位</w:t>
            </w:r>
          </w:p>
        </w:tc>
        <w:tc>
          <w:tcPr>
            <w:tcW w:type="dxa" w:w="1337"/>
            <w:shd w:fill="F1F3F4"/>
          </w:tcPr>
          <w:p>
            <w:r>
              <w:rPr>
                <w:rFonts w:ascii="Arial" w:hAnsi="Arial" w:eastAsia="Arial Unicode MS"/>
                <w:b/>
                <w:sz w:val="16"/>
              </w:rPr>
              <w:t>來源頁面欄位/用途</w:t>
            </w:r>
          </w:p>
        </w:tc>
        <w:tc>
          <w:tcPr>
            <w:tcW w:type="dxa" w:w="1337"/>
            <w:shd w:fill="F1F3F4"/>
          </w:tcPr>
          <w:p>
            <w:r>
              <w:rPr>
                <w:rFonts w:ascii="Arial" w:hAnsi="Arial" w:eastAsia="Arial Unicode MS"/>
                <w:b/>
                <w:sz w:val="16"/>
              </w:rPr>
              <w:t>目標頁面</w:t>
            </w:r>
          </w:p>
        </w:tc>
        <w:tc>
          <w:tcPr>
            <w:tcW w:type="dxa" w:w="1337"/>
            <w:shd w:fill="F1F3F4"/>
          </w:tcPr>
          <w:p>
            <w:r>
              <w:rPr>
                <w:rFonts w:ascii="Arial" w:hAnsi="Arial" w:eastAsia="Arial Unicode MS"/>
                <w:b/>
                <w:sz w:val="16"/>
              </w:rPr>
              <w:t>目標資料表.欄位</w:t>
            </w:r>
          </w:p>
        </w:tc>
        <w:tc>
          <w:tcPr>
            <w:tcW w:type="dxa" w:w="1337"/>
            <w:shd w:fill="F1F3F4"/>
          </w:tcPr>
          <w:p>
            <w:r>
              <w:rPr>
                <w:rFonts w:ascii="Arial" w:hAnsi="Arial" w:eastAsia="Arial Unicode MS"/>
                <w:b/>
                <w:sz w:val="16"/>
              </w:rPr>
              <w:t>目標頁面欄位/用途</w:t>
            </w:r>
          </w:p>
        </w:tc>
        <w:tc>
          <w:tcPr>
            <w:tcW w:type="dxa" w:w="1337"/>
            <w:shd w:fill="F1F3F4"/>
          </w:tcPr>
          <w:p>
            <w:r>
              <w:rPr>
                <w:rFonts w:ascii="Arial" w:hAnsi="Arial" w:eastAsia="Arial Unicode MS"/>
                <w:b/>
                <w:sz w:val="16"/>
              </w:rPr>
              <w:t>關聯類型</w:t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營收登記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SaleLine.itemId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銷售明細的品項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進銷項目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Item.id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品項主檔 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外鍵；營收登記選品項。</w:t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營收登記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Sale.salesPersonId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銷售人員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人員管理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Employee.id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人員 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外鍵；記錄本筆營收由誰銷售。</w:t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營收登記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Sale.servicePersonId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服務人員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人員管理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Employee.id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人員 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外鍵；報表用於服務分潤與員工給付。</w:t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營收登記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Sale.id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營收單 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營收登記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SaleLine.saleId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銷售明細所屬營收單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一對多；一筆營收可有多筆銷售明細。</w:t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營收登記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Sale.soldAt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銷售日期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數據總覽 / 月報表 / 年報表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Sale.soldAt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報表期間篩選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彙總條件；依日期計算今日、本月、年度營收。</w:t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營收登記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Sale.status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營收狀態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數據總覽 / 月報表 / 年報表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Sale.status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報表只統計 CLOSED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彙總條件；只計入已結案營收。</w:t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營收登記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Sale.paymentMethod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付款方式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月報表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Sale.paymentMethod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付款方式分析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彙總欄位；依付款方式加總營收。</w:t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營收登記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SaleLine.lineTotal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明細金額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數據總覽 / 月報表 / 年報表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SaleLine.lineTotal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品項與類別營收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彙總欄位；用於品項占比與類別分析。</w:t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營收登記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SaleLine.quantity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銷售數量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月報表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SaleLine.quantity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品項銷量、服務分潤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彙總欄位；課程以外項目多以金額比例計算分潤。</w:t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營收登記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SaleLine.itemId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需庫存品項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庫存紀錄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InventoryMovement.itemId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庫存異動品項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同步產生；銷售需庫存品項時新增扣庫存流水。</w:t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營收登記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Sale.id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營收單 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庫存紀錄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InventoryMovement.reason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銷售單來源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同步產生；reason 會寫入 銷售單 {saleId} 方便追蹤。</w:t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進銷項目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Item.id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品項 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庫存紀錄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InventoryMovement.itemId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庫存異動品項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外鍵；所有庫存流水都掛在品項下。</w:t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進銷項目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Item.requiresInventory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是否需要庫存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營收登記 / 庫存紀錄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InventoryMovement.type、quantity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是否銷售扣庫存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業務規則；只有需庫存品項銷售時自動扣庫存。</w:t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進銷項目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Item.cost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品項成本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月報表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Item.cost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毛利成本來源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彙總欄位；報表以成本計算毛利參考。</w:t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進銷項目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Item.type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品項類型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月報表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Item.type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類別分析、分潤規則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彙總欄位；用於品項類別營收與服務分潤。</w:t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進銷項目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Item.eventId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活動來源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活動管理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Event.id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活動 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外鍵；活動建立的品項會連回活動。</w:t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進銷項目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Item.servicePersonId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預設服務人員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人員管理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Employee.id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人員 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外鍵；營收選品項時可帶入服務人員。</w:t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人員管理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Employee.id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人員 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排班紀錄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Shift.employeeId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排班員工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外鍵；排班紀錄選員工。</w:t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人員管理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Employee.id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人員 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零用支出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PettyCashEntry.employeeId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代墊者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外鍵；支出可記錄代墊者。</w:t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人員管理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Employee.id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人員 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固定支出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FixedExpense.employeeId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支出/薪資對象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外鍵；固定支出可指定員工或支出對象。</w:t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人員管理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Employee.id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人員 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進銷項目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Item.servicePersonId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品項預設服務人員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外鍵；品項可連到服務人員。</w:t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人員管理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EmployeeTag.id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TAG 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人員管理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Employee.tags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人員 TAG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多對多；用於分類內部員工、外部員工、合作廠商等。</w:t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人員管理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Employee.tags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人員分類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營收登記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Employee.tags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服務人員下拉過濾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業務規則；營收登記依 TAG 過濾可選服務人員。</w:t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人員管理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Employee.tags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人員分類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固定支出 / 月報表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Employee.tags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外部員工薪資推算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業務規則；外部員工排班天數會推算薪資。</w:t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排班紀錄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Shift.employeeId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排班員工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人員管理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Employee.id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人員 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外鍵；排班屬於某位人員。</w:t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排班紀錄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Shift.eventId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活動排班/備註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活動管理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Event.id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活動 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外鍵；活動日期可同步建立排班月曆備註。</w:t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排班紀錄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Shift.startsAt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排班日期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固定支出 / 月報表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Shift.startsAt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排班日數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彙總條件；以日期計算外部員工排班薪資。</w:t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固定支出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FixedExpense.employeeId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支出/薪資對象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人員管理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Employee.id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人員 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外鍵；固定支出可掛人員。</w:t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固定支出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FixedExpense.entryDate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支出日期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月報表 / 年報表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FixedExpense.entryDate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報表期間篩選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彙總條件；依月份或年度計入支出。</w:t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固定支出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FixedExpense.amount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支出金額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月報表 / 年報表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FixedExpense.amount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固定成本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彙總欄位；計入成本與毛利。</w:t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零用支出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PettyCashEntry.employeeId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代墊者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人員管理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Employee.id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人員 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外鍵；零用支出可掛人員。</w:t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零用支出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PettyCashEntry.entryDate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零用金日期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月報表 / 年報表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PettyCashEntry.entryDate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報表期間篩選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彙總條件；依月份或年度計入現金收支。</w:t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零用支出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PettyCashEntry.amount、type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金額與收入/支出類型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月報表 / 年報表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PettyCashEntry.amount、type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現金收入支出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彙總欄位；分別加總收入與支出。</w:t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活動管理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Event.id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活動 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進銷項目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Item.eventId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活動品項來源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外鍵/同步；活動頁建立的品項會寫入 Item 並連回 Event。</w:t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活動管理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Event.id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活動 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排班紀錄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Shift.eventId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活動月曆備註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外鍵/同步；活動日期會同步建立 Shift 備註。</w:t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活動管理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EventRegistration.eventId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報名所屬活動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活動管理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Event.id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活動 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外鍵；報名資料掛在活動下。</w:t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活動管理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EventRegistration.itemId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報名項目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進銷項目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Item.id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活動品項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外鍵；報名付款選擇活動品項。</w:t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活動管理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EventRegistration.saleId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同步營收單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營收登記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Sale.id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營收單 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同步關聯；付款後建立 Sale 並回寫 saleId。</w:t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活動管理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EventRegistration.paidAmount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報名付款金額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營收登記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Sale.total、SaleLine.lineTotal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營收金額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同步產生；付款金額寫入營收主檔與明細。</w:t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活動管理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EventRegistration.paymentMethod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報名付款方式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營收登記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Sale.paymentMethod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營收付款方式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同步產生；活動付款方式進入營收與月報表。</w:t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權限設定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Role.id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角色 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權限設定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User.roleId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使用者角色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外鍵；使用者可套用角色。</w:t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權限設定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Role.pagePermissions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角色頁面權限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全部受保護頁面/API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pagePermissions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可操作頁面/API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權限控制；角色提供預設權限。</w:t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權限設定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User.pagePermissions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使用者頁面權限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全部受保護頁面/API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pagePermissions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可操作頁面/API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權限控制；使用者可覆寫頁面權限。</w:t>
            </w:r>
          </w:p>
        </w:tc>
      </w:tr>
    </w:tbl>
    <w:p/>
    <w:p>
      <w:pPr>
        <w:pStyle w:val="Heading1"/>
      </w:pPr>
      <w:r>
        <w:rPr>
          <w:rFonts w:ascii="Arial" w:hAnsi="Arial" w:eastAsia="Arial Unicode MS"/>
          <w:sz w:val="40"/>
        </w:rPr>
        <w:t>六、核心資料流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3F4"/>
          </w:tcPr>
          <w:p>
            <w:r>
              <w:rPr>
                <w:rFonts w:ascii="Arial" w:hAnsi="Arial" w:eastAsia="Arial Unicode MS"/>
                <w:b/>
                <w:sz w:val="18"/>
              </w:rPr>
              <w:t>流程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 w:eastAsia="Arial Unicode MS"/>
                <w:b/>
                <w:sz w:val="18"/>
              </w:rPr>
              <w:t>資料流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一般銷售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進銷項目 + 人員管理 → 營收登記 → Sale/SaleLine → 數據總覽/月報表/年報表；若需庫存 → InventoryMovement 扣庫存。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活動建置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活動管理 → Event；同時可同步 Item 活動品項，並依活動日期建立 Shift 月曆備註。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活動報名付款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活動管理頁內的報名/付款資料 → EventRegistration；付款後同步 Sale/SaleLine → 數據總覽/月報表/年報表。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庫存管理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進銷項目設定需庫存 → 庫存紀錄進貨/調整/耗用；營收登記銷售時自動新增銷售扣庫存紀錄。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人員薪資 / 分潤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人員管理 + 排班紀錄 + 固定支出 + 營收服務人員 → 月報表/年報表計算排班薪資、固定薪資、服務分潤與員工給付。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現金與費用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零用支出 + 固定支出 + 營收登記 → 月報表/年報表計算固定成本、零用支出、毛利與現金淨額。</w:t>
            </w:r>
          </w:p>
        </w:tc>
      </w:tr>
    </w:tbl>
    <w:p/>
    <w:p>
      <w:pPr>
        <w:pStyle w:val="Heading1"/>
      </w:pPr>
      <w:r>
        <w:rPr>
          <w:rFonts w:ascii="Arial" w:hAnsi="Arial" w:eastAsia="Arial Unicode MS"/>
          <w:sz w:val="40"/>
        </w:rPr>
        <w:t>七、報表計算資料來源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1F3F4"/>
          </w:tcPr>
          <w:p>
            <w:r>
              <w:rPr>
                <w:rFonts w:ascii="Arial" w:hAnsi="Arial" w:eastAsia="Arial Unicode MS"/>
                <w:b/>
                <w:sz w:val="18"/>
              </w:rPr>
              <w:t>報表區塊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 w:eastAsia="Arial Unicode MS"/>
                <w:b/>
                <w:sz w:val="18"/>
              </w:rPr>
              <w:t>主要來源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 w:eastAsia="Arial Unicode MS"/>
                <w:b/>
                <w:sz w:val="18"/>
              </w:rPr>
              <w:t>計算概念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營收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Sale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指定期間內 status = CLOSED 的 total 加總。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品項 / 類別分析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SaleLine + Item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依品項與品項類型加總數量與金額。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毛利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SaleLine + Item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月報另扣固定支出、零用支出與服務分潤。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付款方式分析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Sale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依 paymentMethod 加總營收。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活動營收占比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SaleLine + Item.event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銷售明細的品項若屬於活動，歸到該活動營收。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固定支出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FixedExpense + Shift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固定支出加總；月報另加入外部員工排班推算薪資。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零用支出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PettyCashEntry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分別加總收入與支出，並計算現金淨額。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員工給付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Employee + Shift + FixedExpense + Sale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固定薪資、外部員工排班日薪、服務分潤合併計算。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服務分潤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Sale.servicePerson + SaleLine.item.type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占卜/風水 50%、儀式 30%、實體商品 30%、香油 0。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Arial" w:hAnsi="Arial" w:eastAsia="Arial Unicode MS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 w:eastAsia="Arial Unicode MS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outlineLvl w:val="2"/>
    </w:pPr>
    <w:rPr>
      <w:rFonts w:asciiTheme="majorHAnsi" w:eastAsiaTheme="majorEastAsia" w:hAnsiTheme="majorHAnsi" w:cstheme="majorBidi" w:ascii="Arial" w:hAnsi="Arial" w:eastAsia="Arial Unicode MS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