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PingFang TC" w:hAnsi="PingFang TC" w:eastAsia="PingFang TC"/>
          <w:b/>
          <w:color w:val="0B2545"/>
          <w:sz w:val="44"/>
        </w:rPr>
        <w:t>ERP 頁面 API 對照表</w:t>
      </w:r>
    </w:p>
    <w:p>
      <w:pPr>
        <w:spacing w:after="200"/>
      </w:pPr>
      <w:r>
        <w:rPr>
          <w:rFonts w:ascii="PingFang TC" w:hAnsi="PingFang TC" w:eastAsia="PingFang TC"/>
          <w:color w:val="555555"/>
          <w:sz w:val="19"/>
        </w:rPr>
        <w:t>依頁面中文名稱與 HTTP method 分列列出。來源：目前 Next.js 頁面與 React 元件 fetch 呼叫。</w:t>
      </w:r>
    </w:p>
    <w:p>
      <w:pPr>
        <w:spacing w:after="160"/>
      </w:pPr>
      <w:r>
        <w:rPr>
          <w:rFonts w:ascii="PingFang TC" w:hAnsi="PingFang TC" w:eastAsia="PingFang TC"/>
          <w:color w:val="555555"/>
          <w:sz w:val="18"/>
        </w:rPr>
        <w:t>備註：SERVER 代表該頁面在 server component 直接查 Prisma，不是瀏覽器端 fetch API。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00"/>
        <w:gridCol w:w="1700"/>
        <w:gridCol w:w="1080"/>
        <w:gridCol w:w="2760"/>
        <w:gridCol w:w="2420"/>
      </w:tblGrid>
      <w:tr>
        <w:trPr>
          <w:trHeight w:hRule="auto"/>
          <w:tblHeader w:val="true"/>
        </w:trPr>
        <w:tc>
          <w:tcPr>
            <w:tcW w:type="dxa" w:w="140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B2545"/>
                <w:sz w:val="19"/>
              </w:rPr>
            </w:r>
            <w:r>
              <w:rPr>
                <w:rFonts w:ascii="PingFang TC" w:hAnsi="PingFang TC" w:eastAsia="PingFang TC"/>
                <w:b/>
                <w:color w:val="0B2545"/>
                <w:sz w:val="19"/>
              </w:rPr>
              <w:t>頁面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B2545"/>
                <w:sz w:val="19"/>
              </w:rPr>
            </w:r>
            <w:r>
              <w:rPr>
                <w:rFonts w:ascii="PingFang TC" w:hAnsi="PingFang TC" w:eastAsia="PingFang TC"/>
                <w:b/>
                <w:color w:val="0B2545"/>
                <w:sz w:val="19"/>
              </w:rPr>
              <w:t>中文名稱</w:t>
            </w:r>
          </w:p>
        </w:tc>
        <w:tc>
          <w:tcPr>
            <w:tcW w:type="dxa" w:w="108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B2545"/>
                <w:sz w:val="19"/>
              </w:rPr>
            </w:r>
            <w:r>
              <w:rPr>
                <w:rFonts w:ascii="PingFang TC" w:hAnsi="PingFang TC" w:eastAsia="PingFang TC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276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B2545"/>
                <w:sz w:val="19"/>
              </w:rPr>
            </w:r>
            <w:r>
              <w:rPr>
                <w:rFonts w:ascii="PingFang TC" w:hAnsi="PingFang TC" w:eastAsia="PingFang TC"/>
                <w:b/>
                <w:color w:val="0B2545"/>
                <w:sz w:val="19"/>
              </w:rPr>
              <w:t>API</w:t>
            </w:r>
          </w:p>
        </w:tc>
        <w:tc>
          <w:tcPr>
            <w:tcW w:type="dxa" w:w="242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B2545"/>
                <w:sz w:val="19"/>
              </w:rPr>
            </w:r>
            <w:r>
              <w:rPr>
                <w:rFonts w:ascii="PingFang TC" w:hAnsi="PingFang TC" w:eastAsia="PingFang TC"/>
                <w:b/>
                <w:color w:val="0B2545"/>
                <w:sz w:val="19"/>
              </w:rPr>
              <w:t>用途 / 備註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/login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登入 ERP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/api/auth/login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提交登入表單。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/register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建立帳號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/api/auth/register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提交註冊表單。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/dashboard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營運總覽 / 數據總覽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/api/reports/daily?date=YYYY-MM-DD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切換日期後讀取日營收。初始數據總覽為 server component 直接查 Prisma，未列為 API。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/sales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營收登記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/api/items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讀取可銷售品項。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/sales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營收登記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讀取銷售/服務人員。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/sales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營收登記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/api/sales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讀取營收紀錄。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/sales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營收登記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/api/sales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新增營收。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/sales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營收登記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/api/sales/:id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編輯營收。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/sales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營收登記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/api/sales/:id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刪除營收。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/items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進銷項目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/api/items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讀取進銷項目。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/items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進銷項目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/api/items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新增進銷項目。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/items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進銷項目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/api/items/:id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編輯進銷項目。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/items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進銷項目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/api/items/:id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刪除進銷項目。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/items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進銷項目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/api/inventory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批次新增需要庫存的品項時建立開帳庫存。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/employees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人員管理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讀取人員。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/employees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人員管理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新增人員。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/employees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人員管理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編輯人員。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/employees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人員管理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刪除或停用人員。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/employees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人員管理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/api/employee-tags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讀取人員 TAG。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/employees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人員管理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/api/employee-tags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新增人員 TAG。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/employees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人員管理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/api/employee-tags/:id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刪除人員 TAG。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/shifts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排班紀錄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/api/shifts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讀取排班與備註。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/shifts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排班紀錄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讀取可排班人員。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/shifts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排班紀錄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/api/shifts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新增單日排班或區間備註。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/shifts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排班紀錄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/api/shifts/:id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刪除排班或備註。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/reports/monthly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月報表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/api/reports/monthly?date=YYYY-MM-DD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讀取指定月份報表。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/reports/yearly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年報表 / 股東利潤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/api/reports/yearly?date=YYYY-MM-DD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讀取指定年度報表。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/inventory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庫存紀錄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/api/inventory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讀取庫存紀錄。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/inventory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庫存紀錄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/api/inventory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新增庫存異動。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/inventory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庫存紀錄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/api/inventory/:id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編輯庫存異動。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/inventory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庫存紀錄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/api/inventory/:id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刪除庫存異動。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/inventory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庫存紀錄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/api/items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讀取品項下拉與目前庫存。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/petty-cash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零用金 / 零用支出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/api/petty-cash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讀取零用金紀錄。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/petty-cash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零用金 / 零用支出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/api/petty-cash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新增零用金紀錄。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/petty-cash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零用金 / 零用支出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/api/petty-cash/:id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編輯紀錄或更新出帳狀態。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/petty-cash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零用金 / 零用支出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/api/petty-cash/:id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刪除零用金紀錄。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/petty-cash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零用金 / 零用支出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讀取代墊者下拉。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/fixed-expenses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固定支出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/api/fixed-expenses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讀取固定支出。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/fixed-expenses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固定支出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/api/fixed-expenses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新增固定支出。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/fixed-expenses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固定支出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/api/fixed-expenses/:id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編輯固定支出。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/fixed-expenses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固定支出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/api/fixed-expenses/:id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刪除固定支出。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/fixed-expenses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固定支出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讀取支出對象下拉。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/fixed-expenses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固定支出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/api/shifts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讀取排班，用於固定支出相關統計。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活動管理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/api/events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活動分頁讀取活動。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活動管理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/api/events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新增活動，含活動品項批次資料。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活動管理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/api/events/:id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編輯活動。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活動管理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/api/events/:id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刪除活動。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活動管理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/api/employees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活動品項服務人員下拉。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活動管理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/api/items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活動品項同步後重新讀取品項。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活動報名分頁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/api/event-registrations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報名分頁讀取報名。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活動報名分頁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/api/event-registrations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新增活動報名。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活動報名分頁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/api/event-registrations/:id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編輯報名或付款狀態。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活動報名分頁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/api/event-registrations/:id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刪除報名。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活動報名分頁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/api/events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報名表單活動下拉。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/events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活動報名分頁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/api/items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報名表單品項下拉。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/sops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工作流程 SOP / SOP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/api/sops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 SOP。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/sops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工作流程 SOP / SOP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/api/sops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 SOP。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/sops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工作流程 SOP / SOP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/api/sops/:id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編輯 SOP。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/sops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工作流程 SOP / SOP</w:t>
            </w:r>
          </w:p>
        </w:tc>
        <w:tc>
          <w:tcPr>
            <w:tcW w:type="dxa" w:w="1080"/>
            <w:shd w:fill="FCE8E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DELETE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/api/sops/:id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刪除 SOP。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/permissions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權限設定</w:t>
            </w:r>
          </w:p>
        </w:tc>
        <w:tc>
          <w:tcPr>
            <w:tcW w:type="dxa" w:w="1080"/>
            <w:shd w:fill="EAF4F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GET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/api/permissions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讀取權限、角色與使用者。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/permissions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權限設定</w:t>
            </w:r>
          </w:p>
        </w:tc>
        <w:tc>
          <w:tcPr>
            <w:tcW w:type="dxa" w:w="1080"/>
            <w:shd w:fill="EAF5E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POST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/api/permissions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新增角色或帳號。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/permissions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權限設定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/api/permissions/users/:id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更新帳號資料或啟用狀態。</w:t>
            </w:r>
          </w:p>
        </w:tc>
      </w:tr>
      <w:tr>
        <w:trPr>
          <w:trHeight w:hRule="auto"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/permissions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權限設定</w:t>
            </w:r>
          </w:p>
        </w:tc>
        <w:tc>
          <w:tcPr>
            <w:tcW w:type="dxa" w:w="1080"/>
            <w:shd w:fill="FFF3D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TC" w:hAnsi="PingFang TC" w:eastAsia="PingFang TC"/>
                <w:b/>
                <w:color w:val="000000"/>
                <w:sz w:val="17"/>
              </w:rPr>
            </w:r>
            <w:r>
              <w:rPr>
                <w:rFonts w:ascii="PingFang TC" w:hAnsi="PingFang TC" w:eastAsia="PingFang TC"/>
                <w:b/>
                <w:color w:val="000000"/>
                <w:sz w:val="17"/>
              </w:rPr>
              <w:t>PATCH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/api/permissions/roles/:id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</w:r>
            <w:r>
              <w:rPr>
                <w:rFonts w:ascii="PingFang TC" w:hAnsi="PingFang TC" w:eastAsia="PingFang TC"/>
                <w:b w:val="0"/>
                <w:color w:val="000000"/>
                <w:sz w:val="17"/>
              </w:rPr>
              <w:t>更新角色資料或啟用狀態。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81" w:bottom="1037" w:left="118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TC" w:hAnsi="PingFang TC" w:eastAsia="PingFang TC"/>
        <w:color w:val="666666"/>
        <w:sz w:val="16"/>
      </w:rPr>
      <w:t>UNV.PLAN ERP API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TC" w:hAnsi="PingFang TC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TC" w:hAnsi="PingFang TC" w:eastAsia="PingFang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TC" w:hAnsi="PingFang TC" w:eastAsia="PingFang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TC" w:hAnsi="PingFang TC" w:eastAsia="PingFang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