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C793" w14:textId="77777777" w:rsidR="005F7758" w:rsidRDefault="005F7758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C9327AB" w14:textId="77777777"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Перечислите основные свойства глобальные объекты Node.js и поясните их предназначение.</w:t>
      </w:r>
    </w:p>
    <w:p w14:paraId="6465C015" w14:textId="77777777" w:rsidR="003818FF" w:rsidRPr="00C06279" w:rsidRDefault="003818FF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3818FF">
        <w:rPr>
          <w:rFonts w:ascii="Courier New" w:hAnsi="Courier New" w:cs="Courier New"/>
          <w:sz w:val="28"/>
          <w:szCs w:val="28"/>
        </w:rPr>
        <w:t>Node.js предоставляет специальный объект global, который предоставляет доступ к глобальным, то есть доступным из каждого модуля приложения, переменным и функциям. Примерным аналогом данного объекта в javascript для браузера является объект </w:t>
      </w:r>
      <w:r w:rsidRPr="003818FF">
        <w:rPr>
          <w:sz w:val="28"/>
          <w:szCs w:val="28"/>
        </w:rPr>
        <w:t>window</w:t>
      </w:r>
      <w:r w:rsidR="00C06279" w:rsidRPr="00C06279">
        <w:rPr>
          <w:sz w:val="28"/>
          <w:szCs w:val="28"/>
        </w:rPr>
        <w:t>.</w:t>
      </w:r>
    </w:p>
    <w:p w14:paraId="0FB3392E" w14:textId="77777777" w:rsidR="00CF651A" w:rsidRPr="00CF651A" w:rsidRDefault="003818FF" w:rsidP="007B2114">
      <w:pPr>
        <w:pStyle w:val="a3"/>
        <w:numPr>
          <w:ilvl w:val="0"/>
          <w:numId w:val="4"/>
        </w:numPr>
        <w:shd w:val="clear" w:color="auto" w:fill="FFFFFF"/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 w:rsidRPr="00CF651A">
        <w:rPr>
          <w:rFonts w:ascii="Courier New" w:hAnsi="Courier New" w:cs="Courier New"/>
          <w:b/>
          <w:sz w:val="28"/>
          <w:szCs w:val="28"/>
        </w:rPr>
        <w:t>Поясните понятие «асинхронная функция»</w:t>
      </w:r>
    </w:p>
    <w:p w14:paraId="2F885567" w14:textId="77777777" w:rsidR="00CF651A" w:rsidRDefault="00CF651A" w:rsidP="00CF651A">
      <w:pPr>
        <w:pStyle w:val="a3"/>
        <w:tabs>
          <w:tab w:val="left" w:pos="709"/>
        </w:tabs>
        <w:spacing w:after="0"/>
        <w:ind w:left="0"/>
        <w:jc w:val="both"/>
      </w:pP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</w:rPr>
        <w:t xml:space="preserve"> (обещание): </w:t>
      </w:r>
      <w:r>
        <w:rPr>
          <w:rFonts w:ascii="Courier New" w:hAnsi="Courier New" w:cs="Courier New"/>
          <w:sz w:val="28"/>
          <w:szCs w:val="28"/>
        </w:rPr>
        <w:t>объект, используемый для выполнения отложенных и асинхронных вычислений. Представляет собой операцию, которая еще не завершена, но ожидается в будущем.</w:t>
      </w:r>
    </w:p>
    <w:p w14:paraId="0635B49D" w14:textId="77777777" w:rsidR="00CF651A" w:rsidRDefault="00CF651A" w:rsidP="00CF651A">
      <w:pPr>
        <w:pStyle w:val="a3"/>
        <w:shd w:val="clear" w:color="auto" w:fill="FFFFFF"/>
        <w:spacing w:after="16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058B4C51" w14:textId="5EBC9931" w:rsidR="003818FF" w:rsidRPr="00CF651A" w:rsidRDefault="00C06279" w:rsidP="00CF651A">
      <w:pPr>
        <w:pStyle w:val="a3"/>
        <w:shd w:val="clear" w:color="auto" w:fill="FFFFFF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651A">
        <w:rPr>
          <w:rFonts w:ascii="Courier New" w:hAnsi="Courier New" w:cs="Courier New"/>
          <w:sz w:val="28"/>
          <w:szCs w:val="28"/>
        </w:rPr>
        <w:t>Асинхронная функция ожидает (await) исполнения промиса и всегда возвращает промис.</w:t>
      </w:r>
      <w:r w:rsidR="00CF651A" w:rsidRPr="00CF651A">
        <w:rPr>
          <w:rFonts w:ascii="Courier New" w:hAnsi="Courier New" w:cs="Courier New"/>
          <w:sz w:val="28"/>
          <w:szCs w:val="28"/>
        </w:rPr>
        <w:t xml:space="preserve"> </w:t>
      </w:r>
      <w:r w:rsidRPr="00CF651A">
        <w:rPr>
          <w:rFonts w:ascii="Courier New" w:hAnsi="Courier New" w:cs="Courier New"/>
          <w:sz w:val="28"/>
          <w:szCs w:val="28"/>
        </w:rPr>
        <w:t>Промис, возвращаемый асинхронной функцией, будет разрешен (resolve) с тем значением, которое вернет функция.</w:t>
      </w:r>
    </w:p>
    <w:p w14:paraId="4BFB77B2" w14:textId="77777777"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понятие стандартные «системные потоки». </w:t>
      </w:r>
    </w:p>
    <w:p w14:paraId="092BD151" w14:textId="77777777" w:rsidR="009B3C35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Поток – байтовая последовательность, передаваемая в процессе ввода-вывода.</w:t>
      </w:r>
    </w:p>
    <w:p w14:paraId="7109C83F" w14:textId="77777777" w:rsidR="009B3C35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Стандартные потоки ввода-вывода в </w:t>
      </w:r>
      <w:hyperlink r:id="rId5" w:tooltip="Операционная система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системах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типа </w:t>
      </w:r>
      <w:hyperlink r:id="rId6" w:tooltip="UNIX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UNIX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(и некоторых других) — </w:t>
      </w:r>
      <w:hyperlink r:id="rId7" w:tooltip="Поток данных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потоки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</w:t>
      </w:r>
      <w:hyperlink r:id="rId8" w:tooltip="Процесс (информатика)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процесса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, имеющие номер (дескриптор), зарезервированный для выполнения некоторых «стандартных» функций</w:t>
      </w:r>
    </w:p>
    <w:p w14:paraId="1F53FF17" w14:textId="77777777" w:rsidR="003818FF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Stdin, stdout, stderr, stdprn, stdaux.</w:t>
      </w:r>
    </w:p>
    <w:p w14:paraId="746DE5E7" w14:textId="77777777" w:rsidR="003818FF" w:rsidRPr="00C06279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Поясните назначение функций 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r w:rsidRPr="003818FF">
        <w:rPr>
          <w:rFonts w:ascii="Courier New" w:hAnsi="Courier New" w:cs="Courier New"/>
          <w:b/>
          <w:sz w:val="28"/>
          <w:szCs w:val="28"/>
        </w:rPr>
        <w:t>nextTick, setImmediate</w:t>
      </w:r>
      <w:r w:rsidRPr="00DE02E7">
        <w:rPr>
          <w:rFonts w:ascii="Courier New" w:hAnsi="Courier New" w:cs="Courier New"/>
          <w:b/>
          <w:sz w:val="28"/>
          <w:szCs w:val="28"/>
        </w:rPr>
        <w:t>,</w:t>
      </w:r>
      <w:r w:rsidRPr="003818FF">
        <w:rPr>
          <w:rFonts w:ascii="Courier New" w:hAnsi="Courier New" w:cs="Courier New"/>
          <w:b/>
          <w:sz w:val="28"/>
          <w:szCs w:val="28"/>
        </w:rPr>
        <w:t xml:space="preserve"> поясните в чем разница.   </w:t>
      </w:r>
    </w:p>
    <w:p w14:paraId="3719B2E0" w14:textId="77777777" w:rsidR="009B3C35" w:rsidRPr="009B3C35" w:rsidRDefault="009B3C35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и 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похожи, но ведут себя по-разному в том, когда они вызываются.</w:t>
      </w:r>
    </w:p>
    <w:p w14:paraId="6FEFFAD6" w14:textId="77777777" w:rsidR="009B3C35" w:rsidRPr="009B3C35" w:rsidRDefault="009B3C35" w:rsidP="007B78DA">
      <w:pPr>
        <w:pStyle w:val="kx"/>
        <w:numPr>
          <w:ilvl w:val="0"/>
          <w:numId w:val="1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предназначен для выполнения сценария после завершения текущей фазы опроса.</w:t>
      </w:r>
    </w:p>
    <w:p w14:paraId="6476DE2C" w14:textId="77777777" w:rsidR="009B3C35" w:rsidRPr="007B78DA" w:rsidRDefault="009B3C35" w:rsidP="007B78DA">
      <w:pPr>
        <w:pStyle w:val="kx"/>
        <w:numPr>
          <w:ilvl w:val="0"/>
          <w:numId w:val="1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планирует запуск сценария после истечения минимального порога в миллисекундах.</w:t>
      </w:r>
    </w:p>
    <w:p w14:paraId="3F3636B2" w14:textId="6CC93035" w:rsidR="007B78DA" w:rsidRPr="009B3C35" w:rsidRDefault="00FD60A0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sz w:val="28"/>
          <w:szCs w:val="28"/>
          <w:lang w:eastAsia="en-US"/>
        </w:rPr>
        <w:t>В</w:t>
      </w:r>
      <w:r w:rsidR="007B78DA"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се коллбэки, переданные процессу </w:t>
      </w:r>
      <w:r w:rsidR="007B78DA" w:rsidRPr="007B78DA">
        <w:rPr>
          <w:rFonts w:eastAsiaTheme="minorHAnsi"/>
          <w:sz w:val="28"/>
          <w:szCs w:val="28"/>
          <w:lang w:eastAsia="en-US"/>
        </w:rPr>
        <w:t>process.nextTick()</w:t>
      </w:r>
      <w:r w:rsidR="007B78DA"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будут разрешаться до того, как цикл событий продолжится. Это может создать некоторые плохие ситуации, потому что это позволяет «замораживать» ваш ввод/вывод, делая </w:t>
      </w:r>
      <w:r w:rsidR="007B78DA"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рекурсивные вызовы process.nextTick(), что не даёт циклу событий достичь фазы опроса.</w:t>
      </w:r>
    </w:p>
    <w:p w14:paraId="1DDD160B" w14:textId="77777777" w:rsidR="007B78DA" w:rsidRPr="007B78DA" w:rsidRDefault="007B78DA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У нас есть два вызова, которые похожи для пользователей, но их имена сбивают с толку.</w:t>
      </w:r>
    </w:p>
    <w:p w14:paraId="45A3737F" w14:textId="77777777" w:rsidR="007B78DA" w:rsidRPr="007B78DA" w:rsidRDefault="007B78DA" w:rsidP="007B78DA">
      <w:pPr>
        <w:pStyle w:val="kx"/>
        <w:numPr>
          <w:ilvl w:val="0"/>
          <w:numId w:val="11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process.nextTick() срабатывает сразу на той же фазе</w:t>
      </w:r>
    </w:p>
    <w:p w14:paraId="2A929E43" w14:textId="77777777" w:rsidR="007B78DA" w:rsidRPr="007B78DA" w:rsidRDefault="007B78DA" w:rsidP="007B78DA">
      <w:pPr>
        <w:pStyle w:val="kx"/>
        <w:numPr>
          <w:ilvl w:val="0"/>
          <w:numId w:val="11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setImmediate() срабатывает на следующей итерации или «тике» цикла событий</w:t>
      </w:r>
    </w:p>
    <w:p w14:paraId="55CE42FC" w14:textId="77777777" w:rsidR="003818FF" w:rsidRPr="003818FF" w:rsidRDefault="003818FF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4ECA4CC" w14:textId="77777777" w:rsidR="00433483" w:rsidRPr="003818FF" w:rsidRDefault="00433483" w:rsidP="00433483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</w:p>
    <w:sectPr w:rsidR="00433483" w:rsidRPr="0038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1434" w:hanging="360"/>
      </w:pPr>
      <w:rPr>
        <w:rFonts w:ascii="Courier New" w:hAnsi="Courier New" w:cs="Courier New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>
      <w:start w:val="1"/>
      <w:numFmt w:val="lowerRoman"/>
      <w:lvlText w:val="%3."/>
      <w:lvlJc w:val="right"/>
      <w:pPr>
        <w:ind w:left="2874" w:hanging="180"/>
      </w:pPr>
    </w:lvl>
    <w:lvl w:ilvl="3" w:tplc="0419000F">
      <w:start w:val="1"/>
      <w:numFmt w:val="decimal"/>
      <w:lvlText w:val="%4."/>
      <w:lvlJc w:val="left"/>
      <w:pPr>
        <w:ind w:left="3594" w:hanging="360"/>
      </w:pPr>
    </w:lvl>
    <w:lvl w:ilvl="4" w:tplc="04190019">
      <w:start w:val="1"/>
      <w:numFmt w:val="lowerLetter"/>
      <w:lvlText w:val="%5."/>
      <w:lvlJc w:val="left"/>
      <w:pPr>
        <w:ind w:left="4314" w:hanging="360"/>
      </w:pPr>
    </w:lvl>
    <w:lvl w:ilvl="5" w:tplc="0419001B">
      <w:start w:val="1"/>
      <w:numFmt w:val="lowerRoman"/>
      <w:lvlText w:val="%6."/>
      <w:lvlJc w:val="right"/>
      <w:pPr>
        <w:ind w:left="5034" w:hanging="180"/>
      </w:pPr>
    </w:lvl>
    <w:lvl w:ilvl="6" w:tplc="0419000F">
      <w:start w:val="1"/>
      <w:numFmt w:val="decimal"/>
      <w:lvlText w:val="%7."/>
      <w:lvlJc w:val="left"/>
      <w:pPr>
        <w:ind w:left="5754" w:hanging="360"/>
      </w:pPr>
    </w:lvl>
    <w:lvl w:ilvl="7" w:tplc="04190019">
      <w:start w:val="1"/>
      <w:numFmt w:val="lowerLetter"/>
      <w:lvlText w:val="%8."/>
      <w:lvlJc w:val="left"/>
      <w:pPr>
        <w:ind w:left="6474" w:hanging="360"/>
      </w:pPr>
    </w:lvl>
    <w:lvl w:ilvl="8" w:tplc="0419001B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4762559">
    <w:abstractNumId w:val="4"/>
  </w:num>
  <w:num w:numId="2" w16cid:durableId="1310939678">
    <w:abstractNumId w:val="5"/>
  </w:num>
  <w:num w:numId="3" w16cid:durableId="1624383705">
    <w:abstractNumId w:val="11"/>
  </w:num>
  <w:num w:numId="4" w16cid:durableId="14074605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91522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6872440">
    <w:abstractNumId w:val="3"/>
  </w:num>
  <w:num w:numId="7" w16cid:durableId="488719432">
    <w:abstractNumId w:val="2"/>
  </w:num>
  <w:num w:numId="8" w16cid:durableId="215744602">
    <w:abstractNumId w:val="1"/>
  </w:num>
  <w:num w:numId="9" w16cid:durableId="1790464861">
    <w:abstractNumId w:val="6"/>
  </w:num>
  <w:num w:numId="10" w16cid:durableId="808323623">
    <w:abstractNumId w:val="8"/>
  </w:num>
  <w:num w:numId="11" w16cid:durableId="1431122776">
    <w:abstractNumId w:val="10"/>
  </w:num>
  <w:num w:numId="12" w16cid:durableId="508719786">
    <w:abstractNumId w:val="0"/>
  </w:num>
  <w:num w:numId="13" w16cid:durableId="17481837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211"/>
    <w:rsid w:val="002F2211"/>
    <w:rsid w:val="003818FF"/>
    <w:rsid w:val="00433483"/>
    <w:rsid w:val="005D0F30"/>
    <w:rsid w:val="005F7758"/>
    <w:rsid w:val="007B78DA"/>
    <w:rsid w:val="009B3C35"/>
    <w:rsid w:val="00A829EF"/>
    <w:rsid w:val="00B218AD"/>
    <w:rsid w:val="00C06279"/>
    <w:rsid w:val="00CF651A"/>
    <w:rsid w:val="00D62F30"/>
    <w:rsid w:val="00E72852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8B09"/>
  <w15:docId w15:val="{B1A0B334-0161-49A3-AB78-5FD63BB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2%D0%BE%D0%BA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NIX" TargetMode="External"/><Relationship Id="rId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Ксения Буданова</cp:lastModifiedBy>
  <cp:revision>6</cp:revision>
  <dcterms:created xsi:type="dcterms:W3CDTF">2019-09-01T20:36:00Z</dcterms:created>
  <dcterms:modified xsi:type="dcterms:W3CDTF">2022-09-22T22:00:00Z</dcterms:modified>
</cp:coreProperties>
</file>