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6D9" w:rsidRPr="00B866D9" w:rsidRDefault="00B866D9">
      <w:pPr>
        <w:rPr>
          <w:rFonts w:ascii="Palatino Linotype" w:hAnsi="Palatino Linotype" w:cstheme="minorHAnsi"/>
          <w:sz w:val="24"/>
          <w:szCs w:val="24"/>
        </w:rPr>
      </w:pPr>
      <w:r w:rsidRPr="00B866D9">
        <w:rPr>
          <w:rFonts w:ascii="Palatino Linotype" w:hAnsi="Palatino Linotype" w:cstheme="minorHAnsi"/>
          <w:sz w:val="24"/>
          <w:szCs w:val="24"/>
        </w:rPr>
        <w:t>Urban Footprint</w:t>
      </w:r>
    </w:p>
    <w:p w:rsidR="00B866D9" w:rsidRPr="00B866D9" w:rsidRDefault="00B866D9" w:rsidP="00B866D9">
      <w:pPr>
        <w:suppressAutoHyphens/>
        <w:autoSpaceDE w:val="0"/>
        <w:autoSpaceDN w:val="0"/>
        <w:adjustRightInd w:val="0"/>
        <w:spacing w:after="0" w:line="288" w:lineRule="auto"/>
        <w:textAlignment w:val="center"/>
        <w:rPr>
          <w:rFonts w:ascii="Palatino Linotype" w:hAnsi="Palatino Linotype" w:cs="HelveticaNeueLT Std Med Cn"/>
          <w:color w:val="000000"/>
          <w:spacing w:val="11"/>
          <w:w w:val="104"/>
          <w:sz w:val="24"/>
          <w:szCs w:val="24"/>
        </w:rPr>
      </w:pPr>
      <w:r w:rsidRPr="00B866D9">
        <w:rPr>
          <w:rFonts w:ascii="Palatino Linotype" w:hAnsi="Palatino Linotype" w:cs="HelveticaNeueLT Std Med Cn"/>
          <w:color w:val="000000"/>
          <w:spacing w:val="11"/>
          <w:w w:val="104"/>
          <w:sz w:val="24"/>
          <w:szCs w:val="24"/>
        </w:rPr>
        <w:t>Technical Summary</w:t>
      </w:r>
    </w:p>
    <w:p w:rsidR="00B866D9" w:rsidRDefault="00B866D9" w:rsidP="00B866D9">
      <w:pPr>
        <w:suppressAutoHyphens/>
        <w:autoSpaceDE w:val="0"/>
        <w:autoSpaceDN w:val="0"/>
        <w:adjustRightInd w:val="0"/>
        <w:spacing w:after="0" w:line="288" w:lineRule="auto"/>
        <w:textAlignment w:val="center"/>
        <w:rPr>
          <w:rFonts w:ascii="Palatino Linotype" w:hAnsi="Palatino Linotype" w:cs="HelveticaNeueLT Std Cn"/>
          <w:color w:val="000000"/>
          <w:w w:val="110"/>
          <w:sz w:val="24"/>
          <w:szCs w:val="24"/>
        </w:rPr>
      </w:pPr>
      <w:r w:rsidRPr="00B866D9">
        <w:rPr>
          <w:rFonts w:ascii="Palatino Linotype" w:hAnsi="Palatino Linotype" w:cs="HelveticaNeueLT Std Cn"/>
          <w:color w:val="000000"/>
          <w:w w:val="110"/>
          <w:sz w:val="24"/>
          <w:szCs w:val="24"/>
        </w:rPr>
        <w:t>Model Version 1.0</w:t>
      </w:r>
    </w:p>
    <w:p w:rsidR="00886DAD" w:rsidRDefault="00886DAD" w:rsidP="00B866D9">
      <w:pPr>
        <w:suppressAutoHyphens/>
        <w:autoSpaceDE w:val="0"/>
        <w:autoSpaceDN w:val="0"/>
        <w:adjustRightInd w:val="0"/>
        <w:spacing w:after="0" w:line="288" w:lineRule="auto"/>
        <w:textAlignment w:val="center"/>
        <w:rPr>
          <w:rFonts w:ascii="Palatino Linotype" w:hAnsi="Palatino Linotype" w:cs="HelveticaNeueLT Std Cn"/>
          <w:color w:val="000000"/>
          <w:w w:val="110"/>
          <w:sz w:val="24"/>
          <w:szCs w:val="24"/>
        </w:rPr>
      </w:pPr>
      <w:r>
        <w:rPr>
          <w:rFonts w:ascii="Palatino Linotype" w:hAnsi="Palatino Linotype" w:cs="HelveticaNeueLT Std Cn"/>
          <w:color w:val="000000"/>
          <w:w w:val="110"/>
          <w:sz w:val="24"/>
          <w:szCs w:val="24"/>
        </w:rPr>
        <w:t>Vision California</w:t>
      </w:r>
    </w:p>
    <w:p w:rsidR="00886DAD" w:rsidRDefault="00886DAD">
      <w:pPr>
        <w:rPr>
          <w:rFonts w:ascii="Palatino Linotype" w:hAnsi="Palatino Linotype" w:cs="HelveticaNeueLT Std Cn"/>
          <w:color w:val="000000"/>
          <w:w w:val="110"/>
          <w:sz w:val="24"/>
          <w:szCs w:val="24"/>
        </w:rPr>
      </w:pPr>
      <w:r>
        <w:rPr>
          <w:rFonts w:ascii="Palatino Linotype" w:hAnsi="Palatino Linotype" w:cs="HelveticaNeueLT Std Cn"/>
          <w:color w:val="000000"/>
          <w:w w:val="110"/>
          <w:sz w:val="24"/>
          <w:szCs w:val="24"/>
        </w:rPr>
        <w:br w:type="page"/>
      </w:r>
    </w:p>
    <w:p w:rsidR="00886DAD" w:rsidRPr="00886DAD" w:rsidRDefault="00886DAD" w:rsidP="00886DAD">
      <w:pPr>
        <w:pStyle w:val="HELCaption"/>
        <w:jc w:val="left"/>
        <w:rPr>
          <w:rFonts w:ascii="Palatino Linotype" w:hAnsi="Palatino Linotype"/>
          <w:spacing w:val="5"/>
          <w:sz w:val="24"/>
          <w:szCs w:val="24"/>
        </w:rPr>
      </w:pPr>
      <w:r w:rsidRPr="00886DAD">
        <w:rPr>
          <w:rFonts w:ascii="Palatino Linotype" w:hAnsi="Palatino Linotype" w:cs="HelveticaNeueLT Std Med Cn"/>
          <w:spacing w:val="18"/>
          <w:w w:val="110"/>
          <w:sz w:val="24"/>
          <w:szCs w:val="24"/>
        </w:rPr>
        <w:lastRenderedPageBreak/>
        <w:t>Team Credits</w:t>
      </w:r>
      <w:r w:rsidRPr="00886DAD">
        <w:rPr>
          <w:rFonts w:ascii="Palatino Linotype" w:hAnsi="Palatino Linotype" w:cs="HelveticaNeueLT Std Med Cn"/>
          <w:spacing w:val="18"/>
          <w:w w:val="110"/>
          <w:sz w:val="24"/>
          <w:szCs w:val="24"/>
        </w:rPr>
        <w:br/>
      </w:r>
      <w:proofErr w:type="spellStart"/>
      <w:r w:rsidRPr="00886DAD">
        <w:rPr>
          <w:rFonts w:ascii="Palatino Linotype" w:hAnsi="Palatino Linotype"/>
          <w:spacing w:val="5"/>
          <w:sz w:val="24"/>
          <w:szCs w:val="24"/>
        </w:rPr>
        <w:t>UrbanFootprint</w:t>
      </w:r>
      <w:proofErr w:type="spellEnd"/>
      <w:r w:rsidRPr="00886DAD">
        <w:rPr>
          <w:rFonts w:ascii="Palatino Linotype" w:hAnsi="Palatino Linotype"/>
          <w:spacing w:val="5"/>
          <w:sz w:val="24"/>
          <w:szCs w:val="24"/>
        </w:rPr>
        <w:t xml:space="preserve"> was developed with funding and support </w:t>
      </w:r>
      <w:proofErr w:type="gramStart"/>
      <w:r w:rsidRPr="00886DAD">
        <w:rPr>
          <w:rFonts w:ascii="Palatino Linotype" w:hAnsi="Palatino Linotype"/>
          <w:spacing w:val="5"/>
          <w:sz w:val="24"/>
          <w:szCs w:val="24"/>
        </w:rPr>
        <w:t>from :</w:t>
      </w:r>
      <w:proofErr w:type="gramEnd"/>
      <w:r w:rsidRPr="00886DAD">
        <w:rPr>
          <w:rFonts w:ascii="Palatino Linotype" w:hAnsi="Palatino Linotype"/>
          <w:spacing w:val="5"/>
          <w:sz w:val="24"/>
          <w:szCs w:val="24"/>
        </w:rPr>
        <w:t xml:space="preserve"> </w:t>
      </w:r>
    </w:p>
    <w:p w:rsidR="00886DAD" w:rsidRPr="00886DAD" w:rsidRDefault="00886DAD" w:rsidP="00886DAD">
      <w:pPr>
        <w:autoSpaceDE w:val="0"/>
        <w:autoSpaceDN w:val="0"/>
        <w:adjustRightInd w:val="0"/>
        <w:spacing w:after="0" w:line="288" w:lineRule="auto"/>
        <w:ind w:left="3690"/>
        <w:textAlignment w:val="center"/>
        <w:rPr>
          <w:rFonts w:ascii="Palatino Linotype" w:hAnsi="Palatino Linotype" w:cs="HelveticaNeueLT Std Lt Cn"/>
          <w:i/>
          <w:iCs/>
          <w:color w:val="000000"/>
          <w:sz w:val="24"/>
          <w:szCs w:val="24"/>
        </w:rPr>
      </w:pPr>
      <w:r w:rsidRPr="00886DAD">
        <w:rPr>
          <w:rFonts w:ascii="Palatino Linotype" w:hAnsi="Palatino Linotype" w:cs="HelveticaNeueLT Std Lt Cn"/>
          <w:i/>
          <w:iCs/>
          <w:color w:val="000000"/>
          <w:sz w:val="24"/>
          <w:szCs w:val="24"/>
        </w:rPr>
        <w:t xml:space="preserve">California High Speed Rail Authority </w:t>
      </w:r>
    </w:p>
    <w:p w:rsidR="00886DAD" w:rsidRPr="00886DAD" w:rsidRDefault="00886DAD" w:rsidP="00886DAD">
      <w:pPr>
        <w:autoSpaceDE w:val="0"/>
        <w:autoSpaceDN w:val="0"/>
        <w:adjustRightInd w:val="0"/>
        <w:spacing w:after="0" w:line="288" w:lineRule="auto"/>
        <w:ind w:left="3690"/>
        <w:textAlignment w:val="center"/>
        <w:rPr>
          <w:rFonts w:ascii="Palatino Linotype" w:hAnsi="Palatino Linotype" w:cs="HelveticaNeueLT Std Lt Cn"/>
          <w:i/>
          <w:iCs/>
          <w:color w:val="000000"/>
          <w:sz w:val="24"/>
          <w:szCs w:val="24"/>
        </w:rPr>
      </w:pPr>
      <w:r w:rsidRPr="00886DAD">
        <w:rPr>
          <w:rFonts w:ascii="Palatino Linotype" w:hAnsi="Palatino Linotype" w:cs="HelveticaNeueLT Std Lt Cn"/>
          <w:i/>
          <w:iCs/>
          <w:color w:val="000000"/>
          <w:sz w:val="24"/>
          <w:szCs w:val="24"/>
        </w:rPr>
        <w:t xml:space="preserve">California Strategic Growth Council </w:t>
      </w:r>
    </w:p>
    <w:p w:rsidR="00886DAD" w:rsidRPr="00886DAD" w:rsidRDefault="00886DAD" w:rsidP="00886DAD">
      <w:pPr>
        <w:autoSpaceDE w:val="0"/>
        <w:autoSpaceDN w:val="0"/>
        <w:adjustRightInd w:val="0"/>
        <w:spacing w:after="0" w:line="288" w:lineRule="auto"/>
        <w:textAlignment w:val="center"/>
        <w:rPr>
          <w:rFonts w:ascii="Palatino Linotype" w:hAnsi="Palatino Linotype" w:cs="HelveticaNeueLT Std Lt Cn"/>
          <w:i/>
          <w:iCs/>
          <w:color w:val="000000"/>
          <w:sz w:val="24"/>
          <w:szCs w:val="24"/>
        </w:rPr>
      </w:pPr>
    </w:p>
    <w:p w:rsidR="00886DAD" w:rsidRPr="00886DAD" w:rsidRDefault="00886DAD" w:rsidP="00886DAD">
      <w:pPr>
        <w:autoSpaceDE w:val="0"/>
        <w:autoSpaceDN w:val="0"/>
        <w:adjustRightInd w:val="0"/>
        <w:spacing w:after="0" w:line="280" w:lineRule="atLeast"/>
        <w:textAlignment w:val="center"/>
        <w:rPr>
          <w:rFonts w:ascii="Palatino Linotype" w:hAnsi="Palatino Linotype" w:cs="HelveticaNeueLT Std Cn"/>
          <w:b/>
          <w:bCs/>
          <w:i/>
          <w:iCs/>
          <w:outline/>
          <w:color w:val="000000"/>
          <w:sz w:val="24"/>
          <w:szCs w:val="24"/>
          <w14:textOutline w14:w="9525" w14:cap="flat" w14:cmpd="sng" w14:algn="ctr">
            <w14:solidFill>
              <w14:srgbClr w14:val="000000"/>
            </w14:solidFill>
            <w14:prstDash w14:val="solid"/>
            <w14:round/>
          </w14:textOutline>
          <w14:textFill>
            <w14:noFill/>
          </w14:textFill>
        </w:rPr>
      </w:pPr>
      <w:r w:rsidRPr="00886DAD">
        <w:rPr>
          <w:rFonts w:ascii="Palatino Linotype" w:hAnsi="Palatino Linotype" w:cs="HelveticaNeueLT Std Lt Cn"/>
          <w:i/>
          <w:iCs/>
          <w:color w:val="000000"/>
          <w:spacing w:val="5"/>
          <w:sz w:val="24"/>
          <w:szCs w:val="24"/>
        </w:rPr>
        <w:t xml:space="preserve">Additional technical and data support was provided </w:t>
      </w:r>
      <w:proofErr w:type="gramStart"/>
      <w:r w:rsidRPr="00886DAD">
        <w:rPr>
          <w:rFonts w:ascii="Palatino Linotype" w:hAnsi="Palatino Linotype" w:cs="HelveticaNeueLT Std Lt Cn"/>
          <w:i/>
          <w:iCs/>
          <w:color w:val="000000"/>
          <w:spacing w:val="5"/>
          <w:sz w:val="24"/>
          <w:szCs w:val="24"/>
        </w:rPr>
        <w:t>by :</w:t>
      </w:r>
      <w:proofErr w:type="gramEnd"/>
    </w:p>
    <w:p w:rsidR="00886DAD" w:rsidRPr="00886DAD" w:rsidRDefault="00886DAD" w:rsidP="00886DAD">
      <w:pPr>
        <w:autoSpaceDE w:val="0"/>
        <w:autoSpaceDN w:val="0"/>
        <w:adjustRightInd w:val="0"/>
        <w:spacing w:after="0" w:line="288" w:lineRule="auto"/>
        <w:ind w:left="3690"/>
        <w:textAlignment w:val="center"/>
        <w:rPr>
          <w:rFonts w:ascii="Palatino Linotype" w:hAnsi="Palatino Linotype" w:cs="HelveticaNeueLT Std Lt Cn"/>
          <w:i/>
          <w:iCs/>
          <w:color w:val="000000"/>
          <w:sz w:val="24"/>
          <w:szCs w:val="24"/>
        </w:rPr>
      </w:pPr>
      <w:r w:rsidRPr="00886DAD">
        <w:rPr>
          <w:rFonts w:ascii="Palatino Linotype" w:hAnsi="Palatino Linotype" w:cs="HelveticaNeueLT Std Lt Cn"/>
          <w:i/>
          <w:iCs/>
          <w:color w:val="000000"/>
          <w:sz w:val="24"/>
          <w:szCs w:val="24"/>
        </w:rPr>
        <w:t>Urban Land Use and Transportation Center</w:t>
      </w:r>
    </w:p>
    <w:p w:rsidR="00886DAD" w:rsidRPr="00886DAD" w:rsidRDefault="00886DAD" w:rsidP="00886DAD">
      <w:pPr>
        <w:autoSpaceDE w:val="0"/>
        <w:autoSpaceDN w:val="0"/>
        <w:adjustRightInd w:val="0"/>
        <w:spacing w:after="0" w:line="288" w:lineRule="auto"/>
        <w:ind w:left="3690"/>
        <w:textAlignment w:val="center"/>
        <w:rPr>
          <w:rFonts w:ascii="Palatino Linotype" w:hAnsi="Palatino Linotype" w:cs="HelveticaNeueLT Std Lt Cn"/>
          <w:i/>
          <w:iCs/>
          <w:color w:val="000000"/>
          <w:sz w:val="24"/>
          <w:szCs w:val="24"/>
        </w:rPr>
      </w:pPr>
      <w:proofErr w:type="gramStart"/>
      <w:r w:rsidRPr="00886DAD">
        <w:rPr>
          <w:rFonts w:ascii="Palatino Linotype" w:hAnsi="Palatino Linotype" w:cs="HelveticaNeueLT Std Lt Cn"/>
          <w:i/>
          <w:iCs/>
          <w:color w:val="000000"/>
          <w:sz w:val="24"/>
          <w:szCs w:val="24"/>
        </w:rPr>
        <w:t>at</w:t>
      </w:r>
      <w:proofErr w:type="gramEnd"/>
      <w:r w:rsidRPr="00886DAD">
        <w:rPr>
          <w:rFonts w:ascii="Palatino Linotype" w:hAnsi="Palatino Linotype" w:cs="HelveticaNeueLT Std Lt Cn"/>
          <w:i/>
          <w:iCs/>
          <w:color w:val="000000"/>
          <w:sz w:val="24"/>
          <w:szCs w:val="24"/>
        </w:rPr>
        <w:t xml:space="preserve"> the University of California at Davis</w:t>
      </w:r>
    </w:p>
    <w:p w:rsidR="00886DAD" w:rsidRPr="00886DAD" w:rsidRDefault="00886DAD" w:rsidP="00886DAD">
      <w:pPr>
        <w:autoSpaceDE w:val="0"/>
        <w:autoSpaceDN w:val="0"/>
        <w:adjustRightInd w:val="0"/>
        <w:spacing w:after="0" w:line="288" w:lineRule="auto"/>
        <w:textAlignment w:val="center"/>
        <w:rPr>
          <w:rFonts w:ascii="Palatino Linotype" w:hAnsi="Palatino Linotype" w:cs="HelveticaNeueLT Std Lt Cn"/>
          <w:i/>
          <w:iCs/>
          <w:color w:val="000000"/>
          <w:sz w:val="24"/>
          <w:szCs w:val="24"/>
        </w:rPr>
      </w:pPr>
    </w:p>
    <w:p w:rsidR="00886DAD" w:rsidRPr="00886DAD" w:rsidRDefault="00886DAD" w:rsidP="00886DAD">
      <w:pPr>
        <w:autoSpaceDE w:val="0"/>
        <w:autoSpaceDN w:val="0"/>
        <w:adjustRightInd w:val="0"/>
        <w:spacing w:after="0" w:line="288" w:lineRule="auto"/>
        <w:textAlignment w:val="center"/>
        <w:rPr>
          <w:rFonts w:ascii="Palatino Linotype" w:hAnsi="Palatino Linotype" w:cs="HelveticaNeueLT Std Lt Cn"/>
          <w:i/>
          <w:iCs/>
          <w:color w:val="000000"/>
          <w:sz w:val="24"/>
          <w:szCs w:val="24"/>
        </w:rPr>
      </w:pPr>
    </w:p>
    <w:p w:rsidR="00886DAD" w:rsidRPr="00886DAD" w:rsidRDefault="00886DAD" w:rsidP="00886DAD">
      <w:pPr>
        <w:autoSpaceDE w:val="0"/>
        <w:autoSpaceDN w:val="0"/>
        <w:adjustRightInd w:val="0"/>
        <w:spacing w:after="0" w:line="280" w:lineRule="atLeast"/>
        <w:textAlignment w:val="center"/>
        <w:rPr>
          <w:rFonts w:ascii="Palatino Linotype" w:hAnsi="Palatino Linotype" w:cs="HelveticaNeueLT Std Lt Cn"/>
          <w:i/>
          <w:iCs/>
          <w:color w:val="000000"/>
          <w:spacing w:val="5"/>
          <w:sz w:val="24"/>
          <w:szCs w:val="24"/>
        </w:rPr>
      </w:pPr>
      <w:proofErr w:type="spellStart"/>
      <w:r w:rsidRPr="00886DAD">
        <w:rPr>
          <w:rFonts w:ascii="Palatino Linotype" w:hAnsi="Palatino Linotype" w:cs="HelveticaNeueLT Std Lt Cn"/>
          <w:i/>
          <w:iCs/>
          <w:color w:val="000000"/>
          <w:spacing w:val="5"/>
          <w:sz w:val="24"/>
          <w:szCs w:val="24"/>
        </w:rPr>
        <w:t>UrbanFootprint</w:t>
      </w:r>
      <w:proofErr w:type="spellEnd"/>
      <w:r w:rsidRPr="00886DAD">
        <w:rPr>
          <w:rFonts w:ascii="Palatino Linotype" w:hAnsi="Palatino Linotype" w:cs="HelveticaNeueLT Std Lt Cn"/>
          <w:i/>
          <w:iCs/>
          <w:color w:val="000000"/>
          <w:spacing w:val="5"/>
          <w:sz w:val="24"/>
          <w:szCs w:val="24"/>
        </w:rPr>
        <w:t xml:space="preserve"> Development </w:t>
      </w:r>
      <w:proofErr w:type="gramStart"/>
      <w:r w:rsidRPr="00886DAD">
        <w:rPr>
          <w:rFonts w:ascii="Palatino Linotype" w:hAnsi="Palatino Linotype" w:cs="HelveticaNeueLT Std Lt Cn"/>
          <w:i/>
          <w:iCs/>
          <w:color w:val="000000"/>
          <w:spacing w:val="5"/>
          <w:sz w:val="24"/>
          <w:szCs w:val="24"/>
        </w:rPr>
        <w:t>Team :</w:t>
      </w:r>
      <w:proofErr w:type="gramEnd"/>
      <w:r w:rsidRPr="00886DAD">
        <w:rPr>
          <w:rFonts w:ascii="Palatino Linotype" w:hAnsi="Palatino Linotype" w:cs="HelveticaNeueLT Std Lt Cn"/>
          <w:i/>
          <w:iCs/>
          <w:color w:val="000000"/>
          <w:spacing w:val="5"/>
          <w:sz w:val="24"/>
          <w:szCs w:val="24"/>
        </w:rPr>
        <w:t xml:space="preserve"> </w:t>
      </w:r>
    </w:p>
    <w:p w:rsidR="00886DAD" w:rsidRPr="00886DAD" w:rsidRDefault="00886DAD" w:rsidP="00886DAD">
      <w:pPr>
        <w:autoSpaceDE w:val="0"/>
        <w:autoSpaceDN w:val="0"/>
        <w:adjustRightInd w:val="0"/>
        <w:spacing w:after="0" w:line="280" w:lineRule="atLeast"/>
        <w:ind w:left="3690"/>
        <w:textAlignment w:val="center"/>
        <w:rPr>
          <w:rFonts w:ascii="Palatino Linotype" w:hAnsi="Palatino Linotype" w:cs="HelveticaNeueLT Std Lt Cn"/>
          <w:i/>
          <w:iCs/>
          <w:color w:val="000000"/>
          <w:sz w:val="24"/>
          <w:szCs w:val="24"/>
        </w:rPr>
      </w:pPr>
      <w:r w:rsidRPr="00886DAD">
        <w:rPr>
          <w:rFonts w:ascii="Palatino Linotype" w:hAnsi="Palatino Linotype" w:cs="HelveticaNeueLT Std Lt Cn"/>
          <w:i/>
          <w:iCs/>
          <w:color w:val="000000"/>
          <w:sz w:val="24"/>
          <w:szCs w:val="24"/>
        </w:rPr>
        <w:t xml:space="preserve">Model Developer: </w:t>
      </w:r>
    </w:p>
    <w:p w:rsidR="00886DAD" w:rsidRPr="00886DAD" w:rsidRDefault="00886DAD" w:rsidP="00886DAD">
      <w:pPr>
        <w:autoSpaceDE w:val="0"/>
        <w:autoSpaceDN w:val="0"/>
        <w:adjustRightInd w:val="0"/>
        <w:spacing w:after="0" w:line="288" w:lineRule="auto"/>
        <w:ind w:left="3690"/>
        <w:textAlignment w:val="center"/>
        <w:rPr>
          <w:rFonts w:ascii="Palatino Linotype" w:hAnsi="Palatino Linotype" w:cs="HelveticaNeueLT Std Lt Cn"/>
          <w:i/>
          <w:iCs/>
          <w:color w:val="000000"/>
          <w:sz w:val="24"/>
          <w:szCs w:val="24"/>
        </w:rPr>
      </w:pPr>
      <w:proofErr w:type="spellStart"/>
      <w:r w:rsidRPr="00886DAD">
        <w:rPr>
          <w:rFonts w:ascii="Palatino Linotype" w:hAnsi="Palatino Linotype" w:cs="HelveticaNeueLT Std Lt Cn"/>
          <w:i/>
          <w:iCs/>
          <w:color w:val="000000"/>
          <w:sz w:val="24"/>
          <w:szCs w:val="24"/>
        </w:rPr>
        <w:t>Calthorpe</w:t>
      </w:r>
      <w:proofErr w:type="spellEnd"/>
      <w:r w:rsidRPr="00886DAD">
        <w:rPr>
          <w:rFonts w:ascii="Palatino Linotype" w:hAnsi="Palatino Linotype" w:cs="HelveticaNeueLT Std Lt Cn"/>
          <w:i/>
          <w:iCs/>
          <w:color w:val="000000"/>
          <w:sz w:val="24"/>
          <w:szCs w:val="24"/>
        </w:rPr>
        <w:t xml:space="preserve"> Associates (www.calthorpe.com)</w:t>
      </w:r>
    </w:p>
    <w:p w:rsidR="00886DAD" w:rsidRPr="00886DAD" w:rsidRDefault="00886DAD" w:rsidP="00886DAD">
      <w:pPr>
        <w:autoSpaceDE w:val="0"/>
        <w:autoSpaceDN w:val="0"/>
        <w:adjustRightInd w:val="0"/>
        <w:spacing w:after="0" w:line="288" w:lineRule="auto"/>
        <w:ind w:left="3690"/>
        <w:textAlignment w:val="center"/>
        <w:rPr>
          <w:rFonts w:ascii="Palatino Linotype" w:hAnsi="Palatino Linotype" w:cs="HelveticaNeueLT Std Lt Cn"/>
          <w:i/>
          <w:iCs/>
          <w:color w:val="000000"/>
          <w:sz w:val="24"/>
          <w:szCs w:val="24"/>
        </w:rPr>
      </w:pPr>
    </w:p>
    <w:p w:rsidR="00886DAD" w:rsidRPr="00886DAD" w:rsidRDefault="00886DAD" w:rsidP="00886DAD">
      <w:pPr>
        <w:autoSpaceDE w:val="0"/>
        <w:autoSpaceDN w:val="0"/>
        <w:adjustRightInd w:val="0"/>
        <w:spacing w:after="0" w:line="288" w:lineRule="auto"/>
        <w:ind w:left="3690"/>
        <w:textAlignment w:val="center"/>
        <w:rPr>
          <w:rFonts w:ascii="Palatino Linotype" w:hAnsi="Palatino Linotype" w:cs="HelveticaNeueLT Std Lt Cn"/>
          <w:i/>
          <w:iCs/>
          <w:color w:val="000000"/>
          <w:sz w:val="24"/>
          <w:szCs w:val="24"/>
        </w:rPr>
      </w:pPr>
      <w:r w:rsidRPr="00886DAD">
        <w:rPr>
          <w:rFonts w:ascii="Palatino Linotype" w:hAnsi="Palatino Linotype" w:cs="HelveticaNeueLT Std Lt Cn"/>
          <w:i/>
          <w:iCs/>
          <w:color w:val="000000"/>
          <w:sz w:val="24"/>
          <w:szCs w:val="24"/>
        </w:rPr>
        <w:t xml:space="preserve">Transportation Model Development: </w:t>
      </w:r>
    </w:p>
    <w:p w:rsidR="00886DAD" w:rsidRPr="00886DAD" w:rsidRDefault="00886DAD" w:rsidP="00886DAD">
      <w:pPr>
        <w:autoSpaceDE w:val="0"/>
        <w:autoSpaceDN w:val="0"/>
        <w:adjustRightInd w:val="0"/>
        <w:spacing w:after="0" w:line="288" w:lineRule="auto"/>
        <w:ind w:left="3690"/>
        <w:textAlignment w:val="center"/>
        <w:rPr>
          <w:rFonts w:ascii="Palatino Linotype" w:hAnsi="Palatino Linotype" w:cs="HelveticaNeueLT Std Lt Cn"/>
          <w:i/>
          <w:iCs/>
          <w:color w:val="000000"/>
          <w:sz w:val="24"/>
          <w:szCs w:val="24"/>
        </w:rPr>
      </w:pPr>
      <w:r w:rsidRPr="00886DAD">
        <w:rPr>
          <w:rFonts w:ascii="Palatino Linotype" w:hAnsi="Palatino Linotype" w:cs="HelveticaNeueLT Std Lt Cn"/>
          <w:i/>
          <w:iCs/>
          <w:color w:val="000000"/>
          <w:sz w:val="24"/>
          <w:szCs w:val="24"/>
        </w:rPr>
        <w:t xml:space="preserve">Fehr &amp; Peers, </w:t>
      </w:r>
      <w:proofErr w:type="spellStart"/>
      <w:r w:rsidRPr="00886DAD">
        <w:rPr>
          <w:rFonts w:ascii="Palatino Linotype" w:hAnsi="Palatino Linotype" w:cs="HelveticaNeueLT Std Lt Cn"/>
          <w:i/>
          <w:iCs/>
          <w:color w:val="000000"/>
          <w:sz w:val="24"/>
          <w:szCs w:val="24"/>
        </w:rPr>
        <w:t>Inc</w:t>
      </w:r>
      <w:proofErr w:type="spellEnd"/>
      <w:r w:rsidRPr="00886DAD">
        <w:rPr>
          <w:rFonts w:ascii="Palatino Linotype" w:hAnsi="Palatino Linotype" w:cs="HelveticaNeueLT Std Lt Cn"/>
          <w:i/>
          <w:iCs/>
          <w:color w:val="000000"/>
          <w:sz w:val="24"/>
          <w:szCs w:val="24"/>
        </w:rPr>
        <w:t xml:space="preserve"> (www.fehrandpeers.com)</w:t>
      </w:r>
    </w:p>
    <w:p w:rsidR="00886DAD" w:rsidRPr="00886DAD" w:rsidRDefault="00886DAD" w:rsidP="00886DAD">
      <w:pPr>
        <w:autoSpaceDE w:val="0"/>
        <w:autoSpaceDN w:val="0"/>
        <w:adjustRightInd w:val="0"/>
        <w:spacing w:after="0" w:line="288" w:lineRule="auto"/>
        <w:ind w:left="3690"/>
        <w:textAlignment w:val="center"/>
        <w:rPr>
          <w:rFonts w:ascii="Palatino Linotype" w:hAnsi="Palatino Linotype" w:cs="HelveticaNeueLT Std Lt Cn"/>
          <w:i/>
          <w:iCs/>
          <w:color w:val="000000"/>
          <w:sz w:val="24"/>
          <w:szCs w:val="24"/>
        </w:rPr>
      </w:pPr>
    </w:p>
    <w:p w:rsidR="00886DAD" w:rsidRPr="00886DAD" w:rsidRDefault="00886DAD" w:rsidP="00886DAD">
      <w:pPr>
        <w:autoSpaceDE w:val="0"/>
        <w:autoSpaceDN w:val="0"/>
        <w:adjustRightInd w:val="0"/>
        <w:spacing w:after="0" w:line="288" w:lineRule="auto"/>
        <w:ind w:left="3690"/>
        <w:textAlignment w:val="center"/>
        <w:rPr>
          <w:rFonts w:ascii="Palatino Linotype" w:hAnsi="Palatino Linotype" w:cs="HelveticaNeueLT Std Lt Cn"/>
          <w:i/>
          <w:iCs/>
          <w:color w:val="000000"/>
          <w:sz w:val="24"/>
          <w:szCs w:val="24"/>
        </w:rPr>
      </w:pPr>
      <w:r w:rsidRPr="00886DAD">
        <w:rPr>
          <w:rFonts w:ascii="Palatino Linotype" w:hAnsi="Palatino Linotype" w:cs="HelveticaNeueLT Std Lt Cn"/>
          <w:i/>
          <w:iCs/>
          <w:color w:val="000000"/>
          <w:sz w:val="24"/>
          <w:szCs w:val="24"/>
        </w:rPr>
        <w:t xml:space="preserve">Public Health Model Development: </w:t>
      </w:r>
    </w:p>
    <w:p w:rsidR="00886DAD" w:rsidRPr="00886DAD" w:rsidRDefault="00886DAD" w:rsidP="00886DAD">
      <w:pPr>
        <w:autoSpaceDE w:val="0"/>
        <w:autoSpaceDN w:val="0"/>
        <w:adjustRightInd w:val="0"/>
        <w:spacing w:after="0" w:line="288" w:lineRule="auto"/>
        <w:ind w:left="3690"/>
        <w:textAlignment w:val="center"/>
        <w:rPr>
          <w:rFonts w:ascii="Palatino Linotype" w:hAnsi="Palatino Linotype" w:cs="HelveticaNeueLT Std Lt Cn"/>
          <w:i/>
          <w:iCs/>
          <w:color w:val="000000"/>
          <w:sz w:val="24"/>
          <w:szCs w:val="24"/>
        </w:rPr>
      </w:pPr>
      <w:r w:rsidRPr="00886DAD">
        <w:rPr>
          <w:rFonts w:ascii="Palatino Linotype" w:hAnsi="Palatino Linotype" w:cs="HelveticaNeueLT Std Lt Cn"/>
          <w:i/>
          <w:iCs/>
          <w:color w:val="000000"/>
          <w:sz w:val="24"/>
          <w:szCs w:val="24"/>
        </w:rPr>
        <w:t>UrbanDesign4Health (urbandesign4health.com)</w:t>
      </w:r>
    </w:p>
    <w:p w:rsidR="00886DAD" w:rsidRPr="00886DAD" w:rsidRDefault="00886DAD" w:rsidP="00886DAD">
      <w:pPr>
        <w:autoSpaceDE w:val="0"/>
        <w:autoSpaceDN w:val="0"/>
        <w:adjustRightInd w:val="0"/>
        <w:spacing w:after="0" w:line="288" w:lineRule="auto"/>
        <w:ind w:left="3690"/>
        <w:textAlignment w:val="center"/>
        <w:rPr>
          <w:rFonts w:ascii="Palatino Linotype" w:hAnsi="Palatino Linotype" w:cs="HelveticaNeueLT Std Lt Cn"/>
          <w:i/>
          <w:iCs/>
          <w:color w:val="000000"/>
          <w:sz w:val="24"/>
          <w:szCs w:val="24"/>
        </w:rPr>
      </w:pPr>
    </w:p>
    <w:p w:rsidR="00886DAD" w:rsidRPr="00886DAD" w:rsidRDefault="00886DAD" w:rsidP="00886DAD">
      <w:pPr>
        <w:autoSpaceDE w:val="0"/>
        <w:autoSpaceDN w:val="0"/>
        <w:adjustRightInd w:val="0"/>
        <w:spacing w:after="0" w:line="288" w:lineRule="auto"/>
        <w:ind w:left="3690"/>
        <w:textAlignment w:val="center"/>
        <w:rPr>
          <w:rFonts w:ascii="Palatino Linotype" w:hAnsi="Palatino Linotype" w:cs="HelveticaNeueLT Std Lt Cn"/>
          <w:i/>
          <w:iCs/>
          <w:color w:val="000000"/>
          <w:sz w:val="24"/>
          <w:szCs w:val="24"/>
        </w:rPr>
      </w:pPr>
      <w:r w:rsidRPr="00886DAD">
        <w:rPr>
          <w:rFonts w:ascii="Palatino Linotype" w:hAnsi="Palatino Linotype" w:cs="HelveticaNeueLT Std Lt Cn"/>
          <w:i/>
          <w:iCs/>
          <w:color w:val="000000"/>
          <w:sz w:val="24"/>
          <w:szCs w:val="24"/>
        </w:rPr>
        <w:t xml:space="preserve">Programming Support: </w:t>
      </w:r>
    </w:p>
    <w:p w:rsidR="00886DAD" w:rsidRPr="00886DAD" w:rsidRDefault="00886DAD" w:rsidP="00886DAD">
      <w:pPr>
        <w:autoSpaceDE w:val="0"/>
        <w:autoSpaceDN w:val="0"/>
        <w:adjustRightInd w:val="0"/>
        <w:spacing w:after="0" w:line="288" w:lineRule="auto"/>
        <w:ind w:left="3690"/>
        <w:textAlignment w:val="center"/>
        <w:rPr>
          <w:rFonts w:ascii="Palatino Linotype" w:hAnsi="Palatino Linotype" w:cs="HelveticaNeueLT Std Lt Cn"/>
          <w:i/>
          <w:iCs/>
          <w:color w:val="000000"/>
          <w:sz w:val="24"/>
          <w:szCs w:val="24"/>
        </w:rPr>
      </w:pPr>
      <w:proofErr w:type="spellStart"/>
      <w:r w:rsidRPr="00886DAD">
        <w:rPr>
          <w:rFonts w:ascii="Palatino Linotype" w:hAnsi="Palatino Linotype" w:cs="HelveticaNeueLT Std Lt Cn"/>
          <w:i/>
          <w:iCs/>
          <w:color w:val="000000"/>
          <w:sz w:val="24"/>
          <w:szCs w:val="24"/>
        </w:rPr>
        <w:t>Ragi</w:t>
      </w:r>
      <w:proofErr w:type="spellEnd"/>
      <w:r w:rsidRPr="00886DAD">
        <w:rPr>
          <w:rFonts w:ascii="Palatino Linotype" w:hAnsi="Palatino Linotype" w:cs="HelveticaNeueLT Std Lt Cn"/>
          <w:i/>
          <w:iCs/>
          <w:color w:val="000000"/>
          <w:sz w:val="24"/>
          <w:szCs w:val="24"/>
        </w:rPr>
        <w:t xml:space="preserve"> </w:t>
      </w:r>
      <w:proofErr w:type="spellStart"/>
      <w:r w:rsidRPr="00886DAD">
        <w:rPr>
          <w:rFonts w:ascii="Palatino Linotype" w:hAnsi="Palatino Linotype" w:cs="HelveticaNeueLT Std Lt Cn"/>
          <w:i/>
          <w:iCs/>
          <w:color w:val="000000"/>
          <w:sz w:val="24"/>
          <w:szCs w:val="24"/>
        </w:rPr>
        <w:t>Burhum</w:t>
      </w:r>
      <w:proofErr w:type="spellEnd"/>
      <w:r w:rsidRPr="00886DAD">
        <w:rPr>
          <w:rFonts w:ascii="Palatino Linotype" w:hAnsi="Palatino Linotype" w:cs="HelveticaNeueLT Std Lt Cn"/>
          <w:i/>
          <w:iCs/>
          <w:color w:val="000000"/>
          <w:sz w:val="24"/>
          <w:szCs w:val="24"/>
        </w:rPr>
        <w:t xml:space="preserve"> (www.burhumllc.com) and Brian Hamlin </w:t>
      </w:r>
    </w:p>
    <w:p w:rsidR="00886DAD" w:rsidRPr="00886DAD" w:rsidRDefault="00886DAD" w:rsidP="00886DAD">
      <w:pPr>
        <w:suppressAutoHyphens/>
        <w:autoSpaceDE w:val="0"/>
        <w:autoSpaceDN w:val="0"/>
        <w:adjustRightInd w:val="0"/>
        <w:spacing w:after="0" w:line="288" w:lineRule="auto"/>
        <w:textAlignment w:val="center"/>
        <w:rPr>
          <w:rFonts w:ascii="HelveticaNeueLT Std Med Cn" w:hAnsi="HelveticaNeueLT Std Med Cn" w:cs="HelveticaNeueLT Std Med Cn"/>
          <w:color w:val="000000"/>
          <w:spacing w:val="18"/>
          <w:w w:val="110"/>
          <w:sz w:val="72"/>
          <w:szCs w:val="72"/>
        </w:rPr>
      </w:pPr>
    </w:p>
    <w:p w:rsidR="00886DAD" w:rsidRPr="00B866D9" w:rsidRDefault="00886DAD" w:rsidP="00B866D9">
      <w:pPr>
        <w:suppressAutoHyphens/>
        <w:autoSpaceDE w:val="0"/>
        <w:autoSpaceDN w:val="0"/>
        <w:adjustRightInd w:val="0"/>
        <w:spacing w:after="0" w:line="288" w:lineRule="auto"/>
        <w:textAlignment w:val="center"/>
        <w:rPr>
          <w:rFonts w:ascii="Palatino Linotype" w:hAnsi="Palatino Linotype" w:cs="HelveticaNeueLT Std Cn"/>
          <w:color w:val="000000"/>
          <w:w w:val="110"/>
          <w:sz w:val="24"/>
          <w:szCs w:val="24"/>
        </w:rPr>
      </w:pPr>
    </w:p>
    <w:p w:rsidR="00B866D9" w:rsidRPr="00B866D9" w:rsidRDefault="00B866D9">
      <w:pPr>
        <w:rPr>
          <w:rFonts w:ascii="Palatino Linotype" w:hAnsi="Palatino Linotype" w:cstheme="minorHAnsi"/>
          <w:sz w:val="24"/>
          <w:szCs w:val="24"/>
        </w:rPr>
      </w:pPr>
      <w:r w:rsidRPr="00B866D9">
        <w:rPr>
          <w:rFonts w:ascii="Palatino Linotype" w:hAnsi="Palatino Linotype" w:cstheme="minorHAnsi"/>
          <w:sz w:val="24"/>
          <w:szCs w:val="24"/>
        </w:rPr>
        <w:br w:type="page"/>
      </w:r>
    </w:p>
    <w:p w:rsidR="006275EF" w:rsidRPr="00B866D9" w:rsidRDefault="006275EF" w:rsidP="00DE3163">
      <w:pPr>
        <w:pStyle w:val="Heading1"/>
      </w:pPr>
      <w:r w:rsidRPr="00B866D9">
        <w:lastRenderedPageBreak/>
        <w:t>Contents</w:t>
      </w:r>
    </w:p>
    <w:p w:rsidR="006275EF" w:rsidRPr="00B866D9" w:rsidRDefault="00B866D9" w:rsidP="006275EF">
      <w:pPr>
        <w:rPr>
          <w:rFonts w:ascii="Palatino Linotype" w:hAnsi="Palatino Linotype" w:cstheme="minorHAnsi"/>
          <w:sz w:val="24"/>
          <w:szCs w:val="24"/>
        </w:rPr>
      </w:pPr>
      <w:r w:rsidRPr="00B866D9">
        <w:rPr>
          <w:rFonts w:ascii="Palatino Linotype" w:hAnsi="Palatino Linotype" w:cstheme="minorHAnsi"/>
          <w:sz w:val="24"/>
          <w:szCs w:val="24"/>
        </w:rPr>
        <w:t xml:space="preserve">Vision California </w:t>
      </w:r>
      <w:r w:rsidR="006275EF" w:rsidRPr="00B866D9">
        <w:rPr>
          <w:rFonts w:ascii="Palatino Linotype" w:hAnsi="Palatino Linotype" w:cstheme="minorHAnsi"/>
          <w:sz w:val="24"/>
          <w:szCs w:val="24"/>
        </w:rPr>
        <w:t>and Urban</w:t>
      </w:r>
      <w:r w:rsidR="00DE3163">
        <w:rPr>
          <w:rFonts w:ascii="Palatino Linotype" w:hAnsi="Palatino Linotype" w:cstheme="minorHAnsi"/>
          <w:sz w:val="24"/>
          <w:szCs w:val="24"/>
        </w:rPr>
        <w:t xml:space="preserve"> </w:t>
      </w:r>
      <w:r w:rsidR="006275EF" w:rsidRPr="00B866D9">
        <w:rPr>
          <w:rFonts w:ascii="Palatino Linotype" w:hAnsi="Palatino Linotype" w:cstheme="minorHAnsi"/>
          <w:sz w:val="24"/>
          <w:szCs w:val="24"/>
        </w:rPr>
        <w:t>Footprint</w:t>
      </w:r>
      <w:r w:rsidR="006275EF" w:rsidRPr="00B866D9">
        <w:rPr>
          <w:rFonts w:ascii="Palatino Linotype" w:hAnsi="Palatino Linotype" w:cstheme="minorHAnsi"/>
          <w:sz w:val="24"/>
          <w:szCs w:val="24"/>
        </w:rPr>
        <w:tab/>
        <w:t>4</w:t>
      </w:r>
    </w:p>
    <w:p w:rsidR="006275EF" w:rsidRPr="00B866D9" w:rsidRDefault="006275EF" w:rsidP="006275EF">
      <w:pPr>
        <w:rPr>
          <w:rFonts w:ascii="Palatino Linotype" w:hAnsi="Palatino Linotype" w:cstheme="minorHAnsi"/>
          <w:sz w:val="24"/>
          <w:szCs w:val="24"/>
        </w:rPr>
      </w:pPr>
      <w:r w:rsidRPr="00B866D9">
        <w:rPr>
          <w:rFonts w:ascii="Palatino Linotype" w:hAnsi="Palatino Linotype" w:cstheme="minorHAnsi"/>
          <w:sz w:val="24"/>
          <w:szCs w:val="24"/>
        </w:rPr>
        <w:t>Introduction</w:t>
      </w:r>
      <w:r w:rsidRPr="00B866D9">
        <w:rPr>
          <w:rFonts w:ascii="Palatino Linotype" w:hAnsi="Palatino Linotype" w:cstheme="minorHAnsi"/>
          <w:sz w:val="24"/>
          <w:szCs w:val="24"/>
        </w:rPr>
        <w:tab/>
        <w:t>6</w:t>
      </w:r>
    </w:p>
    <w:p w:rsidR="006275EF" w:rsidRPr="00B866D9" w:rsidRDefault="00F04CC2" w:rsidP="006275EF">
      <w:pPr>
        <w:rPr>
          <w:rFonts w:ascii="Palatino Linotype" w:hAnsi="Palatino Linotype" w:cstheme="minorHAnsi"/>
          <w:sz w:val="24"/>
          <w:szCs w:val="24"/>
        </w:rPr>
      </w:pPr>
      <w:r>
        <w:rPr>
          <w:rFonts w:ascii="Palatino Linotype" w:hAnsi="Palatino Linotype" w:cstheme="minorHAnsi"/>
          <w:sz w:val="24"/>
          <w:szCs w:val="24"/>
        </w:rPr>
        <w:t>Urban</w:t>
      </w:r>
      <w:r w:rsidR="00DE3163">
        <w:rPr>
          <w:rFonts w:ascii="Palatino Linotype" w:hAnsi="Palatino Linotype" w:cstheme="minorHAnsi"/>
          <w:sz w:val="24"/>
          <w:szCs w:val="24"/>
        </w:rPr>
        <w:t xml:space="preserve"> </w:t>
      </w:r>
      <w:r>
        <w:rPr>
          <w:rFonts w:ascii="Palatino Linotype" w:hAnsi="Palatino Linotype" w:cstheme="minorHAnsi"/>
          <w:sz w:val="24"/>
          <w:szCs w:val="24"/>
        </w:rPr>
        <w:t xml:space="preserve">Footprint </w:t>
      </w:r>
      <w:r w:rsidR="006275EF" w:rsidRPr="00B866D9">
        <w:rPr>
          <w:rFonts w:ascii="Palatino Linotype" w:hAnsi="Palatino Linotype" w:cstheme="minorHAnsi"/>
          <w:sz w:val="24"/>
          <w:szCs w:val="24"/>
        </w:rPr>
        <w:t>Model Components</w:t>
      </w:r>
      <w:r w:rsidR="006275EF" w:rsidRPr="00B866D9">
        <w:rPr>
          <w:rFonts w:ascii="Palatino Linotype" w:hAnsi="Palatino Linotype" w:cstheme="minorHAnsi"/>
          <w:sz w:val="24"/>
          <w:szCs w:val="24"/>
        </w:rPr>
        <w:tab/>
        <w:t>8</w:t>
      </w:r>
    </w:p>
    <w:p w:rsidR="006275EF" w:rsidRPr="00B866D9" w:rsidRDefault="006275EF" w:rsidP="006275EF">
      <w:pPr>
        <w:rPr>
          <w:rFonts w:ascii="Palatino Linotype" w:hAnsi="Palatino Linotype" w:cstheme="minorHAnsi"/>
          <w:sz w:val="24"/>
          <w:szCs w:val="24"/>
        </w:rPr>
      </w:pPr>
      <w:r w:rsidRPr="00B866D9">
        <w:rPr>
          <w:rFonts w:ascii="Palatino Linotype" w:hAnsi="Palatino Linotype" w:cstheme="minorHAnsi"/>
          <w:sz w:val="24"/>
          <w:szCs w:val="24"/>
        </w:rPr>
        <w:t>Open Source Tools</w:t>
      </w:r>
      <w:r w:rsidRPr="00B866D9">
        <w:rPr>
          <w:rFonts w:ascii="Palatino Linotype" w:hAnsi="Palatino Linotype" w:cstheme="minorHAnsi"/>
          <w:sz w:val="24"/>
          <w:szCs w:val="24"/>
        </w:rPr>
        <w:tab/>
        <w:t>10</w:t>
      </w:r>
    </w:p>
    <w:p w:rsidR="006275EF" w:rsidRPr="00B866D9" w:rsidRDefault="006275EF" w:rsidP="006275EF">
      <w:pPr>
        <w:rPr>
          <w:rFonts w:ascii="Palatino Linotype" w:hAnsi="Palatino Linotype" w:cstheme="minorHAnsi"/>
          <w:sz w:val="24"/>
          <w:szCs w:val="24"/>
        </w:rPr>
      </w:pPr>
      <w:r w:rsidRPr="00B866D9">
        <w:rPr>
          <w:rFonts w:ascii="Palatino Linotype" w:hAnsi="Palatino Linotype" w:cstheme="minorHAnsi"/>
          <w:sz w:val="24"/>
          <w:szCs w:val="24"/>
        </w:rPr>
        <w:t>Base Data Loading</w:t>
      </w:r>
      <w:r w:rsidRPr="00B866D9">
        <w:rPr>
          <w:rFonts w:ascii="Palatino Linotype" w:hAnsi="Palatino Linotype" w:cstheme="minorHAnsi"/>
          <w:sz w:val="24"/>
          <w:szCs w:val="24"/>
        </w:rPr>
        <w:tab/>
        <w:t>11</w:t>
      </w:r>
    </w:p>
    <w:p w:rsidR="006275EF" w:rsidRPr="00B866D9" w:rsidRDefault="006275EF" w:rsidP="006275EF">
      <w:pPr>
        <w:rPr>
          <w:rFonts w:ascii="Palatino Linotype" w:hAnsi="Palatino Linotype" w:cstheme="minorHAnsi"/>
          <w:sz w:val="24"/>
          <w:szCs w:val="24"/>
        </w:rPr>
      </w:pPr>
      <w:r w:rsidRPr="00B866D9">
        <w:rPr>
          <w:rFonts w:ascii="Palatino Linotype" w:hAnsi="Palatino Linotype" w:cstheme="minorHAnsi"/>
          <w:sz w:val="24"/>
          <w:szCs w:val="24"/>
        </w:rPr>
        <w:t>Place Types and Building Types</w:t>
      </w:r>
      <w:r w:rsidRPr="00B866D9">
        <w:rPr>
          <w:rFonts w:ascii="Palatino Linotype" w:hAnsi="Palatino Linotype" w:cstheme="minorHAnsi"/>
          <w:sz w:val="24"/>
          <w:szCs w:val="24"/>
        </w:rPr>
        <w:tab/>
        <w:t>14</w:t>
      </w:r>
    </w:p>
    <w:p w:rsidR="006275EF" w:rsidRPr="00B866D9" w:rsidRDefault="006275EF" w:rsidP="006275EF">
      <w:pPr>
        <w:rPr>
          <w:rFonts w:ascii="Palatino Linotype" w:hAnsi="Palatino Linotype" w:cstheme="minorHAnsi"/>
          <w:sz w:val="24"/>
          <w:szCs w:val="24"/>
        </w:rPr>
      </w:pPr>
      <w:r w:rsidRPr="00B866D9">
        <w:rPr>
          <w:rFonts w:ascii="Palatino Linotype" w:hAnsi="Palatino Linotype" w:cstheme="minorHAnsi"/>
          <w:sz w:val="24"/>
          <w:szCs w:val="24"/>
        </w:rPr>
        <w:t>Existing Plan Translation</w:t>
      </w:r>
      <w:r w:rsidRPr="00B866D9">
        <w:rPr>
          <w:rFonts w:ascii="Palatino Linotype" w:hAnsi="Palatino Linotype" w:cstheme="minorHAnsi"/>
          <w:sz w:val="24"/>
          <w:szCs w:val="24"/>
        </w:rPr>
        <w:tab/>
        <w:t>16</w:t>
      </w:r>
    </w:p>
    <w:p w:rsidR="006275EF" w:rsidRPr="00B866D9" w:rsidRDefault="006275EF" w:rsidP="006275EF">
      <w:pPr>
        <w:rPr>
          <w:rFonts w:ascii="Palatino Linotype" w:hAnsi="Palatino Linotype" w:cstheme="minorHAnsi"/>
          <w:sz w:val="24"/>
          <w:szCs w:val="24"/>
        </w:rPr>
      </w:pPr>
      <w:r w:rsidRPr="00B866D9">
        <w:rPr>
          <w:rFonts w:ascii="Palatino Linotype" w:hAnsi="Palatino Linotype" w:cstheme="minorHAnsi"/>
          <w:sz w:val="24"/>
          <w:szCs w:val="24"/>
        </w:rPr>
        <w:t>Base + Future Modeling</w:t>
      </w:r>
      <w:r w:rsidRPr="00B866D9">
        <w:rPr>
          <w:rFonts w:ascii="Palatino Linotype" w:hAnsi="Palatino Linotype" w:cstheme="minorHAnsi"/>
          <w:sz w:val="24"/>
          <w:szCs w:val="24"/>
        </w:rPr>
        <w:tab/>
        <w:t>18</w:t>
      </w:r>
    </w:p>
    <w:p w:rsidR="006275EF" w:rsidRPr="00B866D9" w:rsidRDefault="006275EF" w:rsidP="006275EF">
      <w:pPr>
        <w:rPr>
          <w:rFonts w:ascii="Palatino Linotype" w:hAnsi="Palatino Linotype" w:cstheme="minorHAnsi"/>
          <w:sz w:val="24"/>
          <w:szCs w:val="24"/>
        </w:rPr>
      </w:pPr>
      <w:r w:rsidRPr="00B866D9">
        <w:rPr>
          <w:rFonts w:ascii="Palatino Linotype" w:hAnsi="Palatino Linotype" w:cstheme="minorHAnsi"/>
          <w:sz w:val="24"/>
          <w:szCs w:val="24"/>
        </w:rPr>
        <w:t>Scenario Painting and Editing</w:t>
      </w:r>
      <w:r w:rsidRPr="00B866D9">
        <w:rPr>
          <w:rFonts w:ascii="Palatino Linotype" w:hAnsi="Palatino Linotype" w:cstheme="minorHAnsi"/>
          <w:sz w:val="24"/>
          <w:szCs w:val="24"/>
        </w:rPr>
        <w:tab/>
        <w:t>19</w:t>
      </w:r>
    </w:p>
    <w:p w:rsidR="006275EF" w:rsidRPr="00B866D9" w:rsidRDefault="006275EF" w:rsidP="006275EF">
      <w:pPr>
        <w:rPr>
          <w:rFonts w:ascii="Palatino Linotype" w:hAnsi="Palatino Linotype" w:cstheme="minorHAnsi"/>
          <w:sz w:val="24"/>
          <w:szCs w:val="24"/>
        </w:rPr>
      </w:pPr>
      <w:r w:rsidRPr="00B866D9">
        <w:rPr>
          <w:rFonts w:ascii="Palatino Linotype" w:hAnsi="Palatino Linotype" w:cstheme="minorHAnsi"/>
          <w:sz w:val="24"/>
          <w:szCs w:val="24"/>
        </w:rPr>
        <w:t>Scenario Analysis</w:t>
      </w:r>
      <w:r w:rsidRPr="00B866D9">
        <w:rPr>
          <w:rFonts w:ascii="Palatino Linotype" w:hAnsi="Palatino Linotype" w:cstheme="minorHAnsi"/>
          <w:sz w:val="24"/>
          <w:szCs w:val="24"/>
        </w:rPr>
        <w:tab/>
        <w:t>20</w:t>
      </w:r>
    </w:p>
    <w:p w:rsidR="006275EF" w:rsidRPr="00B866D9" w:rsidRDefault="006275EF" w:rsidP="006275EF">
      <w:pPr>
        <w:rPr>
          <w:rFonts w:ascii="Palatino Linotype" w:hAnsi="Palatino Linotype" w:cstheme="minorHAnsi"/>
          <w:sz w:val="24"/>
          <w:szCs w:val="24"/>
        </w:rPr>
      </w:pPr>
      <w:r w:rsidRPr="00B866D9">
        <w:rPr>
          <w:rFonts w:ascii="Palatino Linotype" w:hAnsi="Palatino Linotype" w:cstheme="minorHAnsi"/>
          <w:sz w:val="24"/>
          <w:szCs w:val="24"/>
        </w:rPr>
        <w:t>Land Consumption Analysis</w:t>
      </w:r>
      <w:r w:rsidRPr="00B866D9">
        <w:rPr>
          <w:rFonts w:ascii="Palatino Linotype" w:hAnsi="Palatino Linotype" w:cstheme="minorHAnsi"/>
          <w:sz w:val="24"/>
          <w:szCs w:val="24"/>
        </w:rPr>
        <w:tab/>
        <w:t>22</w:t>
      </w:r>
    </w:p>
    <w:p w:rsidR="006275EF" w:rsidRPr="00B866D9" w:rsidRDefault="006275EF" w:rsidP="006275EF">
      <w:pPr>
        <w:rPr>
          <w:rFonts w:ascii="Palatino Linotype" w:hAnsi="Palatino Linotype" w:cstheme="minorHAnsi"/>
          <w:sz w:val="24"/>
          <w:szCs w:val="24"/>
        </w:rPr>
      </w:pPr>
      <w:r w:rsidRPr="00B866D9">
        <w:rPr>
          <w:rFonts w:ascii="Palatino Linotype" w:hAnsi="Palatino Linotype" w:cstheme="minorHAnsi"/>
          <w:sz w:val="24"/>
          <w:szCs w:val="24"/>
        </w:rPr>
        <w:t>Fiscal Impact Analysis</w:t>
      </w:r>
      <w:r w:rsidRPr="00B866D9">
        <w:rPr>
          <w:rFonts w:ascii="Palatino Linotype" w:hAnsi="Palatino Linotype" w:cstheme="minorHAnsi"/>
          <w:sz w:val="24"/>
          <w:szCs w:val="24"/>
        </w:rPr>
        <w:tab/>
        <w:t>23</w:t>
      </w:r>
    </w:p>
    <w:p w:rsidR="006275EF" w:rsidRPr="00B866D9" w:rsidRDefault="006275EF" w:rsidP="006275EF">
      <w:pPr>
        <w:rPr>
          <w:rFonts w:ascii="Palatino Linotype" w:hAnsi="Palatino Linotype" w:cstheme="minorHAnsi"/>
          <w:sz w:val="24"/>
          <w:szCs w:val="24"/>
        </w:rPr>
      </w:pPr>
      <w:r w:rsidRPr="00B866D9">
        <w:rPr>
          <w:rFonts w:ascii="Palatino Linotype" w:hAnsi="Palatino Linotype" w:cstheme="minorHAnsi"/>
          <w:sz w:val="24"/>
          <w:szCs w:val="24"/>
        </w:rPr>
        <w:t>Building Energy Analysis</w:t>
      </w:r>
      <w:r w:rsidRPr="00B866D9">
        <w:rPr>
          <w:rFonts w:ascii="Palatino Linotype" w:hAnsi="Palatino Linotype" w:cstheme="minorHAnsi"/>
          <w:sz w:val="24"/>
          <w:szCs w:val="24"/>
        </w:rPr>
        <w:tab/>
        <w:t>24</w:t>
      </w:r>
    </w:p>
    <w:p w:rsidR="006275EF" w:rsidRPr="00B866D9" w:rsidRDefault="006275EF" w:rsidP="006275EF">
      <w:pPr>
        <w:rPr>
          <w:rFonts w:ascii="Palatino Linotype" w:hAnsi="Palatino Linotype" w:cstheme="minorHAnsi"/>
          <w:sz w:val="24"/>
          <w:szCs w:val="24"/>
        </w:rPr>
      </w:pPr>
      <w:r w:rsidRPr="00B866D9">
        <w:rPr>
          <w:rFonts w:ascii="Palatino Linotype" w:hAnsi="Palatino Linotype" w:cstheme="minorHAnsi"/>
          <w:sz w:val="24"/>
          <w:szCs w:val="24"/>
        </w:rPr>
        <w:t>Water Analysis</w:t>
      </w:r>
      <w:r w:rsidRPr="00B866D9">
        <w:rPr>
          <w:rFonts w:ascii="Palatino Linotype" w:hAnsi="Palatino Linotype" w:cstheme="minorHAnsi"/>
          <w:sz w:val="24"/>
          <w:szCs w:val="24"/>
        </w:rPr>
        <w:tab/>
        <w:t>25</w:t>
      </w:r>
    </w:p>
    <w:p w:rsidR="006275EF" w:rsidRPr="00B866D9" w:rsidRDefault="006275EF" w:rsidP="006275EF">
      <w:pPr>
        <w:rPr>
          <w:rFonts w:ascii="Palatino Linotype" w:hAnsi="Palatino Linotype" w:cstheme="minorHAnsi"/>
          <w:sz w:val="24"/>
          <w:szCs w:val="24"/>
        </w:rPr>
      </w:pPr>
      <w:r w:rsidRPr="00B866D9">
        <w:rPr>
          <w:rFonts w:ascii="Palatino Linotype" w:hAnsi="Palatino Linotype" w:cstheme="minorHAnsi"/>
          <w:sz w:val="24"/>
          <w:szCs w:val="24"/>
        </w:rPr>
        <w:t>Transportation Analysis</w:t>
      </w:r>
      <w:r w:rsidRPr="00B866D9">
        <w:rPr>
          <w:rFonts w:ascii="Palatino Linotype" w:hAnsi="Palatino Linotype" w:cstheme="minorHAnsi"/>
          <w:sz w:val="24"/>
          <w:szCs w:val="24"/>
        </w:rPr>
        <w:tab/>
        <w:t>26</w:t>
      </w:r>
    </w:p>
    <w:p w:rsidR="006275EF" w:rsidRPr="00B866D9" w:rsidRDefault="006275EF" w:rsidP="006275EF">
      <w:pPr>
        <w:rPr>
          <w:rFonts w:ascii="Palatino Linotype" w:hAnsi="Palatino Linotype" w:cstheme="minorHAnsi"/>
          <w:sz w:val="24"/>
          <w:szCs w:val="24"/>
        </w:rPr>
      </w:pPr>
      <w:r w:rsidRPr="00B866D9">
        <w:rPr>
          <w:rFonts w:ascii="Palatino Linotype" w:hAnsi="Palatino Linotype" w:cstheme="minorHAnsi"/>
          <w:sz w:val="24"/>
          <w:szCs w:val="24"/>
        </w:rPr>
        <w:t>Public Health Analysis</w:t>
      </w:r>
      <w:r w:rsidRPr="00B866D9">
        <w:rPr>
          <w:rFonts w:ascii="Palatino Linotype" w:hAnsi="Palatino Linotype" w:cstheme="minorHAnsi"/>
          <w:sz w:val="24"/>
          <w:szCs w:val="24"/>
        </w:rPr>
        <w:tab/>
        <w:t>31</w:t>
      </w:r>
    </w:p>
    <w:p w:rsidR="006275EF" w:rsidRPr="00B866D9" w:rsidRDefault="006275EF" w:rsidP="006275EF">
      <w:pPr>
        <w:rPr>
          <w:rFonts w:ascii="Palatino Linotype" w:hAnsi="Palatino Linotype" w:cstheme="minorHAnsi"/>
          <w:sz w:val="24"/>
          <w:szCs w:val="24"/>
        </w:rPr>
      </w:pPr>
      <w:r w:rsidRPr="00B866D9">
        <w:rPr>
          <w:rFonts w:ascii="Palatino Linotype" w:hAnsi="Palatino Linotype" w:cstheme="minorHAnsi"/>
          <w:sz w:val="24"/>
          <w:szCs w:val="24"/>
        </w:rPr>
        <w:t>Endnotes and References</w:t>
      </w:r>
      <w:r w:rsidRPr="00B866D9">
        <w:rPr>
          <w:rFonts w:ascii="Palatino Linotype" w:hAnsi="Palatino Linotype" w:cstheme="minorHAnsi"/>
          <w:sz w:val="24"/>
          <w:szCs w:val="24"/>
        </w:rPr>
        <w:tab/>
        <w:t>34</w:t>
      </w:r>
    </w:p>
    <w:p w:rsidR="006275EF" w:rsidRPr="00B866D9" w:rsidRDefault="006275EF" w:rsidP="006275EF">
      <w:pPr>
        <w:rPr>
          <w:rFonts w:ascii="Palatino Linotype" w:hAnsi="Palatino Linotype" w:cstheme="minorHAnsi"/>
          <w:sz w:val="24"/>
          <w:szCs w:val="24"/>
        </w:rPr>
      </w:pPr>
    </w:p>
    <w:p w:rsidR="006275EF" w:rsidRPr="00B866D9" w:rsidRDefault="006275EF">
      <w:pPr>
        <w:rPr>
          <w:rFonts w:ascii="Palatino Linotype" w:hAnsi="Palatino Linotype" w:cstheme="minorHAnsi"/>
          <w:sz w:val="24"/>
          <w:szCs w:val="24"/>
        </w:rPr>
      </w:pPr>
      <w:r w:rsidRPr="00B866D9">
        <w:rPr>
          <w:rFonts w:ascii="Palatino Linotype" w:hAnsi="Palatino Linotype" w:cstheme="minorHAnsi"/>
          <w:sz w:val="24"/>
          <w:szCs w:val="24"/>
        </w:rPr>
        <w:br w:type="page"/>
      </w:r>
    </w:p>
    <w:p w:rsidR="006275EF" w:rsidRPr="00B866D9" w:rsidRDefault="006275EF" w:rsidP="006275EF">
      <w:pPr>
        <w:rPr>
          <w:rFonts w:ascii="Palatino Linotype" w:hAnsi="Palatino Linotype" w:cstheme="minorHAnsi"/>
          <w:sz w:val="24"/>
          <w:szCs w:val="24"/>
        </w:rPr>
      </w:pPr>
      <w:r w:rsidRPr="00B866D9">
        <w:rPr>
          <w:rFonts w:ascii="Palatino Linotype" w:hAnsi="Palatino Linotype" w:cstheme="minorHAnsi"/>
          <w:sz w:val="24"/>
          <w:szCs w:val="24"/>
        </w:rPr>
        <w:lastRenderedPageBreak/>
        <w:t xml:space="preserve">What is Vision California? </w:t>
      </w:r>
    </w:p>
    <w:p w:rsidR="006275EF" w:rsidRPr="00B866D9" w:rsidRDefault="006275EF" w:rsidP="006275EF">
      <w:pPr>
        <w:rPr>
          <w:rFonts w:ascii="Palatino Linotype" w:hAnsi="Palatino Linotype" w:cstheme="minorHAnsi"/>
          <w:sz w:val="24"/>
          <w:szCs w:val="24"/>
        </w:rPr>
      </w:pPr>
      <w:r w:rsidRPr="00B866D9">
        <w:rPr>
          <w:rFonts w:ascii="Palatino Linotype" w:hAnsi="Palatino Linotype" w:cstheme="minorHAnsi"/>
          <w:sz w:val="24"/>
          <w:szCs w:val="24"/>
        </w:rPr>
        <w:t xml:space="preserve">The Vision California project began in 2008 to explore the role of land use and transportation investments in meeting the environmental, fiscal, and public health challenges facing California over the coming decades. Funded by the California High Speed Rail Authority and the California Strategic Growth Council, the project has produced new scenario development and analysis tools to compare physical growth alternatives. These tools have provided critical modeling support for state, regional, and local planning processes. The final phase of Vision California has focused on the development of the </w:t>
      </w:r>
      <w:proofErr w:type="spellStart"/>
      <w:r w:rsidRPr="00B866D9">
        <w:rPr>
          <w:rFonts w:ascii="Palatino Linotype" w:hAnsi="Palatino Linotype" w:cstheme="minorHAnsi"/>
          <w:sz w:val="24"/>
          <w:szCs w:val="24"/>
        </w:rPr>
        <w:t>UrbanFootprint</w:t>
      </w:r>
      <w:proofErr w:type="spellEnd"/>
      <w:r w:rsidRPr="00B866D9">
        <w:rPr>
          <w:rFonts w:ascii="Palatino Linotype" w:hAnsi="Palatino Linotype" w:cstheme="minorHAnsi"/>
          <w:sz w:val="24"/>
          <w:szCs w:val="24"/>
        </w:rPr>
        <w:t xml:space="preserve"> modeling framework, which includes scalable scenario development and analytical tools, as well as a database of existing conditions and future scenarios for the five major regions of California. </w:t>
      </w:r>
    </w:p>
    <w:p w:rsidR="006275EF" w:rsidRPr="00B866D9" w:rsidRDefault="006275EF" w:rsidP="006275EF">
      <w:pPr>
        <w:rPr>
          <w:rFonts w:ascii="Palatino Linotype" w:hAnsi="Palatino Linotype" w:cstheme="minorHAnsi"/>
          <w:sz w:val="24"/>
          <w:szCs w:val="24"/>
        </w:rPr>
      </w:pPr>
      <w:r w:rsidRPr="00B866D9">
        <w:rPr>
          <w:rFonts w:ascii="Palatino Linotype" w:hAnsi="Palatino Linotype" w:cstheme="minorHAnsi"/>
          <w:sz w:val="24"/>
          <w:szCs w:val="24"/>
        </w:rPr>
        <w:t>[</w:t>
      </w:r>
      <w:proofErr w:type="gramStart"/>
      <w:r w:rsidRPr="00B866D9">
        <w:rPr>
          <w:rFonts w:ascii="Palatino Linotype" w:hAnsi="Palatino Linotype" w:cstheme="minorHAnsi"/>
          <w:sz w:val="24"/>
          <w:szCs w:val="24"/>
        </w:rPr>
        <w:t>in</w:t>
      </w:r>
      <w:proofErr w:type="gramEnd"/>
      <w:r w:rsidRPr="00B866D9">
        <w:rPr>
          <w:rFonts w:ascii="Palatino Linotype" w:hAnsi="Palatino Linotype" w:cstheme="minorHAnsi"/>
          <w:sz w:val="24"/>
          <w:szCs w:val="24"/>
        </w:rPr>
        <w:t xml:space="preserve"> circle] The Vision California </w:t>
      </w:r>
      <w:proofErr w:type="spellStart"/>
      <w:r w:rsidRPr="00B866D9">
        <w:rPr>
          <w:rFonts w:ascii="Palatino Linotype" w:hAnsi="Palatino Linotype" w:cstheme="minorHAnsi"/>
          <w:sz w:val="24"/>
          <w:szCs w:val="24"/>
        </w:rPr>
        <w:t>UrbanFootprint</w:t>
      </w:r>
      <w:proofErr w:type="spellEnd"/>
      <w:r w:rsidRPr="00B866D9">
        <w:rPr>
          <w:rFonts w:ascii="Palatino Linotype" w:hAnsi="Palatino Linotype" w:cstheme="minorHAnsi"/>
          <w:sz w:val="24"/>
          <w:szCs w:val="24"/>
        </w:rPr>
        <w:t xml:space="preserve"> study area covers the five major regions of California, as defined by the jurisdictions of: Sacramento Area Council of Governments (SACOG); Association of Bay Area Governments/Metropolitan Transportation Commission (ABAG/MTC); Southern California Association of Governments (SCAG); San Diego Association of Governments (SANDAG); and the 8 counties of the San Joaquin Valley (Fresno, Kern, Kings, Madera, Merced, San Joaquin, Stanislaus, Tulare).</w:t>
      </w:r>
    </w:p>
    <w:p w:rsidR="006275EF" w:rsidRPr="00B866D9" w:rsidRDefault="006275EF" w:rsidP="006275EF">
      <w:pPr>
        <w:rPr>
          <w:rFonts w:ascii="Palatino Linotype" w:hAnsi="Palatino Linotype" w:cstheme="minorHAnsi"/>
          <w:sz w:val="24"/>
          <w:szCs w:val="24"/>
        </w:rPr>
      </w:pPr>
    </w:p>
    <w:p w:rsidR="006275EF" w:rsidRPr="00B866D9" w:rsidRDefault="006275EF">
      <w:pPr>
        <w:rPr>
          <w:rFonts w:ascii="Palatino Linotype" w:hAnsi="Palatino Linotype" w:cstheme="minorHAnsi"/>
          <w:sz w:val="24"/>
          <w:szCs w:val="24"/>
        </w:rPr>
      </w:pPr>
      <w:r w:rsidRPr="00B866D9">
        <w:rPr>
          <w:rFonts w:ascii="Palatino Linotype" w:hAnsi="Palatino Linotype" w:cstheme="minorHAnsi"/>
          <w:sz w:val="24"/>
          <w:szCs w:val="24"/>
        </w:rPr>
        <w:br w:type="page"/>
      </w:r>
    </w:p>
    <w:p w:rsidR="00886DAD" w:rsidRDefault="00886DAD" w:rsidP="006275EF">
      <w:pPr>
        <w:rPr>
          <w:rFonts w:ascii="Palatino Linotype" w:hAnsi="Palatino Linotype" w:cstheme="minorHAnsi"/>
          <w:sz w:val="24"/>
          <w:szCs w:val="24"/>
        </w:rPr>
      </w:pPr>
      <w:r>
        <w:rPr>
          <w:rFonts w:ascii="Palatino Linotype" w:hAnsi="Palatino Linotype" w:cstheme="minorHAnsi"/>
          <w:sz w:val="24"/>
          <w:szCs w:val="24"/>
        </w:rPr>
        <w:lastRenderedPageBreak/>
        <w:t>Regional Scenario Studies</w:t>
      </w:r>
    </w:p>
    <w:p w:rsidR="006275EF" w:rsidRPr="00B866D9" w:rsidRDefault="006275EF" w:rsidP="006275EF">
      <w:pPr>
        <w:rPr>
          <w:rFonts w:ascii="Palatino Linotype" w:hAnsi="Palatino Linotype" w:cstheme="minorHAnsi"/>
          <w:sz w:val="24"/>
          <w:szCs w:val="24"/>
        </w:rPr>
      </w:pPr>
      <w:r w:rsidRPr="00B866D9">
        <w:rPr>
          <w:rFonts w:ascii="Palatino Linotype" w:hAnsi="Palatino Linotype" w:cstheme="minorHAnsi"/>
          <w:sz w:val="24"/>
          <w:szCs w:val="24"/>
        </w:rPr>
        <w:t xml:space="preserve">The </w:t>
      </w:r>
      <w:proofErr w:type="spellStart"/>
      <w:r w:rsidRPr="00B866D9">
        <w:rPr>
          <w:rFonts w:ascii="Palatino Linotype" w:hAnsi="Palatino Linotype" w:cstheme="minorHAnsi"/>
          <w:sz w:val="24"/>
          <w:szCs w:val="24"/>
        </w:rPr>
        <w:t>UrbanFootprint</w:t>
      </w:r>
      <w:proofErr w:type="spellEnd"/>
      <w:r w:rsidRPr="00B866D9">
        <w:rPr>
          <w:rFonts w:ascii="Palatino Linotype" w:hAnsi="Palatino Linotype" w:cstheme="minorHAnsi"/>
          <w:sz w:val="24"/>
          <w:szCs w:val="24"/>
        </w:rPr>
        <w:t xml:space="preserve"> model was used to produce a set of alternative scenarios for each of the five major regions of California as a means of testing the model and setting up the data and analytical frameworks required for additional scenario development or analysis at the statewide, regional, or local level. These scenarios are informed by the work completed or underway within each region and are not intended to compete with or be directly compared to official regional plans or published analysis. The </w:t>
      </w:r>
      <w:proofErr w:type="spellStart"/>
      <w:r w:rsidRPr="00B866D9">
        <w:rPr>
          <w:rFonts w:ascii="Palatino Linotype" w:hAnsi="Palatino Linotype" w:cstheme="minorHAnsi"/>
          <w:sz w:val="24"/>
          <w:szCs w:val="24"/>
        </w:rPr>
        <w:t>UrbanFootprint</w:t>
      </w:r>
      <w:proofErr w:type="spellEnd"/>
      <w:r w:rsidRPr="00B866D9">
        <w:rPr>
          <w:rFonts w:ascii="Palatino Linotype" w:hAnsi="Palatino Linotype" w:cstheme="minorHAnsi"/>
          <w:sz w:val="24"/>
          <w:szCs w:val="24"/>
        </w:rPr>
        <w:t xml:space="preserve"> scenarios should be viewed as preliminary scenarios that express the comparative impacts of alternative growth patterns.</w:t>
      </w:r>
    </w:p>
    <w:p w:rsidR="006275EF" w:rsidRPr="00B866D9" w:rsidRDefault="006275EF" w:rsidP="006275EF">
      <w:pPr>
        <w:rPr>
          <w:rFonts w:ascii="Palatino Linotype" w:hAnsi="Palatino Linotype" w:cstheme="minorHAnsi"/>
          <w:sz w:val="24"/>
          <w:szCs w:val="24"/>
        </w:rPr>
      </w:pPr>
      <w:r w:rsidRPr="00B866D9">
        <w:rPr>
          <w:rFonts w:ascii="Palatino Linotype" w:hAnsi="Palatino Linotype" w:cstheme="minorHAnsi"/>
          <w:sz w:val="24"/>
          <w:szCs w:val="24"/>
        </w:rPr>
        <w:t xml:space="preserve">Each regional analysis includes a ‘Business as Usual’ scenario that extends past trends into the future, and </w:t>
      </w:r>
      <w:proofErr w:type="gramStart"/>
      <w:r w:rsidRPr="00B866D9">
        <w:rPr>
          <w:rFonts w:ascii="Palatino Linotype" w:hAnsi="Palatino Linotype" w:cstheme="minorHAnsi"/>
          <w:sz w:val="24"/>
          <w:szCs w:val="24"/>
        </w:rPr>
        <w:t>an alternative scenario that look</w:t>
      </w:r>
      <w:proofErr w:type="gramEnd"/>
      <w:r w:rsidRPr="00B866D9">
        <w:rPr>
          <w:rFonts w:ascii="Palatino Linotype" w:hAnsi="Palatino Linotype" w:cstheme="minorHAnsi"/>
          <w:sz w:val="24"/>
          <w:szCs w:val="24"/>
        </w:rPr>
        <w:t xml:space="preserve"> at more compact patterns focused on multi-modal infrastructure investment packages. These alternative scenarios are informed by the Blueprint and Sustainable Communities Strategies (SCS) completed or underway within the regions. </w:t>
      </w:r>
      <w:proofErr w:type="spellStart"/>
      <w:r w:rsidRPr="00B866D9">
        <w:rPr>
          <w:rFonts w:ascii="Palatino Linotype" w:hAnsi="Palatino Linotype" w:cstheme="minorHAnsi"/>
          <w:sz w:val="24"/>
          <w:szCs w:val="24"/>
        </w:rPr>
        <w:t>UrbanFootprint’s</w:t>
      </w:r>
      <w:proofErr w:type="spellEnd"/>
      <w:r w:rsidRPr="00B866D9">
        <w:rPr>
          <w:rFonts w:ascii="Palatino Linotype" w:hAnsi="Palatino Linotype" w:cstheme="minorHAnsi"/>
          <w:sz w:val="24"/>
          <w:szCs w:val="24"/>
        </w:rPr>
        <w:t xml:space="preserve"> analytical engines are used to measure the energy, public health, transportation, water, climate, and fiscal impacts of each scenario.</w:t>
      </w:r>
    </w:p>
    <w:p w:rsidR="006275EF" w:rsidRPr="00B866D9" w:rsidRDefault="006275EF" w:rsidP="006275EF">
      <w:pPr>
        <w:rPr>
          <w:rFonts w:ascii="Palatino Linotype" w:hAnsi="Palatino Linotype" w:cstheme="minorHAnsi"/>
          <w:sz w:val="24"/>
          <w:szCs w:val="24"/>
        </w:rPr>
      </w:pPr>
    </w:p>
    <w:p w:rsidR="006275EF" w:rsidRPr="00B866D9" w:rsidRDefault="006275EF">
      <w:pPr>
        <w:rPr>
          <w:rFonts w:ascii="Palatino Linotype" w:hAnsi="Palatino Linotype" w:cstheme="minorHAnsi"/>
          <w:sz w:val="24"/>
          <w:szCs w:val="24"/>
        </w:rPr>
      </w:pPr>
      <w:r w:rsidRPr="00B866D9">
        <w:rPr>
          <w:rFonts w:ascii="Palatino Linotype" w:hAnsi="Palatino Linotype" w:cstheme="minorHAnsi"/>
          <w:sz w:val="24"/>
          <w:szCs w:val="24"/>
        </w:rPr>
        <w:br w:type="page"/>
      </w:r>
    </w:p>
    <w:p w:rsidR="006275EF" w:rsidRPr="008022CC" w:rsidRDefault="006275EF" w:rsidP="00F04CC2">
      <w:pPr>
        <w:pStyle w:val="Heading1"/>
      </w:pPr>
      <w:r w:rsidRPr="008022CC">
        <w:lastRenderedPageBreak/>
        <w:t>Introduction</w:t>
      </w:r>
    </w:p>
    <w:p w:rsidR="006275EF" w:rsidRPr="008022CC" w:rsidRDefault="006275EF" w:rsidP="006275EF">
      <w:pPr>
        <w:rPr>
          <w:rFonts w:ascii="Palatino Linotype" w:hAnsi="Palatino Linotype" w:cstheme="minorHAnsi"/>
          <w:sz w:val="20"/>
          <w:szCs w:val="20"/>
        </w:rPr>
      </w:pPr>
      <w:r w:rsidRPr="008022CC">
        <w:rPr>
          <w:rFonts w:ascii="Palatino Linotype" w:hAnsi="Palatino Linotype" w:cstheme="minorHAnsi"/>
          <w:sz w:val="20"/>
          <w:szCs w:val="20"/>
        </w:rPr>
        <w:t xml:space="preserve">The </w:t>
      </w:r>
      <w:proofErr w:type="spellStart"/>
      <w:r w:rsidRPr="008022CC">
        <w:rPr>
          <w:rFonts w:ascii="Palatino Linotype" w:hAnsi="Palatino Linotype" w:cstheme="minorHAnsi"/>
          <w:sz w:val="20"/>
          <w:szCs w:val="20"/>
        </w:rPr>
        <w:t>UrbanFootprint</w:t>
      </w:r>
      <w:proofErr w:type="spellEnd"/>
      <w:r w:rsidRPr="008022CC">
        <w:rPr>
          <w:rFonts w:ascii="Palatino Linotype" w:hAnsi="Palatino Linotype" w:cstheme="minorHAnsi"/>
          <w:sz w:val="20"/>
          <w:szCs w:val="20"/>
        </w:rPr>
        <w:t xml:space="preserve"> model is a powerful land use planning, modeling, and data organization framework designed to facilitate more informed planning by practitioners, public agencies, and other stakeholders. Built on fully open-source software platforms and tools, </w:t>
      </w:r>
      <w:proofErr w:type="spellStart"/>
      <w:r w:rsidRPr="008022CC">
        <w:rPr>
          <w:rFonts w:ascii="Palatino Linotype" w:hAnsi="Palatino Linotype" w:cstheme="minorHAnsi"/>
          <w:sz w:val="20"/>
          <w:szCs w:val="20"/>
        </w:rPr>
        <w:t>UrbanFootprint</w:t>
      </w:r>
      <w:proofErr w:type="spellEnd"/>
      <w:r w:rsidRPr="008022CC">
        <w:rPr>
          <w:rFonts w:ascii="Palatino Linotype" w:hAnsi="Palatino Linotype" w:cstheme="minorHAnsi"/>
          <w:sz w:val="20"/>
          <w:szCs w:val="20"/>
        </w:rPr>
        <w:t xml:space="preserve"> requires no proprietary software of any kind. Its development is led by </w:t>
      </w:r>
      <w:proofErr w:type="spellStart"/>
      <w:r w:rsidRPr="008022CC">
        <w:rPr>
          <w:rFonts w:ascii="Palatino Linotype" w:hAnsi="Palatino Linotype" w:cstheme="minorHAnsi"/>
          <w:sz w:val="20"/>
          <w:szCs w:val="20"/>
        </w:rPr>
        <w:t>Calthorpe</w:t>
      </w:r>
      <w:proofErr w:type="spellEnd"/>
      <w:r w:rsidRPr="008022CC">
        <w:rPr>
          <w:rFonts w:ascii="Palatino Linotype" w:hAnsi="Palatino Linotype" w:cstheme="minorHAnsi"/>
          <w:sz w:val="20"/>
          <w:szCs w:val="20"/>
        </w:rPr>
        <w:t xml:space="preserve"> Associates, a planning and urban design firm based in Berkeley, California. </w:t>
      </w:r>
    </w:p>
    <w:p w:rsidR="006275EF" w:rsidRPr="008022CC" w:rsidRDefault="006275EF" w:rsidP="006275EF">
      <w:pPr>
        <w:rPr>
          <w:rFonts w:ascii="Palatino Linotype" w:hAnsi="Palatino Linotype" w:cstheme="minorHAnsi"/>
          <w:sz w:val="20"/>
          <w:szCs w:val="20"/>
        </w:rPr>
      </w:pPr>
      <w:proofErr w:type="spellStart"/>
      <w:r w:rsidRPr="008022CC">
        <w:rPr>
          <w:rFonts w:ascii="Palatino Linotype" w:hAnsi="Palatino Linotype" w:cstheme="minorHAnsi"/>
          <w:sz w:val="20"/>
          <w:szCs w:val="20"/>
        </w:rPr>
        <w:t>UrbanFootprint</w:t>
      </w:r>
      <w:proofErr w:type="spellEnd"/>
      <w:r w:rsidRPr="008022CC">
        <w:rPr>
          <w:rFonts w:ascii="Palatino Linotype" w:hAnsi="Palatino Linotype" w:cstheme="minorHAnsi"/>
          <w:sz w:val="20"/>
          <w:szCs w:val="20"/>
        </w:rPr>
        <w:t xml:space="preserve"> comprises a suite of tools and analytical engines that vastly decrease the time and resources required to get up and running with scenario development, while significantly increasing the technical capacity of state, regional, and local users to analyze the fiscal, environmental, transportation, and public health impacts of plans and policies. Moreover, it provides a common data framework within which planning efforts at various scales can be integrated and synced. </w:t>
      </w:r>
    </w:p>
    <w:p w:rsidR="006275EF" w:rsidRPr="008022CC" w:rsidRDefault="006275EF" w:rsidP="006275EF">
      <w:pPr>
        <w:rPr>
          <w:rFonts w:ascii="Palatino Linotype" w:hAnsi="Palatino Linotype" w:cstheme="minorHAnsi"/>
          <w:sz w:val="20"/>
          <w:szCs w:val="20"/>
        </w:rPr>
      </w:pPr>
      <w:r w:rsidRPr="008022CC">
        <w:rPr>
          <w:rFonts w:ascii="Palatino Linotype" w:hAnsi="Palatino Linotype" w:cstheme="minorHAnsi"/>
          <w:sz w:val="20"/>
          <w:szCs w:val="20"/>
        </w:rPr>
        <w:t xml:space="preserve">Scenario-based planning with </w:t>
      </w:r>
      <w:proofErr w:type="spellStart"/>
      <w:r w:rsidRPr="008022CC">
        <w:rPr>
          <w:rFonts w:ascii="Palatino Linotype" w:hAnsi="Palatino Linotype" w:cstheme="minorHAnsi"/>
          <w:sz w:val="20"/>
          <w:szCs w:val="20"/>
        </w:rPr>
        <w:t>UrbanFootprint</w:t>
      </w:r>
      <w:proofErr w:type="spellEnd"/>
      <w:r w:rsidRPr="008022CC">
        <w:rPr>
          <w:rFonts w:ascii="Palatino Linotype" w:hAnsi="Palatino Linotype" w:cstheme="minorHAnsi"/>
          <w:sz w:val="20"/>
          <w:szCs w:val="20"/>
        </w:rPr>
        <w:t xml:space="preserve"> involves four stages: data organization, the translation of existing plans, scenario development, and scenario analysis. This guide describes how </w:t>
      </w:r>
      <w:proofErr w:type="spellStart"/>
      <w:r w:rsidRPr="008022CC">
        <w:rPr>
          <w:rFonts w:ascii="Palatino Linotype" w:hAnsi="Palatino Linotype" w:cstheme="minorHAnsi"/>
          <w:sz w:val="20"/>
          <w:szCs w:val="20"/>
        </w:rPr>
        <w:t>UrbanFootprint</w:t>
      </w:r>
      <w:proofErr w:type="spellEnd"/>
      <w:r w:rsidRPr="008022CC">
        <w:rPr>
          <w:rFonts w:ascii="Palatino Linotype" w:hAnsi="Palatino Linotype" w:cstheme="minorHAnsi"/>
          <w:sz w:val="20"/>
          <w:szCs w:val="20"/>
        </w:rPr>
        <w:t xml:space="preserve"> works through each of these stages to arrive at clearly defined scenarios and results. </w:t>
      </w:r>
    </w:p>
    <w:p w:rsidR="006275EF" w:rsidRPr="008022CC" w:rsidRDefault="006275EF" w:rsidP="006275EF">
      <w:pPr>
        <w:rPr>
          <w:rFonts w:ascii="Palatino Linotype" w:hAnsi="Palatino Linotype" w:cstheme="minorHAnsi"/>
          <w:sz w:val="20"/>
          <w:szCs w:val="20"/>
        </w:rPr>
      </w:pPr>
      <w:r w:rsidRPr="008022CC">
        <w:rPr>
          <w:rFonts w:ascii="Palatino Linotype" w:hAnsi="Palatino Linotype" w:cstheme="minorHAnsi"/>
          <w:sz w:val="20"/>
          <w:szCs w:val="20"/>
        </w:rPr>
        <w:t xml:space="preserve">The model currently includes analytical engines that produce results for the following metrics (with more to come as the model is advanced through deployment and research-based activities): </w:t>
      </w:r>
    </w:p>
    <w:p w:rsidR="006275EF" w:rsidRPr="008022CC" w:rsidRDefault="006275EF" w:rsidP="006275EF">
      <w:pPr>
        <w:rPr>
          <w:rFonts w:ascii="Palatino Linotype" w:hAnsi="Palatino Linotype" w:cstheme="minorHAnsi"/>
          <w:sz w:val="20"/>
          <w:szCs w:val="20"/>
        </w:rPr>
      </w:pPr>
      <w:r w:rsidRPr="008022CC">
        <w:rPr>
          <w:rFonts w:ascii="Palatino Linotype" w:hAnsi="Palatino Linotype" w:cstheme="minorHAnsi"/>
          <w:sz w:val="20"/>
          <w:szCs w:val="20"/>
        </w:rPr>
        <w:t>Land consumption</w:t>
      </w:r>
    </w:p>
    <w:p w:rsidR="006275EF" w:rsidRPr="008022CC" w:rsidRDefault="006275EF" w:rsidP="006275EF">
      <w:pPr>
        <w:rPr>
          <w:rFonts w:ascii="Palatino Linotype" w:hAnsi="Palatino Linotype" w:cstheme="minorHAnsi"/>
          <w:sz w:val="20"/>
          <w:szCs w:val="20"/>
        </w:rPr>
      </w:pPr>
      <w:r w:rsidRPr="008022CC">
        <w:rPr>
          <w:rFonts w:ascii="Palatino Linotype" w:hAnsi="Palatino Linotype" w:cstheme="minorHAnsi"/>
          <w:sz w:val="20"/>
          <w:szCs w:val="20"/>
        </w:rPr>
        <w:t>Vehicle miles traveled (VMT), travel mode, and fuel consumption</w:t>
      </w:r>
    </w:p>
    <w:p w:rsidR="006275EF" w:rsidRPr="008022CC" w:rsidRDefault="006275EF" w:rsidP="006275EF">
      <w:pPr>
        <w:rPr>
          <w:rFonts w:ascii="Palatino Linotype" w:hAnsi="Palatino Linotype" w:cstheme="minorHAnsi"/>
          <w:sz w:val="20"/>
          <w:szCs w:val="20"/>
        </w:rPr>
      </w:pPr>
      <w:r w:rsidRPr="008022CC">
        <w:rPr>
          <w:rFonts w:ascii="Palatino Linotype" w:hAnsi="Palatino Linotype" w:cstheme="minorHAnsi"/>
          <w:sz w:val="20"/>
          <w:szCs w:val="20"/>
        </w:rPr>
        <w:t>Transportation greenhouse gas (GHG) and air pollutant emissions</w:t>
      </w:r>
    </w:p>
    <w:p w:rsidR="006275EF" w:rsidRPr="008022CC" w:rsidRDefault="006275EF" w:rsidP="006275EF">
      <w:pPr>
        <w:rPr>
          <w:rFonts w:ascii="Palatino Linotype" w:hAnsi="Palatino Linotype" w:cstheme="minorHAnsi"/>
          <w:sz w:val="20"/>
          <w:szCs w:val="20"/>
        </w:rPr>
      </w:pPr>
      <w:r w:rsidRPr="008022CC">
        <w:rPr>
          <w:rFonts w:ascii="Palatino Linotype" w:hAnsi="Palatino Linotype" w:cstheme="minorHAnsi"/>
          <w:sz w:val="20"/>
          <w:szCs w:val="20"/>
        </w:rPr>
        <w:t>Building energy and water consumption, costs, and related GHG emissions</w:t>
      </w:r>
    </w:p>
    <w:p w:rsidR="006275EF" w:rsidRPr="008022CC" w:rsidRDefault="006275EF" w:rsidP="006275EF">
      <w:pPr>
        <w:rPr>
          <w:rFonts w:ascii="Palatino Linotype" w:hAnsi="Palatino Linotype" w:cstheme="minorHAnsi"/>
          <w:sz w:val="20"/>
          <w:szCs w:val="20"/>
        </w:rPr>
      </w:pPr>
      <w:r w:rsidRPr="008022CC">
        <w:rPr>
          <w:rFonts w:ascii="Palatino Linotype" w:hAnsi="Palatino Linotype" w:cstheme="minorHAnsi"/>
          <w:sz w:val="20"/>
          <w:szCs w:val="20"/>
        </w:rPr>
        <w:t>Household costs for housing, transportation and utilities</w:t>
      </w:r>
    </w:p>
    <w:p w:rsidR="006275EF" w:rsidRPr="008022CC" w:rsidRDefault="006275EF" w:rsidP="006275EF">
      <w:pPr>
        <w:rPr>
          <w:rFonts w:ascii="Palatino Linotype" w:hAnsi="Palatino Linotype" w:cstheme="minorHAnsi"/>
          <w:sz w:val="20"/>
          <w:szCs w:val="20"/>
        </w:rPr>
      </w:pPr>
      <w:r w:rsidRPr="008022CC">
        <w:rPr>
          <w:rFonts w:ascii="Palatino Linotype" w:hAnsi="Palatino Linotype" w:cstheme="minorHAnsi"/>
          <w:sz w:val="20"/>
          <w:szCs w:val="20"/>
        </w:rPr>
        <w:t xml:space="preserve">Public health impacts and costs (physical activity/weight-relayed, pollutant/respiratory-related, and pedestrian-safety) </w:t>
      </w:r>
    </w:p>
    <w:p w:rsidR="006275EF" w:rsidRPr="008022CC" w:rsidRDefault="006275EF" w:rsidP="006275EF">
      <w:pPr>
        <w:rPr>
          <w:rFonts w:ascii="Palatino Linotype" w:hAnsi="Palatino Linotype" w:cstheme="minorHAnsi"/>
          <w:sz w:val="20"/>
          <w:szCs w:val="20"/>
        </w:rPr>
      </w:pPr>
      <w:r w:rsidRPr="008022CC">
        <w:rPr>
          <w:rFonts w:ascii="Palatino Linotype" w:hAnsi="Palatino Linotype" w:cstheme="minorHAnsi"/>
          <w:sz w:val="20"/>
          <w:szCs w:val="20"/>
        </w:rPr>
        <w:t>Local fiscal impacts (capital infrastructure and operations and maintenance costs, and tax/fee revenues)</w:t>
      </w:r>
    </w:p>
    <w:p w:rsidR="006275EF" w:rsidRPr="008022CC" w:rsidRDefault="006275EF" w:rsidP="006275EF">
      <w:pPr>
        <w:rPr>
          <w:rFonts w:ascii="Palatino Linotype" w:hAnsi="Palatino Linotype" w:cstheme="minorHAnsi"/>
          <w:sz w:val="20"/>
          <w:szCs w:val="20"/>
        </w:rPr>
      </w:pPr>
      <w:proofErr w:type="spellStart"/>
      <w:r w:rsidRPr="008022CC">
        <w:rPr>
          <w:rFonts w:ascii="Palatino Linotype" w:hAnsi="Palatino Linotype" w:cstheme="minorHAnsi"/>
          <w:sz w:val="20"/>
          <w:szCs w:val="20"/>
        </w:rPr>
        <w:t>UrbanFootprint</w:t>
      </w:r>
      <w:proofErr w:type="spellEnd"/>
      <w:r w:rsidRPr="008022CC">
        <w:rPr>
          <w:rFonts w:ascii="Palatino Linotype" w:hAnsi="Palatino Linotype" w:cstheme="minorHAnsi"/>
          <w:sz w:val="20"/>
          <w:szCs w:val="20"/>
        </w:rPr>
        <w:t xml:space="preserve"> is a comprehensive data and scenario planning ecosystem designed to break through the technical and financial barriers that typically stand in the way of rigorous scenario development and analysis. Because it uses open-source software platforms and tools, the model can serve a broad community, and thrive via user participation in its deployment and ongoing advancement.</w:t>
      </w:r>
    </w:p>
    <w:p w:rsidR="006275EF" w:rsidRPr="00B866D9" w:rsidRDefault="006275EF">
      <w:pPr>
        <w:rPr>
          <w:rFonts w:ascii="Palatino Linotype" w:hAnsi="Palatino Linotype" w:cstheme="minorHAnsi"/>
          <w:sz w:val="24"/>
          <w:szCs w:val="24"/>
        </w:rPr>
      </w:pPr>
      <w:r w:rsidRPr="00B866D9">
        <w:rPr>
          <w:rFonts w:ascii="Palatino Linotype" w:hAnsi="Palatino Linotype" w:cstheme="minorHAnsi"/>
          <w:sz w:val="24"/>
          <w:szCs w:val="24"/>
        </w:rPr>
        <w:br w:type="page"/>
      </w:r>
    </w:p>
    <w:p w:rsidR="006275EF" w:rsidRPr="008022CC" w:rsidRDefault="006275EF" w:rsidP="006275EF">
      <w:pPr>
        <w:pStyle w:val="HELhighlightedtext"/>
        <w:rPr>
          <w:rFonts w:ascii="Palatino Linotype" w:hAnsi="Palatino Linotype" w:cstheme="minorHAnsi"/>
          <w:sz w:val="20"/>
          <w:szCs w:val="20"/>
        </w:rPr>
      </w:pPr>
      <w:proofErr w:type="spellStart"/>
      <w:r w:rsidRPr="008022CC">
        <w:rPr>
          <w:rFonts w:ascii="Palatino Linotype" w:hAnsi="Palatino Linotype" w:cstheme="minorHAnsi"/>
          <w:sz w:val="20"/>
          <w:szCs w:val="20"/>
        </w:rPr>
        <w:lastRenderedPageBreak/>
        <w:t>UrbanFootprint</w:t>
      </w:r>
      <w:proofErr w:type="spellEnd"/>
      <w:r w:rsidRPr="008022CC">
        <w:rPr>
          <w:rFonts w:ascii="Palatino Linotype" w:hAnsi="Palatino Linotype" w:cstheme="minorHAnsi"/>
          <w:sz w:val="20"/>
          <w:szCs w:val="20"/>
        </w:rPr>
        <w:t xml:space="preserve"> as an Ecosystem</w:t>
      </w:r>
    </w:p>
    <w:p w:rsidR="006275EF" w:rsidRDefault="006275EF" w:rsidP="006275EF">
      <w:pPr>
        <w:pStyle w:val="GEORGIABodyText"/>
        <w:rPr>
          <w:rFonts w:ascii="Palatino Linotype" w:hAnsi="Palatino Linotype" w:cstheme="minorHAnsi"/>
          <w:sz w:val="20"/>
          <w:szCs w:val="20"/>
        </w:rPr>
      </w:pPr>
      <w:r w:rsidRPr="008022CC">
        <w:rPr>
          <w:rFonts w:ascii="Palatino Linotype" w:hAnsi="Palatino Linotype" w:cstheme="minorHAnsi"/>
          <w:sz w:val="20"/>
          <w:szCs w:val="20"/>
        </w:rPr>
        <w:t xml:space="preserve">The </w:t>
      </w:r>
      <w:proofErr w:type="spellStart"/>
      <w:r w:rsidRPr="008022CC">
        <w:rPr>
          <w:rFonts w:ascii="Palatino Linotype" w:hAnsi="Palatino Linotype" w:cstheme="minorHAnsi"/>
          <w:sz w:val="20"/>
          <w:szCs w:val="20"/>
        </w:rPr>
        <w:t>UrbanFootprint</w:t>
      </w:r>
      <w:proofErr w:type="spellEnd"/>
      <w:r w:rsidRPr="008022CC">
        <w:rPr>
          <w:rFonts w:ascii="Palatino Linotype" w:hAnsi="Palatino Linotype" w:cstheme="minorHAnsi"/>
          <w:sz w:val="20"/>
          <w:szCs w:val="20"/>
        </w:rPr>
        <w:t xml:space="preserve"> modeling framework functions as a data and scenario planning ecosystem. It includes </w:t>
      </w:r>
      <w:r w:rsidRPr="008022CC">
        <w:rPr>
          <w:rFonts w:ascii="Palatino Linotype" w:hAnsi="Palatino Linotype" w:cstheme="minorHAnsi"/>
          <w:i/>
          <w:iCs/>
          <w:sz w:val="20"/>
          <w:szCs w:val="20"/>
        </w:rPr>
        <w:t>data development and organization tools</w:t>
      </w:r>
      <w:r w:rsidRPr="008022CC">
        <w:rPr>
          <w:rFonts w:ascii="Palatino Linotype" w:hAnsi="Palatino Linotype" w:cstheme="minorHAnsi"/>
          <w:sz w:val="20"/>
          <w:szCs w:val="20"/>
        </w:rPr>
        <w:t xml:space="preserve"> that streamline the creation, updating, and storage of detailed existing conditions data, existing city, regional, or other plans and policies, and future scenarios. It also includes novel</w:t>
      </w:r>
      <w:r w:rsidRPr="008022CC">
        <w:rPr>
          <w:rFonts w:ascii="Palatino Linotype" w:hAnsi="Palatino Linotype" w:cstheme="minorHAnsi"/>
          <w:i/>
          <w:iCs/>
          <w:sz w:val="20"/>
          <w:szCs w:val="20"/>
        </w:rPr>
        <w:t xml:space="preserve"> translation tools</w:t>
      </w:r>
      <w:r w:rsidRPr="008022CC">
        <w:rPr>
          <w:rFonts w:ascii="Palatino Linotype" w:hAnsi="Palatino Linotype" w:cstheme="minorHAnsi"/>
          <w:sz w:val="20"/>
          <w:szCs w:val="20"/>
        </w:rPr>
        <w:t xml:space="preserve"> that transform city, county, and regional plans into a common language of building and place types, and a web-based </w:t>
      </w:r>
      <w:r w:rsidRPr="008022CC">
        <w:rPr>
          <w:rFonts w:ascii="Palatino Linotype" w:hAnsi="Palatino Linotype" w:cstheme="minorHAnsi"/>
          <w:i/>
          <w:iCs/>
          <w:sz w:val="20"/>
          <w:szCs w:val="20"/>
        </w:rPr>
        <w:t>scenario painter</w:t>
      </w:r>
      <w:r w:rsidRPr="008022CC">
        <w:rPr>
          <w:rFonts w:ascii="Palatino Linotype" w:hAnsi="Palatino Linotype" w:cstheme="minorHAnsi"/>
          <w:sz w:val="20"/>
          <w:szCs w:val="20"/>
        </w:rPr>
        <w:t xml:space="preserve"> that facilitates scenario creation and editing. Finally, </w:t>
      </w:r>
      <w:proofErr w:type="spellStart"/>
      <w:r w:rsidRPr="008022CC">
        <w:rPr>
          <w:rFonts w:ascii="Palatino Linotype" w:hAnsi="Palatino Linotype" w:cstheme="minorHAnsi"/>
          <w:sz w:val="20"/>
          <w:szCs w:val="20"/>
        </w:rPr>
        <w:t>UrbanFootprint</w:t>
      </w:r>
      <w:proofErr w:type="spellEnd"/>
      <w:r w:rsidRPr="008022CC">
        <w:rPr>
          <w:rFonts w:ascii="Palatino Linotype" w:hAnsi="Palatino Linotype" w:cstheme="minorHAnsi"/>
          <w:sz w:val="20"/>
          <w:szCs w:val="20"/>
        </w:rPr>
        <w:t xml:space="preserve"> includes analytical engines that measure the fiscal, environmental, transportation, public health, and community impacts of future scenarios. </w:t>
      </w:r>
    </w:p>
    <w:p w:rsidR="00F04CC2" w:rsidRPr="00F04CC2" w:rsidRDefault="00F04CC2" w:rsidP="00F04CC2">
      <w:pPr>
        <w:rPr>
          <w:rFonts w:ascii="Palatino Linotype" w:hAnsi="Palatino Linotype" w:cstheme="minorHAnsi"/>
          <w:i/>
          <w:sz w:val="20"/>
          <w:szCs w:val="20"/>
        </w:rPr>
      </w:pPr>
      <w:r w:rsidRPr="008022CC">
        <w:rPr>
          <w:rFonts w:ascii="Palatino Linotype" w:hAnsi="Palatino Linotype" w:cstheme="minorHAnsi"/>
          <w:i/>
          <w:sz w:val="20"/>
          <w:szCs w:val="20"/>
        </w:rPr>
        <w:t>[Diagram]</w:t>
      </w:r>
    </w:p>
    <w:p w:rsidR="006275EF" w:rsidRPr="00B866D9" w:rsidRDefault="006275EF">
      <w:pPr>
        <w:rPr>
          <w:rFonts w:ascii="Palatino Linotype" w:hAnsi="Palatino Linotype" w:cstheme="minorHAnsi"/>
          <w:sz w:val="24"/>
          <w:szCs w:val="24"/>
        </w:rPr>
      </w:pPr>
      <w:r w:rsidRPr="00B866D9">
        <w:rPr>
          <w:rFonts w:ascii="Palatino Linotype" w:hAnsi="Palatino Linotype" w:cstheme="minorHAnsi"/>
          <w:sz w:val="24"/>
          <w:szCs w:val="24"/>
        </w:rPr>
        <w:br w:type="page"/>
      </w:r>
    </w:p>
    <w:p w:rsidR="00DE3163" w:rsidRPr="00DE3163" w:rsidRDefault="00DE3163" w:rsidP="00DE3163">
      <w:r w:rsidRPr="00DE3163">
        <w:rPr>
          <w:rStyle w:val="Heading1Char"/>
        </w:rPr>
        <w:lastRenderedPageBreak/>
        <w:t>Urban Footprint Modeling Components</w:t>
      </w:r>
      <w:r w:rsidR="00F04CC2" w:rsidRPr="00DE3163">
        <w:rPr>
          <w:rStyle w:val="Heading1Char"/>
        </w:rPr>
        <w:t xml:space="preserve"> </w:t>
      </w:r>
      <w:r w:rsidRPr="00DE3163">
        <w:rPr>
          <w:i/>
        </w:rPr>
        <w:t>[Diagram]</w:t>
      </w:r>
    </w:p>
    <w:p w:rsidR="006275EF" w:rsidRPr="00B866D9" w:rsidRDefault="006275EF" w:rsidP="00F04CC2">
      <w:pPr>
        <w:pStyle w:val="HELParagraphHeading"/>
        <w:suppressAutoHyphens/>
        <w:spacing w:after="0"/>
        <w:jc w:val="left"/>
        <w:rPr>
          <w:rFonts w:ascii="Palatino Linotype" w:hAnsi="Palatino Linotype" w:cstheme="minorHAnsi"/>
          <w:sz w:val="24"/>
          <w:szCs w:val="24"/>
        </w:rPr>
      </w:pPr>
      <w:r w:rsidRPr="00B866D9">
        <w:rPr>
          <w:rFonts w:ascii="Palatino Linotype" w:hAnsi="Palatino Linotype" w:cstheme="minorHAnsi"/>
          <w:sz w:val="24"/>
          <w:szCs w:val="24"/>
        </w:rPr>
        <w:t>Base Data Loading</w:t>
      </w:r>
    </w:p>
    <w:p w:rsidR="006275EF" w:rsidRDefault="006275EF" w:rsidP="00F04CC2">
      <w:pPr>
        <w:pStyle w:val="GEORGIABodyText"/>
        <w:jc w:val="left"/>
        <w:rPr>
          <w:rFonts w:ascii="Palatino Linotype" w:hAnsi="Palatino Linotype" w:cstheme="minorHAnsi"/>
          <w:sz w:val="24"/>
          <w:szCs w:val="24"/>
        </w:rPr>
      </w:pPr>
      <w:r w:rsidRPr="00B866D9">
        <w:rPr>
          <w:rFonts w:ascii="Palatino Linotype" w:hAnsi="Palatino Linotype" w:cstheme="minorHAnsi"/>
          <w:sz w:val="24"/>
          <w:szCs w:val="24"/>
        </w:rPr>
        <w:t>A dataset of existing conditions is required by the model’s scenario development tools and analytical engines. The model streamlines the development of this base environment dataset through scripts and processes that draw from diverse sources. Deploying the model in any jurisdiction or region within the United States requires only minor modification; processes are also being developed to facilitate use of the mode</w:t>
      </w:r>
      <w:r w:rsidR="00F04CC2">
        <w:rPr>
          <w:rFonts w:ascii="Palatino Linotype" w:hAnsi="Palatino Linotype" w:cstheme="minorHAnsi"/>
          <w:sz w:val="24"/>
          <w:szCs w:val="24"/>
        </w:rPr>
        <w:t>l outside of the United States.</w:t>
      </w:r>
    </w:p>
    <w:p w:rsidR="00F04CC2" w:rsidRPr="00B866D9" w:rsidRDefault="00F04CC2" w:rsidP="00F04CC2">
      <w:pPr>
        <w:pStyle w:val="GEORGIABodyText"/>
        <w:jc w:val="left"/>
        <w:rPr>
          <w:rFonts w:ascii="Palatino Linotype" w:hAnsi="Palatino Linotype" w:cstheme="minorHAnsi"/>
          <w:sz w:val="24"/>
          <w:szCs w:val="24"/>
        </w:rPr>
      </w:pPr>
    </w:p>
    <w:p w:rsidR="006275EF" w:rsidRPr="00B866D9" w:rsidRDefault="006275EF" w:rsidP="00F04CC2">
      <w:pPr>
        <w:pStyle w:val="GEORGIABodyText"/>
        <w:suppressAutoHyphens/>
        <w:spacing w:before="0" w:after="0"/>
        <w:jc w:val="left"/>
        <w:rPr>
          <w:rFonts w:ascii="Palatino Linotype" w:hAnsi="Palatino Linotype" w:cstheme="minorHAnsi"/>
          <w:spacing w:val="10"/>
          <w:sz w:val="24"/>
          <w:szCs w:val="24"/>
        </w:rPr>
      </w:pPr>
      <w:r w:rsidRPr="00B866D9">
        <w:rPr>
          <w:rFonts w:ascii="Palatino Linotype" w:hAnsi="Palatino Linotype" w:cstheme="minorHAnsi"/>
          <w:spacing w:val="7"/>
          <w:sz w:val="24"/>
          <w:szCs w:val="24"/>
        </w:rPr>
        <w:t xml:space="preserve">Existing Plan </w:t>
      </w:r>
      <w:r w:rsidRPr="00B866D9">
        <w:rPr>
          <w:rFonts w:ascii="Palatino Linotype" w:hAnsi="Palatino Linotype" w:cstheme="minorHAnsi"/>
          <w:spacing w:val="10"/>
          <w:sz w:val="24"/>
          <w:szCs w:val="24"/>
        </w:rPr>
        <w:t>Translation</w:t>
      </w:r>
    </w:p>
    <w:p w:rsidR="006275EF" w:rsidRPr="00B866D9" w:rsidRDefault="006275EF" w:rsidP="00F04CC2">
      <w:pPr>
        <w:pStyle w:val="GEORGIABodyText"/>
        <w:jc w:val="left"/>
        <w:rPr>
          <w:rFonts w:ascii="Palatino Linotype" w:hAnsi="Palatino Linotype" w:cstheme="minorHAnsi"/>
          <w:sz w:val="24"/>
          <w:szCs w:val="24"/>
        </w:rPr>
      </w:pPr>
      <w:r w:rsidRPr="00B866D9">
        <w:rPr>
          <w:rFonts w:ascii="Palatino Linotype" w:hAnsi="Palatino Linotype" w:cstheme="minorHAnsi"/>
          <w:sz w:val="24"/>
          <w:szCs w:val="24"/>
        </w:rPr>
        <w:t xml:space="preserve">The translation engine analyzes existing local and regional plans and integrates them into the model for subsequent analysis or modification. “Translating” plans into the schema of </w:t>
      </w:r>
      <w:proofErr w:type="spellStart"/>
      <w:r w:rsidRPr="00B866D9">
        <w:rPr>
          <w:rFonts w:ascii="Palatino Linotype" w:hAnsi="Palatino Linotype" w:cstheme="minorHAnsi"/>
          <w:sz w:val="24"/>
          <w:szCs w:val="24"/>
        </w:rPr>
        <w:t>UrbanFootprint</w:t>
      </w:r>
      <w:proofErr w:type="spellEnd"/>
      <w:r w:rsidRPr="00B866D9">
        <w:rPr>
          <w:rFonts w:ascii="Palatino Linotype" w:hAnsi="Palatino Linotype" w:cstheme="minorHAnsi"/>
          <w:sz w:val="24"/>
          <w:szCs w:val="24"/>
        </w:rPr>
        <w:t xml:space="preserve"> Place Types facilitates the ongoing compilation or “stitching” of local plans and policies into a common regional or statewide fabric of land use and transportation plans. </w:t>
      </w:r>
    </w:p>
    <w:p w:rsidR="006275EF" w:rsidRPr="00B866D9" w:rsidRDefault="006275EF" w:rsidP="00F04CC2">
      <w:pPr>
        <w:pStyle w:val="HELParagraphHeading"/>
        <w:suppressAutoHyphens/>
        <w:spacing w:after="0"/>
        <w:jc w:val="left"/>
        <w:rPr>
          <w:rFonts w:ascii="Palatino Linotype" w:hAnsi="Palatino Linotype" w:cstheme="minorHAnsi"/>
          <w:i/>
          <w:iCs/>
          <w:color w:val="0078AD"/>
          <w:sz w:val="24"/>
          <w:szCs w:val="24"/>
        </w:rPr>
      </w:pPr>
      <w:r w:rsidRPr="00B866D9">
        <w:rPr>
          <w:rFonts w:ascii="Palatino Linotype" w:hAnsi="Palatino Linotype" w:cstheme="minorHAnsi"/>
          <w:i/>
          <w:iCs/>
          <w:color w:val="0078AD"/>
          <w:sz w:val="24"/>
          <w:szCs w:val="24"/>
        </w:rPr>
        <w:t>Place Type and Building Type Library</w:t>
      </w:r>
    </w:p>
    <w:p w:rsidR="006275EF" w:rsidRPr="00B866D9" w:rsidRDefault="006275EF" w:rsidP="00F04CC2">
      <w:pPr>
        <w:pStyle w:val="HELCaption"/>
        <w:jc w:val="left"/>
        <w:rPr>
          <w:rFonts w:ascii="Palatino Linotype" w:hAnsi="Palatino Linotype" w:cstheme="minorHAnsi"/>
          <w:color w:val="0078AD"/>
          <w:sz w:val="24"/>
          <w:szCs w:val="24"/>
        </w:rPr>
      </w:pPr>
      <w:r w:rsidRPr="00B866D9">
        <w:rPr>
          <w:rFonts w:ascii="Palatino Linotype" w:hAnsi="Palatino Linotype" w:cstheme="minorHAnsi"/>
          <w:color w:val="0078AD"/>
          <w:sz w:val="24"/>
          <w:szCs w:val="24"/>
        </w:rPr>
        <w:t>A complete library of place and building types is used to represent existing land use plans and build new scenarios. These scenario “building blocks” represent the full range of existing and future land development patterns, from mixed-use urban centers, to employment zones, to standard suburban residential areas. The default set of 35+ place types and 90+ building types can be customized for specific model deployments.</w:t>
      </w:r>
    </w:p>
    <w:p w:rsidR="00F04CC2" w:rsidRDefault="00F04CC2" w:rsidP="00F04CC2">
      <w:pPr>
        <w:pStyle w:val="GEORGIABodyText"/>
        <w:suppressAutoHyphens/>
        <w:spacing w:before="0" w:after="0"/>
        <w:jc w:val="left"/>
        <w:rPr>
          <w:rFonts w:ascii="Palatino Linotype" w:hAnsi="Palatino Linotype" w:cstheme="minorHAnsi"/>
          <w:sz w:val="24"/>
          <w:szCs w:val="24"/>
        </w:rPr>
      </w:pPr>
    </w:p>
    <w:p w:rsidR="006275EF" w:rsidRPr="00B866D9" w:rsidRDefault="006275EF" w:rsidP="00F04CC2">
      <w:pPr>
        <w:pStyle w:val="GEORGIABodyText"/>
        <w:suppressAutoHyphens/>
        <w:spacing w:before="0" w:after="0"/>
        <w:jc w:val="left"/>
        <w:rPr>
          <w:rFonts w:ascii="Palatino Linotype" w:hAnsi="Palatino Linotype" w:cstheme="minorHAnsi"/>
          <w:sz w:val="24"/>
          <w:szCs w:val="24"/>
        </w:rPr>
      </w:pPr>
      <w:r w:rsidRPr="00B866D9">
        <w:rPr>
          <w:rFonts w:ascii="Palatino Linotype" w:hAnsi="Palatino Linotype" w:cstheme="minorHAnsi"/>
          <w:sz w:val="24"/>
          <w:szCs w:val="24"/>
        </w:rPr>
        <w:t>Scenario Painting / Editing</w:t>
      </w:r>
    </w:p>
    <w:p w:rsidR="006275EF" w:rsidRPr="00B866D9" w:rsidRDefault="006275EF" w:rsidP="00F04CC2">
      <w:pPr>
        <w:pStyle w:val="GEORGIABodyText"/>
        <w:jc w:val="left"/>
        <w:rPr>
          <w:rFonts w:ascii="Palatino Linotype" w:hAnsi="Palatino Linotype" w:cstheme="minorHAnsi"/>
          <w:sz w:val="24"/>
          <w:szCs w:val="24"/>
        </w:rPr>
      </w:pPr>
      <w:r w:rsidRPr="00B866D9">
        <w:rPr>
          <w:rFonts w:ascii="Palatino Linotype" w:hAnsi="Palatino Linotype" w:cstheme="minorHAnsi"/>
          <w:sz w:val="24"/>
          <w:szCs w:val="24"/>
        </w:rPr>
        <w:t xml:space="preserve">The </w:t>
      </w:r>
      <w:proofErr w:type="spellStart"/>
      <w:r w:rsidRPr="00B866D9">
        <w:rPr>
          <w:rFonts w:ascii="Palatino Linotype" w:hAnsi="Palatino Linotype" w:cstheme="minorHAnsi"/>
          <w:sz w:val="24"/>
          <w:szCs w:val="24"/>
        </w:rPr>
        <w:t>UrbanFootprint</w:t>
      </w:r>
      <w:proofErr w:type="spellEnd"/>
      <w:r w:rsidRPr="00B866D9">
        <w:rPr>
          <w:rFonts w:ascii="Palatino Linotype" w:hAnsi="Palatino Linotype" w:cstheme="minorHAnsi"/>
          <w:sz w:val="24"/>
          <w:szCs w:val="24"/>
        </w:rPr>
        <w:t xml:space="preserve"> web-based painting tool facilitates scenario creation or editing. The current version of the model uses the 5.5-acre grid cell as the unit of painting and analysis; the model will be built to deploy at the parcel level as well the grid in the near future. </w:t>
      </w:r>
    </w:p>
    <w:p w:rsidR="00325912" w:rsidRPr="00B866D9" w:rsidRDefault="00325912" w:rsidP="00F04CC2">
      <w:pPr>
        <w:rPr>
          <w:rFonts w:ascii="Palatino Linotype" w:hAnsi="Palatino Linotype" w:cstheme="minorHAnsi"/>
          <w:color w:val="000000"/>
          <w:sz w:val="24"/>
          <w:szCs w:val="24"/>
        </w:rPr>
      </w:pPr>
      <w:r w:rsidRPr="00B866D9">
        <w:rPr>
          <w:rFonts w:ascii="Palatino Linotype" w:hAnsi="Palatino Linotype" w:cstheme="minorHAnsi"/>
          <w:sz w:val="24"/>
          <w:szCs w:val="24"/>
        </w:rPr>
        <w:br w:type="page"/>
      </w:r>
    </w:p>
    <w:p w:rsidR="00325912" w:rsidRPr="00B866D9" w:rsidRDefault="00325912" w:rsidP="00325912">
      <w:pPr>
        <w:pStyle w:val="HELParagraphHeading"/>
        <w:spacing w:after="212"/>
        <w:jc w:val="center"/>
        <w:rPr>
          <w:rFonts w:ascii="Palatino Linotype" w:hAnsi="Palatino Linotype" w:cstheme="minorHAnsi"/>
          <w:sz w:val="24"/>
          <w:szCs w:val="24"/>
        </w:rPr>
        <w:sectPr w:rsidR="00325912" w:rsidRPr="00B866D9">
          <w:headerReference w:type="default" r:id="rId8"/>
          <w:pgSz w:w="12240" w:h="15840"/>
          <w:pgMar w:top="1440" w:right="1440" w:bottom="1440" w:left="1440" w:header="720" w:footer="720" w:gutter="0"/>
          <w:cols w:space="720"/>
          <w:docGrid w:linePitch="360"/>
        </w:sectPr>
      </w:pPr>
    </w:p>
    <w:p w:rsidR="006275EF" w:rsidRPr="00F04CC2" w:rsidRDefault="006275EF" w:rsidP="00325912">
      <w:pPr>
        <w:pStyle w:val="HELParagraphHeading"/>
        <w:spacing w:after="212"/>
        <w:jc w:val="center"/>
        <w:rPr>
          <w:rFonts w:ascii="Palatino Linotype" w:hAnsi="Palatino Linotype" w:cstheme="minorHAnsi"/>
          <w:sz w:val="20"/>
          <w:szCs w:val="20"/>
        </w:rPr>
      </w:pPr>
      <w:r w:rsidRPr="00F04CC2">
        <w:rPr>
          <w:rFonts w:ascii="Palatino Linotype" w:hAnsi="Palatino Linotype" w:cstheme="minorHAnsi"/>
          <w:sz w:val="20"/>
          <w:szCs w:val="20"/>
        </w:rPr>
        <w:lastRenderedPageBreak/>
        <w:t xml:space="preserve">Scenarios </w:t>
      </w:r>
      <w:r w:rsidR="00F04CC2" w:rsidRPr="00F04CC2">
        <w:rPr>
          <w:rFonts w:ascii="Palatino Linotype" w:hAnsi="Palatino Linotype" w:cstheme="minorHAnsi"/>
          <w:w w:val="40"/>
          <w:position w:val="-7"/>
          <w:sz w:val="20"/>
          <w:szCs w:val="20"/>
        </w:rPr>
        <w:t>&gt;</w:t>
      </w:r>
      <w:r w:rsidRPr="00F04CC2">
        <w:rPr>
          <w:rFonts w:ascii="Palatino Linotype" w:hAnsi="Palatino Linotype" w:cstheme="minorHAnsi"/>
          <w:w w:val="40"/>
          <w:position w:val="-7"/>
          <w:sz w:val="20"/>
          <w:szCs w:val="20"/>
        </w:rPr>
        <w:t xml:space="preserve"> </w:t>
      </w:r>
      <w:r w:rsidRPr="00F04CC2">
        <w:rPr>
          <w:rFonts w:ascii="Palatino Linotype" w:hAnsi="Palatino Linotype" w:cstheme="minorHAnsi"/>
          <w:sz w:val="20"/>
          <w:szCs w:val="20"/>
        </w:rPr>
        <w:t>Analysis</w:t>
      </w:r>
    </w:p>
    <w:p w:rsidR="006275EF" w:rsidRPr="00F04CC2" w:rsidRDefault="006275EF" w:rsidP="006275EF">
      <w:pPr>
        <w:pStyle w:val="GEORGIABodyText"/>
        <w:rPr>
          <w:rFonts w:ascii="Palatino Linotype" w:hAnsi="Palatino Linotype" w:cstheme="minorHAnsi"/>
          <w:sz w:val="20"/>
          <w:szCs w:val="20"/>
        </w:rPr>
      </w:pPr>
      <w:r w:rsidRPr="00F04CC2">
        <w:rPr>
          <w:rFonts w:ascii="Palatino Linotype" w:hAnsi="Palatino Linotype" w:cstheme="minorHAnsi"/>
          <w:sz w:val="20"/>
          <w:szCs w:val="20"/>
        </w:rPr>
        <w:t>Analytical engines estimate travel impacts; greenhouse gas (GHG) and air pollutant emissions; building energy and water use; fiscal impacts (capital and operations and maintenance costs for local infrastructure); public health impacts; and land consumption.</w:t>
      </w:r>
    </w:p>
    <w:p w:rsidR="00325912" w:rsidRPr="00F04CC2" w:rsidRDefault="00325912" w:rsidP="00325912">
      <w:pPr>
        <w:pStyle w:val="HELhighlightedtext"/>
        <w:suppressAutoHyphens/>
        <w:jc w:val="left"/>
        <w:rPr>
          <w:rFonts w:ascii="Palatino Linotype" w:hAnsi="Palatino Linotype" w:cstheme="minorHAnsi"/>
          <w:b w:val="0"/>
          <w:bCs w:val="0"/>
          <w:i w:val="0"/>
          <w:iCs w:val="0"/>
          <w:sz w:val="20"/>
          <w:szCs w:val="20"/>
        </w:rPr>
      </w:pPr>
      <w:r w:rsidRPr="00F04CC2">
        <w:rPr>
          <w:rFonts w:ascii="Palatino Linotype" w:hAnsi="Palatino Linotype" w:cstheme="minorHAnsi"/>
          <w:b w:val="0"/>
          <w:bCs w:val="0"/>
          <w:i w:val="0"/>
          <w:iCs w:val="0"/>
          <w:sz w:val="20"/>
          <w:szCs w:val="20"/>
        </w:rPr>
        <w:t>Land Consumption</w:t>
      </w:r>
    </w:p>
    <w:p w:rsidR="00325912" w:rsidRPr="00F04CC2" w:rsidRDefault="00325912" w:rsidP="00325912">
      <w:pPr>
        <w:pStyle w:val="HELCaption"/>
        <w:suppressAutoHyphens/>
        <w:jc w:val="left"/>
        <w:rPr>
          <w:rFonts w:ascii="Palatino Linotype" w:hAnsi="Palatino Linotype" w:cstheme="minorHAnsi"/>
          <w:sz w:val="20"/>
          <w:szCs w:val="20"/>
        </w:rPr>
      </w:pPr>
      <w:r w:rsidRPr="00F04CC2">
        <w:rPr>
          <w:rFonts w:ascii="Palatino Linotype" w:hAnsi="Palatino Linotype" w:cstheme="minorHAnsi"/>
          <w:sz w:val="20"/>
          <w:szCs w:val="20"/>
        </w:rPr>
        <w:t>New Land Consumed</w:t>
      </w:r>
    </w:p>
    <w:p w:rsidR="00325912" w:rsidRPr="00F04CC2" w:rsidRDefault="00325912" w:rsidP="00325912">
      <w:pPr>
        <w:pStyle w:val="HELCaption"/>
        <w:suppressAutoHyphens/>
        <w:jc w:val="left"/>
        <w:rPr>
          <w:rFonts w:ascii="Palatino Linotype" w:hAnsi="Palatino Linotype" w:cstheme="minorHAnsi"/>
          <w:sz w:val="20"/>
          <w:szCs w:val="20"/>
        </w:rPr>
      </w:pPr>
      <w:r w:rsidRPr="00F04CC2">
        <w:rPr>
          <w:rFonts w:ascii="Palatino Linotype" w:hAnsi="Palatino Linotype" w:cstheme="minorHAnsi"/>
          <w:sz w:val="20"/>
          <w:szCs w:val="20"/>
        </w:rPr>
        <w:t>Agricultural, Sensitive Lands Consumed</w:t>
      </w:r>
    </w:p>
    <w:p w:rsidR="00325912" w:rsidRPr="00F04CC2" w:rsidRDefault="00325912" w:rsidP="00325912">
      <w:pPr>
        <w:pStyle w:val="HELhighlightedtext"/>
        <w:suppressAutoHyphens/>
        <w:jc w:val="left"/>
        <w:rPr>
          <w:rFonts w:ascii="Palatino Linotype" w:hAnsi="Palatino Linotype" w:cstheme="minorHAnsi"/>
          <w:b w:val="0"/>
          <w:bCs w:val="0"/>
          <w:i w:val="0"/>
          <w:iCs w:val="0"/>
          <w:sz w:val="20"/>
          <w:szCs w:val="20"/>
        </w:rPr>
      </w:pPr>
      <w:r w:rsidRPr="00F04CC2">
        <w:rPr>
          <w:rFonts w:ascii="Palatino Linotype" w:hAnsi="Palatino Linotype" w:cstheme="minorHAnsi"/>
          <w:b w:val="0"/>
          <w:bCs w:val="0"/>
          <w:i w:val="0"/>
          <w:iCs w:val="0"/>
          <w:sz w:val="20"/>
          <w:szCs w:val="20"/>
        </w:rPr>
        <w:t>Local Fiscal Impacts</w:t>
      </w:r>
    </w:p>
    <w:p w:rsidR="00325912" w:rsidRPr="00F04CC2" w:rsidRDefault="00325912" w:rsidP="00325912">
      <w:pPr>
        <w:pStyle w:val="HELCaption"/>
        <w:jc w:val="left"/>
        <w:rPr>
          <w:rFonts w:ascii="Palatino Linotype" w:hAnsi="Palatino Linotype" w:cstheme="minorHAnsi"/>
          <w:sz w:val="20"/>
          <w:szCs w:val="20"/>
        </w:rPr>
      </w:pPr>
      <w:r w:rsidRPr="00F04CC2">
        <w:rPr>
          <w:rFonts w:ascii="Palatino Linotype" w:hAnsi="Palatino Linotype" w:cstheme="minorHAnsi"/>
          <w:sz w:val="20"/>
          <w:szCs w:val="20"/>
        </w:rPr>
        <w:t>Capital Costs for Local Infrastructure</w:t>
      </w:r>
    </w:p>
    <w:p w:rsidR="00325912" w:rsidRPr="00F04CC2" w:rsidRDefault="00325912" w:rsidP="00325912">
      <w:pPr>
        <w:pStyle w:val="HELCaption"/>
        <w:jc w:val="left"/>
        <w:rPr>
          <w:rFonts w:ascii="Palatino Linotype" w:hAnsi="Palatino Linotype" w:cstheme="minorHAnsi"/>
          <w:sz w:val="20"/>
          <w:szCs w:val="20"/>
        </w:rPr>
      </w:pPr>
      <w:r w:rsidRPr="00F04CC2">
        <w:rPr>
          <w:rFonts w:ascii="Palatino Linotype" w:hAnsi="Palatino Linotype" w:cstheme="minorHAnsi"/>
          <w:sz w:val="20"/>
          <w:szCs w:val="20"/>
        </w:rPr>
        <w:t xml:space="preserve">Operations and Maintenance Costs </w:t>
      </w:r>
    </w:p>
    <w:p w:rsidR="00325912" w:rsidRPr="00F04CC2" w:rsidRDefault="00325912" w:rsidP="00325912">
      <w:pPr>
        <w:pStyle w:val="HELCaption"/>
        <w:jc w:val="left"/>
        <w:rPr>
          <w:rFonts w:ascii="Palatino Linotype" w:hAnsi="Palatino Linotype" w:cstheme="minorHAnsi"/>
          <w:sz w:val="20"/>
          <w:szCs w:val="20"/>
        </w:rPr>
      </w:pPr>
      <w:r w:rsidRPr="00F04CC2">
        <w:rPr>
          <w:rFonts w:ascii="Palatino Linotype" w:hAnsi="Palatino Linotype" w:cstheme="minorHAnsi"/>
          <w:sz w:val="20"/>
          <w:szCs w:val="20"/>
        </w:rPr>
        <w:t>Local Tax and Fee Revenues</w:t>
      </w:r>
    </w:p>
    <w:p w:rsidR="00325912" w:rsidRPr="00F04CC2" w:rsidRDefault="00325912" w:rsidP="00325912">
      <w:pPr>
        <w:pStyle w:val="HELhighlightedtext"/>
        <w:suppressAutoHyphens/>
        <w:jc w:val="left"/>
        <w:rPr>
          <w:rFonts w:ascii="Palatino Linotype" w:hAnsi="Palatino Linotype" w:cstheme="minorHAnsi"/>
          <w:b w:val="0"/>
          <w:bCs w:val="0"/>
          <w:i w:val="0"/>
          <w:iCs w:val="0"/>
          <w:sz w:val="20"/>
          <w:szCs w:val="20"/>
        </w:rPr>
      </w:pPr>
      <w:r w:rsidRPr="00F04CC2">
        <w:rPr>
          <w:rFonts w:ascii="Palatino Linotype" w:hAnsi="Palatino Linotype" w:cstheme="minorHAnsi"/>
          <w:b w:val="0"/>
          <w:bCs w:val="0"/>
          <w:i w:val="0"/>
          <w:iCs w:val="0"/>
          <w:sz w:val="20"/>
          <w:szCs w:val="20"/>
        </w:rPr>
        <w:t>Transportation</w:t>
      </w:r>
    </w:p>
    <w:p w:rsidR="00325912" w:rsidRPr="00F04CC2" w:rsidRDefault="00325912" w:rsidP="00325912">
      <w:pPr>
        <w:pStyle w:val="HELCaption"/>
        <w:suppressAutoHyphens/>
        <w:jc w:val="left"/>
        <w:rPr>
          <w:rFonts w:ascii="Palatino Linotype" w:hAnsi="Palatino Linotype" w:cstheme="minorHAnsi"/>
          <w:sz w:val="20"/>
          <w:szCs w:val="20"/>
        </w:rPr>
      </w:pPr>
      <w:r w:rsidRPr="00F04CC2">
        <w:rPr>
          <w:rFonts w:ascii="Palatino Linotype" w:hAnsi="Palatino Linotype" w:cstheme="minorHAnsi"/>
          <w:sz w:val="20"/>
          <w:szCs w:val="20"/>
        </w:rPr>
        <w:t>Vehicle Miles Traveled (VMT)</w:t>
      </w:r>
    </w:p>
    <w:p w:rsidR="00325912" w:rsidRPr="00F04CC2" w:rsidRDefault="00325912" w:rsidP="00325912">
      <w:pPr>
        <w:pStyle w:val="HELCaption"/>
        <w:suppressAutoHyphens/>
        <w:jc w:val="left"/>
        <w:rPr>
          <w:rFonts w:ascii="Palatino Linotype" w:hAnsi="Palatino Linotype" w:cstheme="minorHAnsi"/>
          <w:sz w:val="20"/>
          <w:szCs w:val="20"/>
        </w:rPr>
      </w:pPr>
      <w:r w:rsidRPr="00F04CC2">
        <w:rPr>
          <w:rFonts w:ascii="Palatino Linotype" w:hAnsi="Palatino Linotype" w:cstheme="minorHAnsi"/>
          <w:sz w:val="20"/>
          <w:szCs w:val="20"/>
        </w:rPr>
        <w:t>Travel Mode (walk/bike/auto/transit)</w:t>
      </w:r>
    </w:p>
    <w:p w:rsidR="00325912" w:rsidRPr="00F04CC2" w:rsidRDefault="00325912" w:rsidP="00325912">
      <w:pPr>
        <w:pStyle w:val="HELCaption"/>
        <w:suppressAutoHyphens/>
        <w:jc w:val="left"/>
        <w:rPr>
          <w:rFonts w:ascii="Palatino Linotype" w:hAnsi="Palatino Linotype" w:cstheme="minorHAnsi"/>
          <w:sz w:val="20"/>
          <w:szCs w:val="20"/>
        </w:rPr>
      </w:pPr>
      <w:r w:rsidRPr="00F04CC2">
        <w:rPr>
          <w:rFonts w:ascii="Palatino Linotype" w:hAnsi="Palatino Linotype" w:cstheme="minorHAnsi"/>
          <w:sz w:val="20"/>
          <w:szCs w:val="20"/>
        </w:rPr>
        <w:t>Congestion</w:t>
      </w:r>
    </w:p>
    <w:p w:rsidR="00325912" w:rsidRPr="00F04CC2" w:rsidRDefault="00325912" w:rsidP="00325912">
      <w:pPr>
        <w:pStyle w:val="HELCaption"/>
        <w:suppressAutoHyphens/>
        <w:jc w:val="left"/>
        <w:rPr>
          <w:rFonts w:ascii="Palatino Linotype" w:hAnsi="Palatino Linotype" w:cstheme="minorHAnsi"/>
          <w:sz w:val="20"/>
          <w:szCs w:val="20"/>
        </w:rPr>
      </w:pPr>
      <w:r w:rsidRPr="00F04CC2">
        <w:rPr>
          <w:rFonts w:ascii="Palatino Linotype" w:hAnsi="Palatino Linotype" w:cstheme="minorHAnsi"/>
          <w:sz w:val="20"/>
          <w:szCs w:val="20"/>
        </w:rPr>
        <w:t xml:space="preserve">Greenhouse Gas and Criteria Pollutant Emissions </w:t>
      </w:r>
    </w:p>
    <w:p w:rsidR="00325912" w:rsidRPr="00F04CC2" w:rsidRDefault="00325912" w:rsidP="00325912">
      <w:pPr>
        <w:pStyle w:val="HELhighlightedtext"/>
        <w:suppressAutoHyphens/>
        <w:jc w:val="left"/>
        <w:rPr>
          <w:rFonts w:ascii="Palatino Linotype" w:hAnsi="Palatino Linotype" w:cstheme="minorHAnsi"/>
          <w:b w:val="0"/>
          <w:bCs w:val="0"/>
          <w:i w:val="0"/>
          <w:iCs w:val="0"/>
          <w:sz w:val="20"/>
          <w:szCs w:val="20"/>
        </w:rPr>
      </w:pPr>
      <w:r w:rsidRPr="00F04CC2">
        <w:rPr>
          <w:rFonts w:ascii="Palatino Linotype" w:hAnsi="Palatino Linotype" w:cstheme="minorHAnsi"/>
          <w:b w:val="0"/>
          <w:bCs w:val="0"/>
          <w:i w:val="0"/>
          <w:iCs w:val="0"/>
          <w:sz w:val="20"/>
          <w:szCs w:val="20"/>
        </w:rPr>
        <w:t>Building Energy Use</w:t>
      </w:r>
    </w:p>
    <w:p w:rsidR="00325912" w:rsidRPr="00F04CC2" w:rsidRDefault="00325912" w:rsidP="00325912">
      <w:pPr>
        <w:pStyle w:val="HELCaption"/>
        <w:rPr>
          <w:rFonts w:ascii="Palatino Linotype" w:hAnsi="Palatino Linotype" w:cstheme="minorHAnsi"/>
          <w:sz w:val="20"/>
          <w:szCs w:val="20"/>
        </w:rPr>
      </w:pPr>
      <w:r w:rsidRPr="00F04CC2">
        <w:rPr>
          <w:rFonts w:ascii="Palatino Linotype" w:hAnsi="Palatino Linotype" w:cstheme="minorHAnsi"/>
          <w:sz w:val="20"/>
          <w:szCs w:val="20"/>
        </w:rPr>
        <w:t xml:space="preserve">Residential Energy Use </w:t>
      </w:r>
    </w:p>
    <w:p w:rsidR="00325912" w:rsidRPr="00F04CC2" w:rsidRDefault="00325912" w:rsidP="00325912">
      <w:pPr>
        <w:pStyle w:val="HELCaption"/>
        <w:rPr>
          <w:rFonts w:ascii="Palatino Linotype" w:hAnsi="Palatino Linotype" w:cstheme="minorHAnsi"/>
          <w:sz w:val="20"/>
          <w:szCs w:val="20"/>
        </w:rPr>
      </w:pPr>
      <w:r w:rsidRPr="00F04CC2">
        <w:rPr>
          <w:rFonts w:ascii="Palatino Linotype" w:hAnsi="Palatino Linotype" w:cstheme="minorHAnsi"/>
          <w:sz w:val="20"/>
          <w:szCs w:val="20"/>
        </w:rPr>
        <w:t xml:space="preserve">Commercial Energy Use </w:t>
      </w:r>
    </w:p>
    <w:p w:rsidR="00325912" w:rsidRPr="00F04CC2" w:rsidRDefault="00325912" w:rsidP="00325912">
      <w:pPr>
        <w:pStyle w:val="HELCaption"/>
        <w:rPr>
          <w:rFonts w:ascii="Palatino Linotype" w:hAnsi="Palatino Linotype" w:cstheme="minorHAnsi"/>
          <w:sz w:val="20"/>
          <w:szCs w:val="20"/>
        </w:rPr>
      </w:pPr>
      <w:r w:rsidRPr="00F04CC2">
        <w:rPr>
          <w:rFonts w:ascii="Palatino Linotype" w:hAnsi="Palatino Linotype" w:cstheme="minorHAnsi"/>
          <w:sz w:val="20"/>
          <w:szCs w:val="20"/>
        </w:rPr>
        <w:t>Building-related CO</w:t>
      </w:r>
      <w:r w:rsidRPr="00F04CC2">
        <w:rPr>
          <w:rFonts w:ascii="Palatino Linotype" w:hAnsi="Palatino Linotype" w:cstheme="minorHAnsi"/>
          <w:sz w:val="20"/>
          <w:szCs w:val="20"/>
          <w:vertAlign w:val="subscript"/>
        </w:rPr>
        <w:t>2</w:t>
      </w:r>
      <w:r w:rsidRPr="00F04CC2">
        <w:rPr>
          <w:rFonts w:ascii="Palatino Linotype" w:hAnsi="Palatino Linotype" w:cstheme="minorHAnsi"/>
          <w:sz w:val="20"/>
          <w:szCs w:val="20"/>
        </w:rPr>
        <w:t>e Emissions</w:t>
      </w:r>
    </w:p>
    <w:p w:rsidR="00325912" w:rsidRPr="00F04CC2" w:rsidRDefault="00325912" w:rsidP="00325912">
      <w:pPr>
        <w:pStyle w:val="HELhighlightedtext"/>
        <w:suppressAutoHyphens/>
        <w:jc w:val="left"/>
        <w:rPr>
          <w:rFonts w:ascii="Palatino Linotype" w:hAnsi="Palatino Linotype" w:cstheme="minorHAnsi"/>
          <w:b w:val="0"/>
          <w:bCs w:val="0"/>
          <w:i w:val="0"/>
          <w:iCs w:val="0"/>
          <w:sz w:val="20"/>
          <w:szCs w:val="20"/>
        </w:rPr>
      </w:pPr>
      <w:r w:rsidRPr="00F04CC2">
        <w:rPr>
          <w:rFonts w:ascii="Palatino Linotype" w:hAnsi="Palatino Linotype" w:cstheme="minorHAnsi"/>
          <w:b w:val="0"/>
          <w:bCs w:val="0"/>
          <w:i w:val="0"/>
          <w:iCs w:val="0"/>
          <w:sz w:val="20"/>
          <w:szCs w:val="20"/>
        </w:rPr>
        <w:t>Building Water Use</w:t>
      </w:r>
    </w:p>
    <w:p w:rsidR="00325912" w:rsidRPr="00F04CC2" w:rsidRDefault="00325912" w:rsidP="00325912">
      <w:pPr>
        <w:pStyle w:val="HELCaption"/>
        <w:rPr>
          <w:rFonts w:ascii="Palatino Linotype" w:hAnsi="Palatino Linotype" w:cstheme="minorHAnsi"/>
          <w:sz w:val="20"/>
          <w:szCs w:val="20"/>
        </w:rPr>
      </w:pPr>
      <w:r w:rsidRPr="00F04CC2">
        <w:rPr>
          <w:rFonts w:ascii="Palatino Linotype" w:hAnsi="Palatino Linotype" w:cstheme="minorHAnsi"/>
          <w:sz w:val="20"/>
          <w:szCs w:val="20"/>
        </w:rPr>
        <w:t xml:space="preserve">Indoor and Outdoor Water Use </w:t>
      </w:r>
    </w:p>
    <w:p w:rsidR="00325912" w:rsidRPr="00F04CC2" w:rsidRDefault="00325912" w:rsidP="00325912">
      <w:pPr>
        <w:pStyle w:val="HELCaption"/>
        <w:rPr>
          <w:rFonts w:ascii="Palatino Linotype" w:hAnsi="Palatino Linotype" w:cstheme="minorHAnsi"/>
          <w:sz w:val="20"/>
          <w:szCs w:val="20"/>
        </w:rPr>
      </w:pPr>
      <w:r w:rsidRPr="00F04CC2">
        <w:rPr>
          <w:rFonts w:ascii="Palatino Linotype" w:hAnsi="Palatino Linotype" w:cstheme="minorHAnsi"/>
          <w:sz w:val="20"/>
          <w:szCs w:val="20"/>
        </w:rPr>
        <w:t xml:space="preserve">Water-Related Electricity Use </w:t>
      </w:r>
    </w:p>
    <w:p w:rsidR="006275EF" w:rsidRPr="00F04CC2" w:rsidRDefault="00325912" w:rsidP="00325912">
      <w:pPr>
        <w:pStyle w:val="HELParagraphHeading"/>
        <w:suppressAutoHyphens/>
        <w:spacing w:after="0"/>
        <w:jc w:val="left"/>
        <w:rPr>
          <w:rFonts w:ascii="Palatino Linotype" w:hAnsi="Palatino Linotype" w:cstheme="minorHAnsi"/>
          <w:sz w:val="20"/>
          <w:szCs w:val="20"/>
        </w:rPr>
      </w:pPr>
      <w:r w:rsidRPr="00F04CC2">
        <w:rPr>
          <w:rFonts w:ascii="Palatino Linotype" w:hAnsi="Palatino Linotype" w:cstheme="minorHAnsi"/>
          <w:sz w:val="20"/>
          <w:szCs w:val="20"/>
        </w:rPr>
        <w:t>Water-Related Electricity CO</w:t>
      </w:r>
      <w:r w:rsidRPr="00F04CC2">
        <w:rPr>
          <w:rFonts w:ascii="Palatino Linotype" w:hAnsi="Palatino Linotype" w:cstheme="minorHAnsi"/>
          <w:sz w:val="20"/>
          <w:szCs w:val="20"/>
          <w:vertAlign w:val="subscript"/>
        </w:rPr>
        <w:t>2</w:t>
      </w:r>
      <w:r w:rsidRPr="00F04CC2">
        <w:rPr>
          <w:rFonts w:ascii="Palatino Linotype" w:hAnsi="Palatino Linotype" w:cstheme="minorHAnsi"/>
          <w:sz w:val="20"/>
          <w:szCs w:val="20"/>
        </w:rPr>
        <w:t>e Emissions</w:t>
      </w:r>
    </w:p>
    <w:p w:rsidR="00325912" w:rsidRPr="00F04CC2" w:rsidRDefault="00325912" w:rsidP="00325912">
      <w:pPr>
        <w:pStyle w:val="HELhighlightedtext"/>
        <w:suppressAutoHyphens/>
        <w:jc w:val="left"/>
        <w:rPr>
          <w:rFonts w:ascii="Palatino Linotype" w:hAnsi="Palatino Linotype" w:cstheme="minorHAnsi"/>
          <w:b w:val="0"/>
          <w:bCs w:val="0"/>
          <w:i w:val="0"/>
          <w:iCs w:val="0"/>
          <w:sz w:val="20"/>
          <w:szCs w:val="20"/>
        </w:rPr>
      </w:pPr>
      <w:r w:rsidRPr="00F04CC2">
        <w:rPr>
          <w:rFonts w:ascii="Palatino Linotype" w:hAnsi="Palatino Linotype" w:cstheme="minorHAnsi"/>
          <w:b w:val="0"/>
          <w:bCs w:val="0"/>
          <w:i w:val="0"/>
          <w:iCs w:val="0"/>
          <w:sz w:val="20"/>
          <w:szCs w:val="20"/>
        </w:rPr>
        <w:t>Greenhouse Gas Emissions</w:t>
      </w:r>
    </w:p>
    <w:p w:rsidR="00325912" w:rsidRPr="00F04CC2" w:rsidRDefault="00325912" w:rsidP="00325912">
      <w:pPr>
        <w:pStyle w:val="HELCaption"/>
        <w:rPr>
          <w:rFonts w:ascii="Palatino Linotype" w:hAnsi="Palatino Linotype" w:cstheme="minorHAnsi"/>
          <w:sz w:val="20"/>
          <w:szCs w:val="20"/>
        </w:rPr>
      </w:pPr>
      <w:r w:rsidRPr="00F04CC2">
        <w:rPr>
          <w:rFonts w:ascii="Palatino Linotype" w:hAnsi="Palatino Linotype" w:cstheme="minorHAnsi"/>
          <w:sz w:val="20"/>
          <w:szCs w:val="20"/>
        </w:rPr>
        <w:t>Transportation (Liquid Fuel and Electricity) Emissions</w:t>
      </w:r>
    </w:p>
    <w:p w:rsidR="00325912" w:rsidRPr="00F04CC2" w:rsidRDefault="00325912" w:rsidP="00325912">
      <w:pPr>
        <w:pStyle w:val="HELCaption"/>
        <w:rPr>
          <w:rFonts w:ascii="Palatino Linotype" w:hAnsi="Palatino Linotype" w:cstheme="minorHAnsi"/>
          <w:sz w:val="20"/>
          <w:szCs w:val="20"/>
        </w:rPr>
      </w:pPr>
      <w:r w:rsidRPr="00F04CC2">
        <w:rPr>
          <w:rFonts w:ascii="Palatino Linotype" w:hAnsi="Palatino Linotype" w:cstheme="minorHAnsi"/>
          <w:sz w:val="20"/>
          <w:szCs w:val="20"/>
        </w:rPr>
        <w:t xml:space="preserve">Building Energy Emissions  </w:t>
      </w:r>
    </w:p>
    <w:p w:rsidR="00325912" w:rsidRPr="00F04CC2" w:rsidRDefault="00325912" w:rsidP="00325912">
      <w:pPr>
        <w:pStyle w:val="HELhighlightedtext"/>
        <w:suppressAutoHyphens/>
        <w:jc w:val="left"/>
        <w:rPr>
          <w:rFonts w:ascii="Palatino Linotype" w:hAnsi="Palatino Linotype" w:cstheme="minorHAnsi"/>
          <w:b w:val="0"/>
          <w:bCs w:val="0"/>
          <w:i w:val="0"/>
          <w:iCs w:val="0"/>
          <w:sz w:val="20"/>
          <w:szCs w:val="20"/>
        </w:rPr>
      </w:pPr>
      <w:r w:rsidRPr="00F04CC2">
        <w:rPr>
          <w:rFonts w:ascii="Palatino Linotype" w:hAnsi="Palatino Linotype" w:cstheme="minorHAnsi"/>
          <w:b w:val="0"/>
          <w:bCs w:val="0"/>
          <w:i w:val="0"/>
          <w:iCs w:val="0"/>
          <w:sz w:val="20"/>
          <w:szCs w:val="20"/>
        </w:rPr>
        <w:t>Public Health</w:t>
      </w:r>
    </w:p>
    <w:p w:rsidR="00325912" w:rsidRPr="00F04CC2" w:rsidRDefault="00325912" w:rsidP="00325912">
      <w:pPr>
        <w:pStyle w:val="HELCaption"/>
        <w:jc w:val="left"/>
        <w:rPr>
          <w:rFonts w:ascii="Palatino Linotype" w:hAnsi="Palatino Linotype" w:cstheme="minorHAnsi"/>
          <w:sz w:val="20"/>
          <w:szCs w:val="20"/>
        </w:rPr>
      </w:pPr>
      <w:r w:rsidRPr="00F04CC2">
        <w:rPr>
          <w:rFonts w:ascii="Palatino Linotype" w:hAnsi="Palatino Linotype" w:cstheme="minorHAnsi"/>
          <w:sz w:val="20"/>
          <w:szCs w:val="20"/>
        </w:rPr>
        <w:lastRenderedPageBreak/>
        <w:t>Physical Activity/Weight Related Disease Incidence and Costs</w:t>
      </w:r>
    </w:p>
    <w:p w:rsidR="00325912" w:rsidRPr="00F04CC2" w:rsidRDefault="00325912" w:rsidP="00325912">
      <w:pPr>
        <w:pStyle w:val="HELCaption"/>
        <w:jc w:val="left"/>
        <w:rPr>
          <w:rFonts w:ascii="Palatino Linotype" w:hAnsi="Palatino Linotype" w:cstheme="minorHAnsi"/>
          <w:sz w:val="20"/>
          <w:szCs w:val="20"/>
        </w:rPr>
      </w:pPr>
      <w:r w:rsidRPr="00F04CC2">
        <w:rPr>
          <w:rFonts w:ascii="Palatino Linotype" w:hAnsi="Palatino Linotype" w:cstheme="minorHAnsi"/>
          <w:sz w:val="20"/>
          <w:szCs w:val="20"/>
        </w:rPr>
        <w:t xml:space="preserve">Respiratory/Pollution-Related Disease Incidence and Costs </w:t>
      </w:r>
    </w:p>
    <w:p w:rsidR="00325912" w:rsidRPr="00F04CC2" w:rsidRDefault="00325912" w:rsidP="00325912">
      <w:pPr>
        <w:pStyle w:val="HELCaption"/>
        <w:jc w:val="left"/>
        <w:rPr>
          <w:rFonts w:ascii="Palatino Linotype" w:hAnsi="Palatino Linotype" w:cstheme="minorHAnsi"/>
          <w:sz w:val="20"/>
          <w:szCs w:val="20"/>
        </w:rPr>
      </w:pPr>
      <w:r w:rsidRPr="00F04CC2">
        <w:rPr>
          <w:rFonts w:ascii="Palatino Linotype" w:hAnsi="Palatino Linotype" w:cstheme="minorHAnsi"/>
          <w:sz w:val="20"/>
          <w:szCs w:val="20"/>
        </w:rPr>
        <w:t>Pedestrian-Auto Collisions and Associated Costs</w:t>
      </w:r>
    </w:p>
    <w:p w:rsidR="00325912" w:rsidRPr="00F04CC2" w:rsidRDefault="00325912" w:rsidP="00325912">
      <w:pPr>
        <w:pStyle w:val="HELhighlightedtext"/>
        <w:suppressAutoHyphens/>
        <w:jc w:val="left"/>
        <w:rPr>
          <w:rFonts w:ascii="Palatino Linotype" w:hAnsi="Palatino Linotype" w:cstheme="minorHAnsi"/>
          <w:b w:val="0"/>
          <w:bCs w:val="0"/>
          <w:i w:val="0"/>
          <w:iCs w:val="0"/>
          <w:sz w:val="20"/>
          <w:szCs w:val="20"/>
        </w:rPr>
      </w:pPr>
      <w:r w:rsidRPr="00F04CC2">
        <w:rPr>
          <w:rFonts w:ascii="Palatino Linotype" w:hAnsi="Palatino Linotype" w:cstheme="minorHAnsi"/>
          <w:b w:val="0"/>
          <w:bCs w:val="0"/>
          <w:i w:val="0"/>
          <w:iCs w:val="0"/>
          <w:sz w:val="20"/>
          <w:szCs w:val="20"/>
        </w:rPr>
        <w:t>Household Costs</w:t>
      </w:r>
    </w:p>
    <w:p w:rsidR="00325912" w:rsidRPr="00F04CC2" w:rsidRDefault="00325912" w:rsidP="00325912">
      <w:pPr>
        <w:pStyle w:val="HELCaption"/>
        <w:jc w:val="left"/>
        <w:rPr>
          <w:rFonts w:ascii="Palatino Linotype" w:hAnsi="Palatino Linotype" w:cstheme="minorHAnsi"/>
          <w:sz w:val="20"/>
          <w:szCs w:val="20"/>
        </w:rPr>
      </w:pPr>
      <w:r w:rsidRPr="00F04CC2">
        <w:rPr>
          <w:rFonts w:ascii="Palatino Linotype" w:hAnsi="Palatino Linotype" w:cstheme="minorHAnsi"/>
          <w:sz w:val="20"/>
          <w:szCs w:val="20"/>
        </w:rPr>
        <w:t>Transportation (Driving and Related) Costs</w:t>
      </w:r>
    </w:p>
    <w:p w:rsidR="00325912" w:rsidRPr="00F04CC2" w:rsidRDefault="00325912" w:rsidP="00325912">
      <w:pPr>
        <w:pStyle w:val="HELParagraphHeading"/>
        <w:suppressAutoHyphens/>
        <w:spacing w:after="0"/>
        <w:jc w:val="left"/>
        <w:rPr>
          <w:rFonts w:ascii="Palatino Linotype" w:hAnsi="Palatino Linotype" w:cstheme="minorHAnsi"/>
          <w:sz w:val="20"/>
          <w:szCs w:val="20"/>
        </w:rPr>
      </w:pPr>
      <w:r w:rsidRPr="00F04CC2">
        <w:rPr>
          <w:rFonts w:ascii="Palatino Linotype" w:hAnsi="Palatino Linotype" w:cstheme="minorHAnsi"/>
          <w:sz w:val="20"/>
          <w:szCs w:val="20"/>
        </w:rPr>
        <w:t>Residential Energy and Water Costs</w:t>
      </w:r>
    </w:p>
    <w:p w:rsidR="00325912" w:rsidRPr="00F04CC2" w:rsidRDefault="00325912" w:rsidP="00325912">
      <w:pPr>
        <w:pStyle w:val="HELhighlightedtext"/>
        <w:suppressAutoHyphens/>
        <w:jc w:val="left"/>
        <w:rPr>
          <w:rFonts w:ascii="Palatino Linotype" w:hAnsi="Palatino Linotype" w:cstheme="minorHAnsi"/>
          <w:b w:val="0"/>
          <w:bCs w:val="0"/>
          <w:i w:val="0"/>
          <w:iCs w:val="0"/>
          <w:sz w:val="20"/>
          <w:szCs w:val="20"/>
        </w:rPr>
      </w:pPr>
      <w:r w:rsidRPr="00F04CC2">
        <w:rPr>
          <w:rFonts w:ascii="Palatino Linotype" w:hAnsi="Palatino Linotype" w:cstheme="minorHAnsi"/>
          <w:b w:val="0"/>
          <w:bCs w:val="0"/>
          <w:i w:val="0"/>
          <w:iCs w:val="0"/>
          <w:sz w:val="20"/>
          <w:szCs w:val="20"/>
        </w:rPr>
        <w:t>Greenhouse Gas Emissions</w:t>
      </w:r>
    </w:p>
    <w:p w:rsidR="00325912" w:rsidRPr="00F04CC2" w:rsidRDefault="00325912" w:rsidP="00325912">
      <w:pPr>
        <w:pStyle w:val="HELCaption"/>
        <w:rPr>
          <w:rFonts w:ascii="Palatino Linotype" w:hAnsi="Palatino Linotype" w:cstheme="minorHAnsi"/>
          <w:sz w:val="20"/>
          <w:szCs w:val="20"/>
        </w:rPr>
      </w:pPr>
      <w:r w:rsidRPr="00F04CC2">
        <w:rPr>
          <w:rFonts w:ascii="Palatino Linotype" w:hAnsi="Palatino Linotype" w:cstheme="minorHAnsi"/>
          <w:sz w:val="20"/>
          <w:szCs w:val="20"/>
        </w:rPr>
        <w:t>Transportation (Liquid Fuel and Electricity) Emissions</w:t>
      </w:r>
    </w:p>
    <w:p w:rsidR="00325912" w:rsidRPr="00F04CC2" w:rsidRDefault="00325912" w:rsidP="00325912">
      <w:pPr>
        <w:pStyle w:val="HELCaption"/>
        <w:rPr>
          <w:rFonts w:ascii="Palatino Linotype" w:hAnsi="Palatino Linotype" w:cstheme="minorHAnsi"/>
          <w:sz w:val="20"/>
          <w:szCs w:val="20"/>
        </w:rPr>
      </w:pPr>
      <w:r w:rsidRPr="00F04CC2">
        <w:rPr>
          <w:rFonts w:ascii="Palatino Linotype" w:hAnsi="Palatino Linotype" w:cstheme="minorHAnsi"/>
          <w:sz w:val="20"/>
          <w:szCs w:val="20"/>
        </w:rPr>
        <w:t xml:space="preserve">Building Energy Emissions  </w:t>
      </w:r>
    </w:p>
    <w:p w:rsidR="00325912" w:rsidRPr="00F04CC2" w:rsidRDefault="00325912" w:rsidP="00325912">
      <w:pPr>
        <w:pStyle w:val="HELhighlightedtext"/>
        <w:suppressAutoHyphens/>
        <w:jc w:val="left"/>
        <w:rPr>
          <w:rFonts w:ascii="Palatino Linotype" w:hAnsi="Palatino Linotype" w:cstheme="minorHAnsi"/>
          <w:b w:val="0"/>
          <w:bCs w:val="0"/>
          <w:i w:val="0"/>
          <w:iCs w:val="0"/>
          <w:sz w:val="20"/>
          <w:szCs w:val="20"/>
        </w:rPr>
      </w:pPr>
      <w:r w:rsidRPr="00F04CC2">
        <w:rPr>
          <w:rFonts w:ascii="Palatino Linotype" w:hAnsi="Palatino Linotype" w:cstheme="minorHAnsi"/>
          <w:b w:val="0"/>
          <w:bCs w:val="0"/>
          <w:i w:val="0"/>
          <w:iCs w:val="0"/>
          <w:sz w:val="20"/>
          <w:szCs w:val="20"/>
        </w:rPr>
        <w:t>Public Health</w:t>
      </w:r>
    </w:p>
    <w:p w:rsidR="00325912" w:rsidRPr="00F04CC2" w:rsidRDefault="00325912" w:rsidP="00325912">
      <w:pPr>
        <w:pStyle w:val="HELCaption"/>
        <w:jc w:val="left"/>
        <w:rPr>
          <w:rFonts w:ascii="Palatino Linotype" w:hAnsi="Palatino Linotype" w:cstheme="minorHAnsi"/>
          <w:sz w:val="20"/>
          <w:szCs w:val="20"/>
        </w:rPr>
      </w:pPr>
      <w:r w:rsidRPr="00F04CC2">
        <w:rPr>
          <w:rFonts w:ascii="Palatino Linotype" w:hAnsi="Palatino Linotype" w:cstheme="minorHAnsi"/>
          <w:sz w:val="20"/>
          <w:szCs w:val="20"/>
        </w:rPr>
        <w:t>Physical Activity/Weight Related Disease Incidence and Costs</w:t>
      </w:r>
    </w:p>
    <w:p w:rsidR="00325912" w:rsidRPr="00F04CC2" w:rsidRDefault="00325912" w:rsidP="00325912">
      <w:pPr>
        <w:pStyle w:val="HELCaption"/>
        <w:jc w:val="left"/>
        <w:rPr>
          <w:rFonts w:ascii="Palatino Linotype" w:hAnsi="Palatino Linotype" w:cstheme="minorHAnsi"/>
          <w:sz w:val="20"/>
          <w:szCs w:val="20"/>
        </w:rPr>
      </w:pPr>
      <w:r w:rsidRPr="00F04CC2">
        <w:rPr>
          <w:rFonts w:ascii="Palatino Linotype" w:hAnsi="Palatino Linotype" w:cstheme="minorHAnsi"/>
          <w:sz w:val="20"/>
          <w:szCs w:val="20"/>
        </w:rPr>
        <w:t xml:space="preserve">Respiratory/Pollution-Related Disease Incidence and Costs </w:t>
      </w:r>
    </w:p>
    <w:p w:rsidR="00325912" w:rsidRPr="00F04CC2" w:rsidRDefault="00325912" w:rsidP="00325912">
      <w:pPr>
        <w:pStyle w:val="HELCaption"/>
        <w:jc w:val="left"/>
        <w:rPr>
          <w:rFonts w:ascii="Palatino Linotype" w:hAnsi="Palatino Linotype" w:cstheme="minorHAnsi"/>
          <w:sz w:val="20"/>
          <w:szCs w:val="20"/>
        </w:rPr>
      </w:pPr>
      <w:r w:rsidRPr="00F04CC2">
        <w:rPr>
          <w:rFonts w:ascii="Palatino Linotype" w:hAnsi="Palatino Linotype" w:cstheme="minorHAnsi"/>
          <w:sz w:val="20"/>
          <w:szCs w:val="20"/>
        </w:rPr>
        <w:t>Pedestrian-Auto Collisions and Associated Costs</w:t>
      </w:r>
    </w:p>
    <w:p w:rsidR="00325912" w:rsidRPr="00F04CC2" w:rsidRDefault="00325912" w:rsidP="00325912">
      <w:pPr>
        <w:pStyle w:val="HELhighlightedtext"/>
        <w:suppressAutoHyphens/>
        <w:jc w:val="left"/>
        <w:rPr>
          <w:rFonts w:ascii="Palatino Linotype" w:hAnsi="Palatino Linotype" w:cstheme="minorHAnsi"/>
          <w:b w:val="0"/>
          <w:bCs w:val="0"/>
          <w:i w:val="0"/>
          <w:iCs w:val="0"/>
          <w:sz w:val="20"/>
          <w:szCs w:val="20"/>
        </w:rPr>
      </w:pPr>
      <w:r w:rsidRPr="00F04CC2">
        <w:rPr>
          <w:rFonts w:ascii="Palatino Linotype" w:hAnsi="Palatino Linotype" w:cstheme="minorHAnsi"/>
          <w:b w:val="0"/>
          <w:bCs w:val="0"/>
          <w:i w:val="0"/>
          <w:iCs w:val="0"/>
          <w:sz w:val="20"/>
          <w:szCs w:val="20"/>
        </w:rPr>
        <w:t>Household Costs</w:t>
      </w:r>
    </w:p>
    <w:p w:rsidR="00325912" w:rsidRPr="00F04CC2" w:rsidRDefault="00325912" w:rsidP="00325912">
      <w:pPr>
        <w:pStyle w:val="HELCaption"/>
        <w:jc w:val="left"/>
        <w:rPr>
          <w:rFonts w:ascii="Palatino Linotype" w:hAnsi="Palatino Linotype" w:cstheme="minorHAnsi"/>
          <w:sz w:val="20"/>
          <w:szCs w:val="20"/>
        </w:rPr>
      </w:pPr>
      <w:r w:rsidRPr="00F04CC2">
        <w:rPr>
          <w:rFonts w:ascii="Palatino Linotype" w:hAnsi="Palatino Linotype" w:cstheme="minorHAnsi"/>
          <w:sz w:val="20"/>
          <w:szCs w:val="20"/>
        </w:rPr>
        <w:t>Transportation (Driving and Related) Costs</w:t>
      </w:r>
    </w:p>
    <w:p w:rsidR="00325912" w:rsidRPr="00F04CC2" w:rsidRDefault="00325912" w:rsidP="00325912">
      <w:pPr>
        <w:pStyle w:val="HELParagraphHeading"/>
        <w:suppressAutoHyphens/>
        <w:spacing w:after="0"/>
        <w:jc w:val="left"/>
        <w:rPr>
          <w:rFonts w:ascii="Palatino Linotype" w:hAnsi="Palatino Linotype" w:cstheme="minorHAnsi"/>
          <w:sz w:val="20"/>
          <w:szCs w:val="20"/>
        </w:rPr>
      </w:pPr>
      <w:r w:rsidRPr="00F04CC2">
        <w:rPr>
          <w:rFonts w:ascii="Palatino Linotype" w:hAnsi="Palatino Linotype" w:cstheme="minorHAnsi"/>
          <w:sz w:val="20"/>
          <w:szCs w:val="20"/>
        </w:rPr>
        <w:t>Residential Energy and Water Costs</w:t>
      </w:r>
    </w:p>
    <w:p w:rsidR="00325912" w:rsidRPr="00F04CC2" w:rsidRDefault="00325912" w:rsidP="00325912">
      <w:pPr>
        <w:pStyle w:val="HELParagraphHeading"/>
        <w:suppressAutoHyphens/>
        <w:spacing w:after="0"/>
        <w:jc w:val="left"/>
        <w:rPr>
          <w:rFonts w:ascii="Palatino Linotype" w:hAnsi="Palatino Linotype" w:cstheme="minorHAnsi"/>
          <w:i/>
          <w:iCs/>
          <w:color w:val="0078AD"/>
          <w:sz w:val="20"/>
          <w:szCs w:val="20"/>
        </w:rPr>
      </w:pPr>
      <w:r w:rsidRPr="00F04CC2">
        <w:rPr>
          <w:rFonts w:ascii="Palatino Linotype" w:hAnsi="Palatino Linotype" w:cstheme="minorHAnsi"/>
          <w:i/>
          <w:iCs/>
          <w:color w:val="0078AD"/>
          <w:sz w:val="20"/>
          <w:szCs w:val="20"/>
        </w:rPr>
        <w:t>Graphical User Interface</w:t>
      </w:r>
      <w:r w:rsidRPr="00F04CC2">
        <w:rPr>
          <w:rFonts w:ascii="Palatino Linotype" w:hAnsi="Palatino Linotype" w:cstheme="minorHAnsi"/>
          <w:sz w:val="20"/>
          <w:szCs w:val="20"/>
        </w:rPr>
        <w:t xml:space="preserve"> </w:t>
      </w:r>
      <w:r w:rsidRPr="00F04CC2">
        <w:rPr>
          <w:rFonts w:ascii="Palatino Linotype" w:hAnsi="Palatino Linotype" w:cstheme="minorHAnsi"/>
          <w:i/>
          <w:iCs/>
          <w:color w:val="0078AD"/>
          <w:sz w:val="20"/>
          <w:szCs w:val="20"/>
        </w:rPr>
        <w:t>(GUI)</w:t>
      </w:r>
    </w:p>
    <w:p w:rsidR="00325912" w:rsidRPr="007355C9" w:rsidRDefault="00325912" w:rsidP="007355C9">
      <w:pPr>
        <w:pStyle w:val="HELCaption"/>
        <w:rPr>
          <w:rFonts w:ascii="Palatino Linotype" w:hAnsi="Palatino Linotype" w:cstheme="minorHAnsi"/>
          <w:color w:val="0078AD"/>
          <w:sz w:val="20"/>
          <w:szCs w:val="20"/>
        </w:rPr>
        <w:sectPr w:rsidR="00325912" w:rsidRPr="007355C9" w:rsidSect="00325912">
          <w:type w:val="continuous"/>
          <w:pgSz w:w="12240" w:h="15840"/>
          <w:pgMar w:top="1440" w:right="1440" w:bottom="1440" w:left="1440" w:header="720" w:footer="720" w:gutter="0"/>
          <w:cols w:num="2" w:space="720"/>
          <w:docGrid w:linePitch="360"/>
        </w:sectPr>
      </w:pPr>
      <w:proofErr w:type="spellStart"/>
      <w:r w:rsidRPr="00F04CC2">
        <w:rPr>
          <w:rFonts w:ascii="Palatino Linotype" w:hAnsi="Palatino Linotype" w:cstheme="minorHAnsi"/>
          <w:color w:val="0078AD"/>
          <w:sz w:val="20"/>
          <w:szCs w:val="20"/>
        </w:rPr>
        <w:t>UrbanFootprint</w:t>
      </w:r>
      <w:proofErr w:type="spellEnd"/>
      <w:r w:rsidRPr="00F04CC2">
        <w:rPr>
          <w:rFonts w:ascii="Palatino Linotype" w:hAnsi="Palatino Linotype" w:cstheme="minorHAnsi"/>
          <w:color w:val="0078AD"/>
          <w:sz w:val="20"/>
          <w:szCs w:val="20"/>
        </w:rPr>
        <w:t xml:space="preserve"> features a web-based, platform-neutral GUI that operates in any web browser, on any operating system, and on most hardware (desktop, laptop, or tablet computer). The GUI can be used to control scenario setup, load Place Types, paint scenarios, run primary scenario and analysis engines, and report results. Scripts are used to perform other model functions. In time, all primary model functions, including public engagement functionality, will be integrate</w:t>
      </w:r>
      <w:r w:rsidR="007355C9">
        <w:rPr>
          <w:rFonts w:ascii="Palatino Linotype" w:hAnsi="Palatino Linotype" w:cstheme="minorHAnsi"/>
          <w:color w:val="0078AD"/>
          <w:sz w:val="20"/>
          <w:szCs w:val="20"/>
        </w:rPr>
        <w:t>d into the web-based interface</w:t>
      </w:r>
    </w:p>
    <w:p w:rsidR="00325912" w:rsidRPr="00B866D9" w:rsidRDefault="00325912" w:rsidP="007355C9">
      <w:pPr>
        <w:pStyle w:val="Heading1"/>
      </w:pPr>
      <w:r w:rsidRPr="00B866D9">
        <w:lastRenderedPageBreak/>
        <w:t>Open Source Tools</w:t>
      </w:r>
    </w:p>
    <w:p w:rsidR="00325912" w:rsidRPr="007355C9" w:rsidRDefault="00325912" w:rsidP="00325912">
      <w:pPr>
        <w:pStyle w:val="GEORGIABodyText"/>
        <w:rPr>
          <w:rFonts w:ascii="Palatino Linotype" w:hAnsi="Palatino Linotype" w:cstheme="minorHAnsi"/>
          <w:sz w:val="20"/>
          <w:szCs w:val="22"/>
        </w:rPr>
      </w:pPr>
      <w:proofErr w:type="spellStart"/>
      <w:r w:rsidRPr="007355C9">
        <w:rPr>
          <w:rFonts w:ascii="Palatino Linotype" w:hAnsi="Palatino Linotype" w:cstheme="minorHAnsi"/>
          <w:sz w:val="20"/>
          <w:szCs w:val="22"/>
        </w:rPr>
        <w:t>UrbanFootprint</w:t>
      </w:r>
      <w:proofErr w:type="spellEnd"/>
      <w:r w:rsidRPr="007355C9">
        <w:rPr>
          <w:rFonts w:ascii="Palatino Linotype" w:hAnsi="Palatino Linotype" w:cstheme="minorHAnsi"/>
          <w:sz w:val="20"/>
          <w:szCs w:val="22"/>
        </w:rPr>
        <w:t xml:space="preserve"> is built on a suite of open source software platforms and tools, and requires no proprietary software of any kind. Ubuntu Linux-based server or desktop hardware hosts major model databases and analytical engines, which are accessed or controlled via a ‘thin’ web browser client and other tools from any hardware or operating system (i.e. Windows, Mac OS, Linux, </w:t>
      </w:r>
      <w:proofErr w:type="spellStart"/>
      <w:r w:rsidRPr="007355C9">
        <w:rPr>
          <w:rFonts w:ascii="Palatino Linotype" w:hAnsi="Palatino Linotype" w:cstheme="minorHAnsi"/>
          <w:sz w:val="20"/>
          <w:szCs w:val="22"/>
        </w:rPr>
        <w:t>iOS</w:t>
      </w:r>
      <w:proofErr w:type="spellEnd"/>
      <w:r w:rsidRPr="007355C9">
        <w:rPr>
          <w:rFonts w:ascii="Palatino Linotype" w:hAnsi="Palatino Linotype" w:cstheme="minorHAnsi"/>
          <w:sz w:val="20"/>
          <w:szCs w:val="22"/>
        </w:rPr>
        <w:t xml:space="preserve">, Android). </w:t>
      </w:r>
    </w:p>
    <w:p w:rsidR="00325912" w:rsidRPr="007355C9" w:rsidRDefault="00325912" w:rsidP="00325912">
      <w:pPr>
        <w:pStyle w:val="GEORGIABodyText"/>
        <w:rPr>
          <w:rFonts w:ascii="Palatino Linotype" w:hAnsi="Palatino Linotype" w:cstheme="minorHAnsi"/>
          <w:sz w:val="20"/>
          <w:szCs w:val="22"/>
        </w:rPr>
      </w:pPr>
      <w:r w:rsidRPr="007355C9">
        <w:rPr>
          <w:rFonts w:ascii="Palatino Linotype" w:hAnsi="Palatino Linotype" w:cstheme="minorHAnsi"/>
          <w:sz w:val="20"/>
          <w:szCs w:val="22"/>
        </w:rPr>
        <w:t xml:space="preserve">Major software components of </w:t>
      </w:r>
      <w:proofErr w:type="spellStart"/>
      <w:r w:rsidRPr="007355C9">
        <w:rPr>
          <w:rFonts w:ascii="Palatino Linotype" w:hAnsi="Palatino Linotype" w:cstheme="minorHAnsi"/>
          <w:sz w:val="20"/>
          <w:szCs w:val="22"/>
        </w:rPr>
        <w:t>UrbanFootprint</w:t>
      </w:r>
      <w:proofErr w:type="spellEnd"/>
      <w:r w:rsidRPr="007355C9">
        <w:rPr>
          <w:rFonts w:ascii="Palatino Linotype" w:hAnsi="Palatino Linotype" w:cstheme="minorHAnsi"/>
          <w:sz w:val="20"/>
          <w:szCs w:val="22"/>
        </w:rPr>
        <w:t xml:space="preserve"> v1.0 include:</w:t>
      </w:r>
    </w:p>
    <w:p w:rsidR="00325912" w:rsidRPr="007355C9" w:rsidRDefault="00325912" w:rsidP="00325912">
      <w:pPr>
        <w:pStyle w:val="HELhighlightedtext"/>
        <w:spacing w:before="90"/>
        <w:jc w:val="left"/>
        <w:rPr>
          <w:rFonts w:ascii="Palatino Linotype" w:hAnsi="Palatino Linotype" w:cstheme="minorHAnsi"/>
          <w:caps/>
          <w:sz w:val="20"/>
          <w:szCs w:val="22"/>
        </w:rPr>
      </w:pPr>
      <w:r w:rsidRPr="007355C9">
        <w:rPr>
          <w:rFonts w:ascii="Palatino Linotype" w:hAnsi="Palatino Linotype" w:cstheme="minorHAnsi"/>
          <w:caps/>
          <w:sz w:val="20"/>
          <w:szCs w:val="22"/>
        </w:rPr>
        <w:t xml:space="preserve">database </w:t>
      </w:r>
    </w:p>
    <w:p w:rsidR="00325912" w:rsidRPr="007355C9" w:rsidRDefault="00325912" w:rsidP="00325912">
      <w:pPr>
        <w:pStyle w:val="BasicParagraph"/>
        <w:spacing w:before="90" w:after="90"/>
        <w:rPr>
          <w:rFonts w:ascii="Palatino Linotype" w:hAnsi="Palatino Linotype" w:cstheme="minorHAnsi"/>
          <w:i/>
          <w:iCs/>
          <w:sz w:val="20"/>
          <w:szCs w:val="22"/>
        </w:rPr>
      </w:pPr>
      <w:proofErr w:type="spellStart"/>
      <w:proofErr w:type="gramStart"/>
      <w:r w:rsidRPr="007355C9">
        <w:rPr>
          <w:rFonts w:ascii="Palatino Linotype" w:hAnsi="Palatino Linotype" w:cstheme="minorHAnsi"/>
          <w:i/>
          <w:iCs/>
          <w:sz w:val="20"/>
          <w:szCs w:val="22"/>
        </w:rPr>
        <w:t>PostgreSQL</w:t>
      </w:r>
      <w:proofErr w:type="spellEnd"/>
      <w:r w:rsidRPr="007355C9">
        <w:rPr>
          <w:rFonts w:ascii="Palatino Linotype" w:hAnsi="Palatino Linotype" w:cstheme="minorHAnsi"/>
          <w:i/>
          <w:iCs/>
          <w:sz w:val="20"/>
          <w:szCs w:val="22"/>
        </w:rPr>
        <w:t xml:space="preserve"> 9.1 – an industry standard, high volume, high performance relational database.</w:t>
      </w:r>
      <w:proofErr w:type="gramEnd"/>
      <w:r w:rsidRPr="007355C9">
        <w:rPr>
          <w:rFonts w:ascii="Palatino Linotype" w:hAnsi="Palatino Linotype" w:cstheme="minorHAnsi"/>
          <w:i/>
          <w:iCs/>
          <w:sz w:val="20"/>
          <w:szCs w:val="22"/>
        </w:rPr>
        <w:t xml:space="preserve"> </w:t>
      </w:r>
    </w:p>
    <w:p w:rsidR="00325912" w:rsidRPr="007355C9" w:rsidRDefault="00325912" w:rsidP="00325912">
      <w:pPr>
        <w:pStyle w:val="HELhighlightedtext"/>
        <w:spacing w:before="90"/>
        <w:rPr>
          <w:rFonts w:ascii="Palatino Linotype" w:hAnsi="Palatino Linotype" w:cstheme="minorHAnsi"/>
          <w:caps/>
          <w:sz w:val="20"/>
          <w:szCs w:val="22"/>
        </w:rPr>
      </w:pPr>
      <w:r w:rsidRPr="007355C9">
        <w:rPr>
          <w:rFonts w:ascii="Palatino Linotype" w:hAnsi="Palatino Linotype" w:cstheme="minorHAnsi"/>
          <w:caps/>
          <w:sz w:val="20"/>
          <w:szCs w:val="22"/>
        </w:rPr>
        <w:t>geospatial Analysis</w:t>
      </w:r>
    </w:p>
    <w:p w:rsidR="00325912" w:rsidRPr="007355C9" w:rsidRDefault="00325912" w:rsidP="00325912">
      <w:pPr>
        <w:pStyle w:val="BasicParagraph"/>
        <w:spacing w:before="90" w:after="90"/>
        <w:jc w:val="both"/>
        <w:rPr>
          <w:rFonts w:ascii="Palatino Linotype" w:hAnsi="Palatino Linotype" w:cstheme="minorHAnsi"/>
          <w:i/>
          <w:iCs/>
          <w:sz w:val="20"/>
          <w:szCs w:val="22"/>
        </w:rPr>
      </w:pPr>
      <w:proofErr w:type="spellStart"/>
      <w:r w:rsidRPr="007355C9">
        <w:rPr>
          <w:rFonts w:ascii="Palatino Linotype" w:hAnsi="Palatino Linotype" w:cstheme="minorHAnsi"/>
          <w:i/>
          <w:iCs/>
          <w:sz w:val="20"/>
          <w:szCs w:val="22"/>
        </w:rPr>
        <w:t>PostGIS</w:t>
      </w:r>
      <w:proofErr w:type="spellEnd"/>
      <w:r w:rsidRPr="007355C9">
        <w:rPr>
          <w:rFonts w:ascii="Palatino Linotype" w:hAnsi="Palatino Linotype" w:cstheme="minorHAnsi"/>
          <w:i/>
          <w:iCs/>
          <w:sz w:val="20"/>
          <w:szCs w:val="22"/>
        </w:rPr>
        <w:t xml:space="preserve"> 1.5 - </w:t>
      </w:r>
      <w:proofErr w:type="spellStart"/>
      <w:r w:rsidRPr="007355C9">
        <w:rPr>
          <w:rFonts w:ascii="Palatino Linotype" w:hAnsi="Palatino Linotype" w:cstheme="minorHAnsi"/>
          <w:i/>
          <w:iCs/>
          <w:sz w:val="20"/>
          <w:szCs w:val="22"/>
        </w:rPr>
        <w:t>PostGIS</w:t>
      </w:r>
      <w:proofErr w:type="spellEnd"/>
      <w:r w:rsidRPr="007355C9">
        <w:rPr>
          <w:rFonts w:ascii="Palatino Linotype" w:hAnsi="Palatino Linotype" w:cstheme="minorHAnsi"/>
          <w:i/>
          <w:iCs/>
          <w:sz w:val="20"/>
          <w:szCs w:val="22"/>
        </w:rPr>
        <w:t xml:space="preserve"> integrates with the </w:t>
      </w:r>
      <w:proofErr w:type="spellStart"/>
      <w:r w:rsidRPr="007355C9">
        <w:rPr>
          <w:rFonts w:ascii="Palatino Linotype" w:hAnsi="Palatino Linotype" w:cstheme="minorHAnsi"/>
          <w:i/>
          <w:iCs/>
          <w:sz w:val="20"/>
          <w:szCs w:val="22"/>
        </w:rPr>
        <w:t>PostgreSQL</w:t>
      </w:r>
      <w:proofErr w:type="spellEnd"/>
      <w:r w:rsidRPr="007355C9">
        <w:rPr>
          <w:rFonts w:ascii="Palatino Linotype" w:hAnsi="Palatino Linotype" w:cstheme="minorHAnsi"/>
          <w:i/>
          <w:iCs/>
          <w:sz w:val="20"/>
          <w:szCs w:val="22"/>
        </w:rPr>
        <w:t xml:space="preserve"> database to provide maximum performance Geographic Information Systems (GIS) functionality within </w:t>
      </w:r>
      <w:proofErr w:type="spellStart"/>
      <w:r w:rsidRPr="007355C9">
        <w:rPr>
          <w:rFonts w:ascii="Palatino Linotype" w:hAnsi="Palatino Linotype" w:cstheme="minorHAnsi"/>
          <w:i/>
          <w:iCs/>
          <w:sz w:val="20"/>
          <w:szCs w:val="22"/>
        </w:rPr>
        <w:t>UrbanFootprint’s</w:t>
      </w:r>
      <w:proofErr w:type="spellEnd"/>
      <w:r w:rsidRPr="007355C9">
        <w:rPr>
          <w:rFonts w:ascii="Palatino Linotype" w:hAnsi="Palatino Linotype" w:cstheme="minorHAnsi"/>
          <w:i/>
          <w:iCs/>
          <w:sz w:val="20"/>
          <w:szCs w:val="22"/>
        </w:rPr>
        <w:t xml:space="preserve"> 64-bit multi-core, multi-threaded computing environment.</w:t>
      </w:r>
    </w:p>
    <w:p w:rsidR="00325912" w:rsidRPr="007355C9" w:rsidRDefault="00325912" w:rsidP="00325912">
      <w:pPr>
        <w:pStyle w:val="HELhighlightedtext"/>
        <w:spacing w:before="90"/>
        <w:rPr>
          <w:rFonts w:ascii="Palatino Linotype" w:hAnsi="Palatino Linotype" w:cstheme="minorHAnsi"/>
          <w:caps/>
          <w:sz w:val="20"/>
          <w:szCs w:val="22"/>
        </w:rPr>
      </w:pPr>
      <w:r w:rsidRPr="007355C9">
        <w:rPr>
          <w:rFonts w:ascii="Palatino Linotype" w:hAnsi="Palatino Linotype" w:cstheme="minorHAnsi"/>
          <w:caps/>
          <w:sz w:val="20"/>
          <w:szCs w:val="22"/>
        </w:rPr>
        <w:t xml:space="preserve">distributed processing </w:t>
      </w:r>
      <w:r w:rsidRPr="007355C9">
        <w:rPr>
          <w:rFonts w:ascii="Palatino Linotype" w:hAnsi="Palatino Linotype" w:cstheme="minorHAnsi"/>
          <w:sz w:val="20"/>
          <w:szCs w:val="22"/>
        </w:rPr>
        <w:t>and</w:t>
      </w:r>
      <w:r w:rsidRPr="007355C9">
        <w:rPr>
          <w:rFonts w:ascii="Palatino Linotype" w:hAnsi="Palatino Linotype" w:cstheme="minorHAnsi"/>
          <w:caps/>
          <w:sz w:val="20"/>
          <w:szCs w:val="22"/>
        </w:rPr>
        <w:t xml:space="preserve"> queuing</w:t>
      </w:r>
    </w:p>
    <w:p w:rsidR="00325912" w:rsidRPr="007355C9" w:rsidRDefault="00325912" w:rsidP="00325912">
      <w:pPr>
        <w:pStyle w:val="GEORGIABodyTextBullet"/>
        <w:ind w:left="0" w:firstLine="0"/>
        <w:jc w:val="both"/>
        <w:rPr>
          <w:rFonts w:ascii="Palatino Linotype" w:hAnsi="Palatino Linotype" w:cstheme="minorHAnsi"/>
          <w:i/>
          <w:iCs/>
          <w:sz w:val="20"/>
          <w:szCs w:val="22"/>
        </w:rPr>
      </w:pPr>
      <w:proofErr w:type="spellStart"/>
      <w:r w:rsidRPr="007355C9">
        <w:rPr>
          <w:rFonts w:ascii="Palatino Linotype" w:hAnsi="Palatino Linotype" w:cstheme="minorHAnsi"/>
          <w:i/>
          <w:iCs/>
          <w:sz w:val="20"/>
          <w:szCs w:val="22"/>
        </w:rPr>
        <w:t>Django</w:t>
      </w:r>
      <w:proofErr w:type="spellEnd"/>
      <w:r w:rsidRPr="007355C9">
        <w:rPr>
          <w:rFonts w:ascii="Palatino Linotype" w:hAnsi="Palatino Linotype" w:cstheme="minorHAnsi"/>
          <w:i/>
          <w:iCs/>
          <w:sz w:val="20"/>
          <w:szCs w:val="22"/>
        </w:rPr>
        <w:t xml:space="preserve">, Celery, </w:t>
      </w:r>
      <w:proofErr w:type="spellStart"/>
      <w:r w:rsidRPr="007355C9">
        <w:rPr>
          <w:rFonts w:ascii="Palatino Linotype" w:hAnsi="Palatino Linotype" w:cstheme="minorHAnsi"/>
          <w:i/>
          <w:iCs/>
          <w:sz w:val="20"/>
          <w:szCs w:val="22"/>
        </w:rPr>
        <w:t>Redis</w:t>
      </w:r>
      <w:proofErr w:type="spellEnd"/>
      <w:r w:rsidRPr="007355C9">
        <w:rPr>
          <w:rFonts w:ascii="Palatino Linotype" w:hAnsi="Palatino Linotype" w:cstheme="minorHAnsi"/>
          <w:i/>
          <w:iCs/>
          <w:sz w:val="20"/>
          <w:szCs w:val="22"/>
        </w:rPr>
        <w:t xml:space="preserve">. </w:t>
      </w:r>
      <w:proofErr w:type="spellStart"/>
      <w:r w:rsidRPr="007355C9">
        <w:rPr>
          <w:rFonts w:ascii="Palatino Linotype" w:hAnsi="Palatino Linotype" w:cstheme="minorHAnsi"/>
          <w:i/>
          <w:iCs/>
          <w:sz w:val="20"/>
          <w:szCs w:val="22"/>
        </w:rPr>
        <w:t>UrbanFootprint</w:t>
      </w:r>
      <w:proofErr w:type="spellEnd"/>
      <w:r w:rsidRPr="007355C9">
        <w:rPr>
          <w:rFonts w:ascii="Palatino Linotype" w:hAnsi="Palatino Linotype" w:cstheme="minorHAnsi"/>
          <w:i/>
          <w:iCs/>
          <w:sz w:val="20"/>
          <w:szCs w:val="22"/>
        </w:rPr>
        <w:t xml:space="preserve"> version 1.0 includes an advanced task queue to manage processes running on servers and report status and results back to the user interface for long running analysis. </w:t>
      </w:r>
    </w:p>
    <w:p w:rsidR="00325912" w:rsidRPr="007355C9" w:rsidRDefault="00325912" w:rsidP="00325912">
      <w:pPr>
        <w:pStyle w:val="HELhighlightedtext"/>
        <w:spacing w:before="90"/>
        <w:rPr>
          <w:rFonts w:ascii="Palatino Linotype" w:hAnsi="Palatino Linotype" w:cstheme="minorHAnsi"/>
          <w:caps/>
          <w:sz w:val="20"/>
          <w:szCs w:val="22"/>
        </w:rPr>
      </w:pPr>
      <w:r w:rsidRPr="007355C9">
        <w:rPr>
          <w:rFonts w:ascii="Palatino Linotype" w:hAnsi="Palatino Linotype" w:cstheme="minorHAnsi"/>
          <w:caps/>
          <w:sz w:val="20"/>
          <w:szCs w:val="22"/>
        </w:rPr>
        <w:t>SERVER operating environment</w:t>
      </w:r>
    </w:p>
    <w:p w:rsidR="00325912" w:rsidRPr="007355C9" w:rsidRDefault="00325912" w:rsidP="00325912">
      <w:pPr>
        <w:pStyle w:val="BasicParagraph"/>
        <w:spacing w:before="90" w:after="90"/>
        <w:jc w:val="both"/>
        <w:rPr>
          <w:rFonts w:ascii="Palatino Linotype" w:hAnsi="Palatino Linotype" w:cstheme="minorHAnsi"/>
          <w:i/>
          <w:iCs/>
          <w:sz w:val="20"/>
          <w:szCs w:val="22"/>
        </w:rPr>
      </w:pPr>
      <w:r w:rsidRPr="007355C9">
        <w:rPr>
          <w:rFonts w:ascii="Palatino Linotype" w:hAnsi="Palatino Linotype" w:cstheme="minorHAnsi"/>
          <w:i/>
          <w:iCs/>
          <w:sz w:val="20"/>
          <w:szCs w:val="22"/>
        </w:rPr>
        <w:t xml:space="preserve">Ubuntu Linux 12.04 LTS was chosen for its stability, speed and efficiency, allowing </w:t>
      </w:r>
      <w:proofErr w:type="spellStart"/>
      <w:r w:rsidRPr="007355C9">
        <w:rPr>
          <w:rFonts w:ascii="Palatino Linotype" w:hAnsi="Palatino Linotype" w:cstheme="minorHAnsi"/>
          <w:i/>
          <w:iCs/>
          <w:sz w:val="20"/>
          <w:szCs w:val="22"/>
        </w:rPr>
        <w:t>UrbanFootprint</w:t>
      </w:r>
      <w:proofErr w:type="spellEnd"/>
      <w:r w:rsidRPr="007355C9">
        <w:rPr>
          <w:rFonts w:ascii="Palatino Linotype" w:hAnsi="Palatino Linotype" w:cstheme="minorHAnsi"/>
          <w:i/>
          <w:iCs/>
          <w:sz w:val="20"/>
          <w:szCs w:val="22"/>
        </w:rPr>
        <w:t xml:space="preserve"> to have true, scalable 64-bit computing, including multi-threading capabilities.</w:t>
      </w:r>
    </w:p>
    <w:p w:rsidR="00325912" w:rsidRPr="007355C9" w:rsidRDefault="00325912" w:rsidP="00325912">
      <w:pPr>
        <w:pStyle w:val="HELhighlightedtext"/>
        <w:spacing w:before="90"/>
        <w:rPr>
          <w:rFonts w:ascii="Palatino Linotype" w:hAnsi="Palatino Linotype" w:cstheme="minorHAnsi"/>
          <w:caps/>
          <w:sz w:val="20"/>
          <w:szCs w:val="22"/>
        </w:rPr>
      </w:pPr>
      <w:r w:rsidRPr="007355C9">
        <w:rPr>
          <w:rFonts w:ascii="Palatino Linotype" w:hAnsi="Palatino Linotype" w:cstheme="minorHAnsi"/>
          <w:caps/>
          <w:sz w:val="20"/>
          <w:szCs w:val="22"/>
        </w:rPr>
        <w:t>cross-environment data transfer</w:t>
      </w:r>
    </w:p>
    <w:p w:rsidR="00325912" w:rsidRPr="007355C9" w:rsidRDefault="00325912" w:rsidP="00325912">
      <w:pPr>
        <w:pStyle w:val="BasicParagraph"/>
        <w:spacing w:before="90" w:after="90"/>
        <w:jc w:val="both"/>
        <w:rPr>
          <w:rFonts w:ascii="Palatino Linotype" w:hAnsi="Palatino Linotype" w:cstheme="minorHAnsi"/>
          <w:i/>
          <w:iCs/>
          <w:sz w:val="20"/>
          <w:szCs w:val="22"/>
        </w:rPr>
      </w:pPr>
      <w:r w:rsidRPr="007355C9">
        <w:rPr>
          <w:rFonts w:ascii="Palatino Linotype" w:hAnsi="Palatino Linotype" w:cstheme="minorHAnsi"/>
          <w:i/>
          <w:iCs/>
          <w:sz w:val="20"/>
          <w:szCs w:val="22"/>
        </w:rPr>
        <w:t xml:space="preserve">ogr2ogr,part of GDAL, an evolving open-source toolset used to transfer vector </w:t>
      </w:r>
      <w:proofErr w:type="spellStart"/>
      <w:r w:rsidRPr="007355C9">
        <w:rPr>
          <w:rFonts w:ascii="Palatino Linotype" w:hAnsi="Palatino Linotype" w:cstheme="minorHAnsi"/>
          <w:i/>
          <w:iCs/>
          <w:sz w:val="20"/>
          <w:szCs w:val="22"/>
        </w:rPr>
        <w:t>geodata</w:t>
      </w:r>
      <w:proofErr w:type="spellEnd"/>
      <w:r w:rsidRPr="007355C9">
        <w:rPr>
          <w:rFonts w:ascii="Palatino Linotype" w:hAnsi="Palatino Linotype" w:cstheme="minorHAnsi"/>
          <w:i/>
          <w:iCs/>
          <w:sz w:val="20"/>
          <w:szCs w:val="22"/>
        </w:rPr>
        <w:t xml:space="preserve"> in and out of </w:t>
      </w:r>
      <w:proofErr w:type="spellStart"/>
      <w:r w:rsidRPr="007355C9">
        <w:rPr>
          <w:rFonts w:ascii="Palatino Linotype" w:hAnsi="Palatino Linotype" w:cstheme="minorHAnsi"/>
          <w:i/>
          <w:iCs/>
          <w:sz w:val="20"/>
          <w:szCs w:val="22"/>
        </w:rPr>
        <w:t>UrbanFootprint’s</w:t>
      </w:r>
      <w:proofErr w:type="spellEnd"/>
      <w:r w:rsidRPr="007355C9">
        <w:rPr>
          <w:rFonts w:ascii="Palatino Linotype" w:hAnsi="Palatino Linotype" w:cstheme="minorHAnsi"/>
          <w:i/>
          <w:iCs/>
          <w:sz w:val="20"/>
          <w:szCs w:val="22"/>
        </w:rPr>
        <w:t xml:space="preserve"> </w:t>
      </w:r>
      <w:proofErr w:type="spellStart"/>
      <w:r w:rsidRPr="007355C9">
        <w:rPr>
          <w:rFonts w:ascii="Palatino Linotype" w:hAnsi="Palatino Linotype" w:cstheme="minorHAnsi"/>
          <w:i/>
          <w:iCs/>
          <w:sz w:val="20"/>
          <w:szCs w:val="22"/>
        </w:rPr>
        <w:t>PostgreSQL</w:t>
      </w:r>
      <w:proofErr w:type="spellEnd"/>
      <w:r w:rsidRPr="007355C9">
        <w:rPr>
          <w:rFonts w:ascii="Palatino Linotype" w:hAnsi="Palatino Linotype" w:cstheme="minorHAnsi"/>
          <w:i/>
          <w:iCs/>
          <w:sz w:val="20"/>
          <w:szCs w:val="22"/>
        </w:rPr>
        <w:t xml:space="preserve"> environment; GDAL developers have published plug-in drivers for more than one hundred industry standard vector data formats, notably including the ESRI GIS </w:t>
      </w:r>
      <w:proofErr w:type="spellStart"/>
      <w:r w:rsidRPr="007355C9">
        <w:rPr>
          <w:rFonts w:ascii="Palatino Linotype" w:hAnsi="Palatino Linotype" w:cstheme="minorHAnsi"/>
          <w:i/>
          <w:iCs/>
          <w:sz w:val="20"/>
          <w:szCs w:val="22"/>
        </w:rPr>
        <w:t>Geodatabase</w:t>
      </w:r>
      <w:proofErr w:type="spellEnd"/>
      <w:r w:rsidRPr="007355C9">
        <w:rPr>
          <w:rFonts w:ascii="Palatino Linotype" w:hAnsi="Palatino Linotype" w:cstheme="minorHAnsi"/>
          <w:i/>
          <w:iCs/>
          <w:sz w:val="20"/>
          <w:szCs w:val="22"/>
        </w:rPr>
        <w:t xml:space="preserve"> and ESRI </w:t>
      </w:r>
      <w:proofErr w:type="spellStart"/>
      <w:r w:rsidRPr="007355C9">
        <w:rPr>
          <w:rFonts w:ascii="Palatino Linotype" w:hAnsi="Palatino Linotype" w:cstheme="minorHAnsi"/>
          <w:i/>
          <w:iCs/>
          <w:sz w:val="20"/>
          <w:szCs w:val="22"/>
        </w:rPr>
        <w:t>Shapefiles</w:t>
      </w:r>
      <w:proofErr w:type="spellEnd"/>
      <w:r w:rsidRPr="007355C9">
        <w:rPr>
          <w:rFonts w:ascii="Palatino Linotype" w:hAnsi="Palatino Linotype" w:cstheme="minorHAnsi"/>
          <w:i/>
          <w:iCs/>
          <w:sz w:val="20"/>
          <w:szCs w:val="22"/>
        </w:rPr>
        <w:t>.</w:t>
      </w:r>
    </w:p>
    <w:p w:rsidR="00325912" w:rsidRPr="007355C9" w:rsidRDefault="00325912" w:rsidP="00325912">
      <w:pPr>
        <w:pStyle w:val="HELhighlightedtext"/>
        <w:spacing w:before="90"/>
        <w:rPr>
          <w:rFonts w:ascii="Palatino Linotype" w:hAnsi="Palatino Linotype" w:cstheme="minorHAnsi"/>
          <w:caps/>
          <w:sz w:val="20"/>
          <w:szCs w:val="22"/>
        </w:rPr>
      </w:pPr>
      <w:r w:rsidRPr="007355C9">
        <w:rPr>
          <w:rFonts w:ascii="Palatino Linotype" w:hAnsi="Palatino Linotype" w:cstheme="minorHAnsi"/>
          <w:caps/>
          <w:sz w:val="20"/>
          <w:szCs w:val="22"/>
        </w:rPr>
        <w:t>other programming languages</w:t>
      </w:r>
    </w:p>
    <w:p w:rsidR="00325912" w:rsidRPr="007355C9" w:rsidRDefault="00325912" w:rsidP="00325912">
      <w:pPr>
        <w:pStyle w:val="BasicParagraph"/>
        <w:spacing w:before="90" w:after="90"/>
        <w:jc w:val="both"/>
        <w:rPr>
          <w:rFonts w:ascii="Palatino Linotype" w:hAnsi="Palatino Linotype" w:cstheme="minorHAnsi"/>
          <w:i/>
          <w:iCs/>
          <w:sz w:val="20"/>
          <w:szCs w:val="22"/>
        </w:rPr>
      </w:pPr>
      <w:r w:rsidRPr="007355C9">
        <w:rPr>
          <w:rFonts w:ascii="Palatino Linotype" w:hAnsi="Palatino Linotype" w:cstheme="minorHAnsi"/>
          <w:i/>
          <w:iCs/>
          <w:sz w:val="20"/>
          <w:szCs w:val="22"/>
        </w:rPr>
        <w:t xml:space="preserve">PGSQL, Python, Apache, </w:t>
      </w:r>
      <w:proofErr w:type="spellStart"/>
      <w:r w:rsidRPr="007355C9">
        <w:rPr>
          <w:rFonts w:ascii="Palatino Linotype" w:hAnsi="Palatino Linotype" w:cstheme="minorHAnsi"/>
          <w:i/>
          <w:iCs/>
          <w:sz w:val="20"/>
          <w:szCs w:val="22"/>
        </w:rPr>
        <w:t>Django</w:t>
      </w:r>
      <w:proofErr w:type="spellEnd"/>
      <w:r w:rsidRPr="007355C9">
        <w:rPr>
          <w:rFonts w:ascii="Palatino Linotype" w:hAnsi="Palatino Linotype" w:cstheme="minorHAnsi"/>
          <w:i/>
          <w:iCs/>
          <w:sz w:val="20"/>
          <w:szCs w:val="22"/>
        </w:rPr>
        <w:t xml:space="preserve">. </w:t>
      </w:r>
      <w:proofErr w:type="spellStart"/>
      <w:r w:rsidRPr="007355C9">
        <w:rPr>
          <w:rFonts w:ascii="Palatino Linotype" w:hAnsi="Palatino Linotype" w:cstheme="minorHAnsi"/>
          <w:i/>
          <w:iCs/>
          <w:sz w:val="20"/>
          <w:szCs w:val="22"/>
        </w:rPr>
        <w:t>SQLis</w:t>
      </w:r>
      <w:proofErr w:type="spellEnd"/>
      <w:r w:rsidRPr="007355C9">
        <w:rPr>
          <w:rFonts w:ascii="Palatino Linotype" w:hAnsi="Palatino Linotype" w:cstheme="minorHAnsi"/>
          <w:i/>
          <w:iCs/>
          <w:sz w:val="20"/>
          <w:szCs w:val="22"/>
        </w:rPr>
        <w:t xml:space="preserve"> used to write queries to the </w:t>
      </w:r>
      <w:proofErr w:type="spellStart"/>
      <w:r w:rsidRPr="007355C9">
        <w:rPr>
          <w:rFonts w:ascii="Palatino Linotype" w:hAnsi="Palatino Linotype" w:cstheme="minorHAnsi"/>
          <w:i/>
          <w:iCs/>
          <w:sz w:val="20"/>
          <w:szCs w:val="22"/>
        </w:rPr>
        <w:t>Postgres</w:t>
      </w:r>
      <w:proofErr w:type="spellEnd"/>
      <w:r w:rsidRPr="007355C9">
        <w:rPr>
          <w:rFonts w:ascii="Palatino Linotype" w:hAnsi="Palatino Linotype" w:cstheme="minorHAnsi"/>
          <w:i/>
          <w:iCs/>
          <w:sz w:val="20"/>
          <w:szCs w:val="22"/>
        </w:rPr>
        <w:t xml:space="preserve"> database; </w:t>
      </w:r>
      <w:proofErr w:type="spellStart"/>
      <w:r w:rsidRPr="007355C9">
        <w:rPr>
          <w:rFonts w:ascii="Palatino Linotype" w:hAnsi="Palatino Linotype" w:cstheme="minorHAnsi"/>
          <w:i/>
          <w:iCs/>
          <w:sz w:val="20"/>
          <w:szCs w:val="22"/>
        </w:rPr>
        <w:t>PostgreSQL</w:t>
      </w:r>
      <w:proofErr w:type="spellEnd"/>
      <w:r w:rsidRPr="007355C9">
        <w:rPr>
          <w:rFonts w:ascii="Palatino Linotype" w:hAnsi="Palatino Linotype" w:cstheme="minorHAnsi"/>
          <w:i/>
          <w:iCs/>
          <w:sz w:val="20"/>
          <w:szCs w:val="22"/>
        </w:rPr>
        <w:t xml:space="preserve"> programming via </w:t>
      </w:r>
      <w:proofErr w:type="spellStart"/>
      <w:r w:rsidRPr="007355C9">
        <w:rPr>
          <w:rFonts w:ascii="Palatino Linotype" w:hAnsi="Palatino Linotype" w:cstheme="minorHAnsi"/>
          <w:i/>
          <w:iCs/>
          <w:sz w:val="20"/>
          <w:szCs w:val="22"/>
        </w:rPr>
        <w:t>pl-sql</w:t>
      </w:r>
      <w:proofErr w:type="spellEnd"/>
      <w:r w:rsidRPr="007355C9">
        <w:rPr>
          <w:rFonts w:ascii="Palatino Linotype" w:hAnsi="Palatino Linotype" w:cstheme="minorHAnsi"/>
          <w:i/>
          <w:iCs/>
          <w:sz w:val="20"/>
          <w:szCs w:val="22"/>
        </w:rPr>
        <w:t xml:space="preserve"> and </w:t>
      </w:r>
      <w:proofErr w:type="spellStart"/>
      <w:r w:rsidRPr="007355C9">
        <w:rPr>
          <w:rFonts w:ascii="Palatino Linotype" w:hAnsi="Palatino Linotype" w:cstheme="minorHAnsi"/>
          <w:i/>
          <w:iCs/>
          <w:sz w:val="20"/>
          <w:szCs w:val="22"/>
        </w:rPr>
        <w:t>pl</w:t>
      </w:r>
      <w:proofErr w:type="spellEnd"/>
      <w:r w:rsidRPr="007355C9">
        <w:rPr>
          <w:rFonts w:ascii="Palatino Linotype" w:hAnsi="Palatino Linotype" w:cstheme="minorHAnsi"/>
          <w:i/>
          <w:iCs/>
          <w:sz w:val="20"/>
          <w:szCs w:val="22"/>
        </w:rPr>
        <w:t xml:space="preserve">-R; Python is used to ‘wrap’ native SQL queries and make them available to the rest of the model; Python, Apache and </w:t>
      </w:r>
      <w:proofErr w:type="spellStart"/>
      <w:r w:rsidRPr="007355C9">
        <w:rPr>
          <w:rFonts w:ascii="Palatino Linotype" w:hAnsi="Palatino Linotype" w:cstheme="minorHAnsi"/>
          <w:i/>
          <w:iCs/>
          <w:sz w:val="20"/>
          <w:szCs w:val="22"/>
        </w:rPr>
        <w:t>Django</w:t>
      </w:r>
      <w:proofErr w:type="spellEnd"/>
      <w:r w:rsidRPr="007355C9">
        <w:rPr>
          <w:rFonts w:ascii="Palatino Linotype" w:hAnsi="Palatino Linotype" w:cstheme="minorHAnsi"/>
          <w:i/>
          <w:iCs/>
          <w:sz w:val="20"/>
          <w:szCs w:val="22"/>
        </w:rPr>
        <w:t xml:space="preserve"> are used for the GUI.</w:t>
      </w:r>
    </w:p>
    <w:p w:rsidR="00325912" w:rsidRPr="007355C9" w:rsidRDefault="00325912" w:rsidP="00325912">
      <w:pPr>
        <w:pStyle w:val="HELhighlightedtext"/>
        <w:spacing w:before="90"/>
        <w:rPr>
          <w:rFonts w:ascii="Palatino Linotype" w:hAnsi="Palatino Linotype" w:cstheme="minorHAnsi"/>
          <w:caps/>
          <w:sz w:val="20"/>
          <w:szCs w:val="22"/>
        </w:rPr>
      </w:pPr>
      <w:r w:rsidRPr="007355C9">
        <w:rPr>
          <w:rFonts w:ascii="Palatino Linotype" w:hAnsi="Palatino Linotype" w:cstheme="minorHAnsi"/>
          <w:caps/>
          <w:sz w:val="20"/>
          <w:szCs w:val="22"/>
        </w:rPr>
        <w:t>display / reporting</w:t>
      </w:r>
    </w:p>
    <w:p w:rsidR="00325912" w:rsidRPr="007355C9" w:rsidRDefault="00325912" w:rsidP="00325912">
      <w:pPr>
        <w:pStyle w:val="GEORGIABodyTextBullet"/>
        <w:ind w:left="0" w:firstLine="0"/>
        <w:jc w:val="both"/>
        <w:rPr>
          <w:rFonts w:ascii="Palatino Linotype" w:hAnsi="Palatino Linotype" w:cstheme="minorHAnsi"/>
          <w:i/>
          <w:iCs/>
          <w:sz w:val="20"/>
          <w:szCs w:val="22"/>
        </w:rPr>
      </w:pPr>
      <w:proofErr w:type="spellStart"/>
      <w:r w:rsidRPr="007355C9">
        <w:rPr>
          <w:rFonts w:ascii="Palatino Linotype" w:hAnsi="Palatino Linotype" w:cstheme="minorHAnsi"/>
          <w:i/>
          <w:iCs/>
          <w:sz w:val="20"/>
          <w:szCs w:val="22"/>
        </w:rPr>
        <w:t>OpenLayers</w:t>
      </w:r>
      <w:proofErr w:type="spellEnd"/>
      <w:r w:rsidRPr="007355C9">
        <w:rPr>
          <w:rFonts w:ascii="Palatino Linotype" w:hAnsi="Palatino Linotype" w:cstheme="minorHAnsi"/>
          <w:i/>
          <w:iCs/>
          <w:sz w:val="20"/>
          <w:szCs w:val="22"/>
        </w:rPr>
        <w:t xml:space="preserve"> web maps, </w:t>
      </w:r>
      <w:proofErr w:type="spellStart"/>
      <w:r w:rsidRPr="007355C9">
        <w:rPr>
          <w:rFonts w:ascii="Palatino Linotype" w:hAnsi="Palatino Linotype" w:cstheme="minorHAnsi"/>
          <w:i/>
          <w:iCs/>
          <w:sz w:val="20"/>
          <w:szCs w:val="22"/>
        </w:rPr>
        <w:t>JQuery</w:t>
      </w:r>
      <w:proofErr w:type="spellEnd"/>
      <w:r w:rsidRPr="007355C9">
        <w:rPr>
          <w:rFonts w:ascii="Palatino Linotype" w:hAnsi="Palatino Linotype" w:cstheme="minorHAnsi"/>
          <w:i/>
          <w:iCs/>
          <w:sz w:val="20"/>
          <w:szCs w:val="22"/>
        </w:rPr>
        <w:t xml:space="preserve"> and </w:t>
      </w:r>
      <w:proofErr w:type="spellStart"/>
      <w:r w:rsidRPr="007355C9">
        <w:rPr>
          <w:rFonts w:ascii="Palatino Linotype" w:hAnsi="Palatino Linotype" w:cstheme="minorHAnsi"/>
          <w:i/>
          <w:iCs/>
          <w:sz w:val="20"/>
          <w:szCs w:val="22"/>
        </w:rPr>
        <w:t>Highcharts</w:t>
      </w:r>
      <w:proofErr w:type="spellEnd"/>
      <w:r w:rsidRPr="007355C9">
        <w:rPr>
          <w:rFonts w:ascii="Palatino Linotype" w:hAnsi="Palatino Linotype" w:cstheme="minorHAnsi"/>
          <w:i/>
          <w:iCs/>
          <w:sz w:val="20"/>
          <w:szCs w:val="22"/>
        </w:rPr>
        <w:t xml:space="preserve">. </w:t>
      </w:r>
      <w:proofErr w:type="spellStart"/>
      <w:r w:rsidRPr="007355C9">
        <w:rPr>
          <w:rFonts w:ascii="Palatino Linotype" w:hAnsi="Palatino Linotype" w:cstheme="minorHAnsi"/>
          <w:i/>
          <w:iCs/>
          <w:sz w:val="20"/>
          <w:szCs w:val="22"/>
        </w:rPr>
        <w:t>OpenLayers</w:t>
      </w:r>
      <w:proofErr w:type="spellEnd"/>
      <w:r w:rsidRPr="007355C9">
        <w:rPr>
          <w:rFonts w:ascii="Palatino Linotype" w:hAnsi="Palatino Linotype" w:cstheme="minorHAnsi"/>
          <w:i/>
          <w:iCs/>
          <w:sz w:val="20"/>
          <w:szCs w:val="22"/>
        </w:rPr>
        <w:t xml:space="preserve"> serves base data from multiple sources, such as </w:t>
      </w:r>
      <w:proofErr w:type="spellStart"/>
      <w:r w:rsidRPr="007355C9">
        <w:rPr>
          <w:rFonts w:ascii="Palatino Linotype" w:hAnsi="Palatino Linotype" w:cstheme="minorHAnsi"/>
          <w:i/>
          <w:iCs/>
          <w:sz w:val="20"/>
          <w:szCs w:val="22"/>
        </w:rPr>
        <w:t>OpenStreetMap</w:t>
      </w:r>
      <w:proofErr w:type="spellEnd"/>
      <w:r w:rsidRPr="007355C9">
        <w:rPr>
          <w:rFonts w:ascii="Palatino Linotype" w:hAnsi="Palatino Linotype" w:cstheme="minorHAnsi"/>
          <w:i/>
          <w:iCs/>
          <w:sz w:val="20"/>
          <w:szCs w:val="22"/>
        </w:rPr>
        <w:t xml:space="preserve">, Bing, or Google Maps; </w:t>
      </w:r>
      <w:proofErr w:type="spellStart"/>
      <w:r w:rsidRPr="007355C9">
        <w:rPr>
          <w:rFonts w:ascii="Palatino Linotype" w:hAnsi="Palatino Linotype" w:cstheme="minorHAnsi"/>
          <w:i/>
          <w:iCs/>
          <w:sz w:val="20"/>
          <w:szCs w:val="22"/>
        </w:rPr>
        <w:t>Highcharts</w:t>
      </w:r>
      <w:proofErr w:type="spellEnd"/>
      <w:r w:rsidRPr="007355C9">
        <w:rPr>
          <w:rFonts w:ascii="Palatino Linotype" w:hAnsi="Palatino Linotype" w:cstheme="minorHAnsi"/>
          <w:i/>
          <w:iCs/>
          <w:sz w:val="20"/>
          <w:szCs w:val="22"/>
        </w:rPr>
        <w:t xml:space="preserve"> allows results to be displayed using a wide selection of high-performance interactive charts and graphs. </w:t>
      </w:r>
    </w:p>
    <w:p w:rsidR="00325912" w:rsidRPr="007355C9" w:rsidRDefault="00325912" w:rsidP="00325912">
      <w:pPr>
        <w:pStyle w:val="HELhighlightedtext"/>
        <w:spacing w:before="90"/>
        <w:rPr>
          <w:rFonts w:ascii="Palatino Linotype" w:hAnsi="Palatino Linotype" w:cstheme="minorHAnsi"/>
          <w:caps/>
          <w:sz w:val="20"/>
          <w:szCs w:val="22"/>
        </w:rPr>
      </w:pPr>
      <w:r w:rsidRPr="007355C9">
        <w:rPr>
          <w:rFonts w:ascii="Palatino Linotype" w:hAnsi="Palatino Linotype" w:cstheme="minorHAnsi"/>
          <w:caps/>
          <w:sz w:val="20"/>
          <w:szCs w:val="22"/>
        </w:rPr>
        <w:t>spatial data visualization</w:t>
      </w:r>
    </w:p>
    <w:p w:rsidR="00325912" w:rsidRPr="007355C9" w:rsidRDefault="00325912" w:rsidP="00325912">
      <w:pPr>
        <w:pStyle w:val="GEORGIABodyTextBullet"/>
        <w:ind w:left="0" w:firstLine="0"/>
        <w:jc w:val="both"/>
        <w:rPr>
          <w:rFonts w:ascii="Palatino Linotype" w:hAnsi="Palatino Linotype" w:cstheme="minorHAnsi"/>
          <w:i/>
          <w:iCs/>
          <w:sz w:val="20"/>
          <w:szCs w:val="22"/>
        </w:rPr>
      </w:pPr>
      <w:proofErr w:type="spellStart"/>
      <w:r w:rsidRPr="007355C9">
        <w:rPr>
          <w:rFonts w:ascii="Palatino Linotype" w:hAnsi="Palatino Linotype" w:cstheme="minorHAnsi"/>
          <w:i/>
          <w:iCs/>
          <w:sz w:val="20"/>
          <w:szCs w:val="22"/>
        </w:rPr>
        <w:t>Geoserver</w:t>
      </w:r>
      <w:proofErr w:type="spellEnd"/>
      <w:r w:rsidRPr="007355C9">
        <w:rPr>
          <w:rFonts w:ascii="Palatino Linotype" w:hAnsi="Palatino Linotype" w:cstheme="minorHAnsi"/>
          <w:i/>
          <w:iCs/>
          <w:sz w:val="20"/>
          <w:szCs w:val="22"/>
        </w:rPr>
        <w:t xml:space="preserve"> serves geographic data layers to the user interface via the web. Advanced users can access data in almost every industry standard format in use today, with options for granular security, custom data and performance enhancements.</w:t>
      </w:r>
    </w:p>
    <w:p w:rsidR="00325912" w:rsidRPr="00B866D9" w:rsidRDefault="00325912">
      <w:pPr>
        <w:rPr>
          <w:rFonts w:ascii="Palatino Linotype" w:hAnsi="Palatino Linotype" w:cstheme="minorHAnsi"/>
          <w:i/>
          <w:iCs/>
          <w:color w:val="000000"/>
          <w:sz w:val="24"/>
          <w:szCs w:val="24"/>
        </w:rPr>
      </w:pPr>
      <w:r w:rsidRPr="00B866D9">
        <w:rPr>
          <w:rFonts w:ascii="Palatino Linotype" w:hAnsi="Palatino Linotype" w:cstheme="minorHAnsi"/>
          <w:i/>
          <w:iCs/>
          <w:sz w:val="24"/>
          <w:szCs w:val="24"/>
        </w:rPr>
        <w:br w:type="page"/>
      </w:r>
    </w:p>
    <w:p w:rsidR="00325912" w:rsidRPr="00B866D9" w:rsidRDefault="00325912" w:rsidP="00E83F36">
      <w:pPr>
        <w:pStyle w:val="Heading1"/>
      </w:pPr>
      <w:r w:rsidRPr="00B866D9">
        <w:lastRenderedPageBreak/>
        <w:t>Base Data Loading</w:t>
      </w:r>
    </w:p>
    <w:p w:rsidR="00325912" w:rsidRPr="00B866D9" w:rsidRDefault="00325912" w:rsidP="00325912">
      <w:pPr>
        <w:pStyle w:val="GEORGIABodyText"/>
        <w:rPr>
          <w:rFonts w:ascii="Palatino Linotype" w:hAnsi="Palatino Linotype" w:cstheme="minorHAnsi"/>
          <w:sz w:val="24"/>
          <w:szCs w:val="24"/>
        </w:rPr>
      </w:pPr>
      <w:r w:rsidRPr="00B866D9">
        <w:rPr>
          <w:rFonts w:ascii="Palatino Linotype" w:hAnsi="Palatino Linotype" w:cstheme="minorHAnsi"/>
          <w:sz w:val="24"/>
          <w:szCs w:val="24"/>
        </w:rPr>
        <w:t xml:space="preserve">Scenarios are built upon a base-year grid that describes the existing environment. This highly detailed “canvas” of data constitutes a baseline assessment of land use, demographic characteristics, and other conditions, providing the context for scenario painting and the foundation for analysis by the various model engines. </w:t>
      </w:r>
    </w:p>
    <w:p w:rsidR="00325912" w:rsidRPr="00B866D9" w:rsidRDefault="00325912" w:rsidP="00325912">
      <w:pPr>
        <w:pStyle w:val="GEORGIABodyTextBullet"/>
        <w:ind w:left="0" w:firstLine="0"/>
        <w:jc w:val="both"/>
        <w:rPr>
          <w:rFonts w:ascii="Palatino Linotype" w:hAnsi="Palatino Linotype" w:cstheme="minorHAnsi"/>
          <w:sz w:val="24"/>
          <w:szCs w:val="24"/>
        </w:rPr>
      </w:pPr>
      <w:proofErr w:type="spellStart"/>
      <w:r w:rsidRPr="00B866D9">
        <w:rPr>
          <w:rFonts w:ascii="Palatino Linotype" w:hAnsi="Palatino Linotype" w:cstheme="minorHAnsi"/>
          <w:sz w:val="24"/>
          <w:szCs w:val="24"/>
        </w:rPr>
        <w:t>UrbanFootprint</w:t>
      </w:r>
      <w:proofErr w:type="spellEnd"/>
      <w:r w:rsidRPr="00B866D9">
        <w:rPr>
          <w:rFonts w:ascii="Palatino Linotype" w:hAnsi="Palatino Linotype" w:cstheme="minorHAnsi"/>
          <w:sz w:val="24"/>
          <w:szCs w:val="24"/>
        </w:rPr>
        <w:t xml:space="preserve"> uses a series of scripts to normalize data of varying quality, type, and scale from a wide range of sources and import them into the model analysis grid. As described in the graphics below, the base loading process brings a range of data types together into the model’s 5.5 acre (150 meter x 150 meter) grid, including:  land cover and environmental features data; parcel-based data on housing, employment, and population; Census population, housing, and jobs characteristics; control total data from MPOs or other agencies, generally at the traffic analysis zone (TAZ) resolution; and roadway and transit data. The following pages describe the loading process for each of these data categories in more detail.</w:t>
      </w:r>
    </w:p>
    <w:p w:rsidR="00325912" w:rsidRPr="00B866D9" w:rsidRDefault="00325912" w:rsidP="00325912">
      <w:pPr>
        <w:pStyle w:val="GEORGIABodyTextBullet"/>
        <w:ind w:left="0" w:firstLine="0"/>
        <w:jc w:val="both"/>
        <w:rPr>
          <w:rFonts w:ascii="Palatino Linotype" w:hAnsi="Palatino Linotype" w:cstheme="minorHAnsi"/>
          <w:sz w:val="24"/>
          <w:szCs w:val="24"/>
        </w:rPr>
      </w:pPr>
    </w:p>
    <w:p w:rsidR="00325912" w:rsidRDefault="00325912" w:rsidP="00325912">
      <w:pPr>
        <w:pStyle w:val="HELCaption"/>
        <w:rPr>
          <w:rFonts w:ascii="Palatino Linotype" w:hAnsi="Palatino Linotype" w:cstheme="minorHAnsi"/>
          <w:sz w:val="24"/>
          <w:szCs w:val="24"/>
        </w:rPr>
      </w:pPr>
      <w:r w:rsidRPr="00B866D9">
        <w:rPr>
          <w:rFonts w:ascii="Palatino Linotype" w:hAnsi="Palatino Linotype" w:cstheme="minorHAnsi"/>
          <w:sz w:val="24"/>
          <w:szCs w:val="24"/>
        </w:rPr>
        <w:t>[</w:t>
      </w:r>
      <w:proofErr w:type="gramStart"/>
      <w:r w:rsidRPr="00B866D9">
        <w:rPr>
          <w:rFonts w:ascii="Palatino Linotype" w:hAnsi="Palatino Linotype" w:cstheme="minorHAnsi"/>
          <w:sz w:val="24"/>
          <w:szCs w:val="24"/>
        </w:rPr>
        <w:t>caption</w:t>
      </w:r>
      <w:proofErr w:type="gramEnd"/>
      <w:r w:rsidRPr="00B866D9">
        <w:rPr>
          <w:rFonts w:ascii="Palatino Linotype" w:hAnsi="Palatino Linotype" w:cstheme="minorHAnsi"/>
          <w:sz w:val="24"/>
          <w:szCs w:val="24"/>
        </w:rPr>
        <w:t xml:space="preserve">] </w:t>
      </w:r>
      <w:proofErr w:type="spellStart"/>
      <w:r w:rsidRPr="00B866D9">
        <w:rPr>
          <w:rFonts w:ascii="Palatino Linotype" w:hAnsi="Palatino Linotype" w:cstheme="minorHAnsi"/>
          <w:sz w:val="24"/>
          <w:szCs w:val="24"/>
        </w:rPr>
        <w:t>UrbanFootprint</w:t>
      </w:r>
      <w:proofErr w:type="spellEnd"/>
      <w:r w:rsidRPr="00B866D9">
        <w:rPr>
          <w:rFonts w:ascii="Palatino Linotype" w:hAnsi="Palatino Linotype" w:cstheme="minorHAnsi"/>
          <w:sz w:val="24"/>
          <w:szCs w:val="24"/>
        </w:rPr>
        <w:t xml:space="preserve"> streamlines the development of the base data ‘canvas’ through scripts and processes that draw from diverse data types and sources. Data from the categories above are collected and processed via the general steps outlined in the flow chart.</w:t>
      </w:r>
    </w:p>
    <w:p w:rsidR="00E83F36" w:rsidRPr="00B866D9" w:rsidRDefault="00E83F36" w:rsidP="00325912">
      <w:pPr>
        <w:pStyle w:val="HELCaption"/>
        <w:rPr>
          <w:rFonts w:ascii="Palatino Linotype" w:hAnsi="Palatino Linotype" w:cstheme="minorHAnsi"/>
          <w:sz w:val="24"/>
          <w:szCs w:val="24"/>
        </w:rPr>
      </w:pPr>
      <w:r>
        <w:rPr>
          <w:rFonts w:ascii="Palatino Linotype" w:hAnsi="Palatino Linotype" w:cstheme="minorHAnsi"/>
          <w:sz w:val="24"/>
          <w:szCs w:val="24"/>
        </w:rPr>
        <w:t>[</w:t>
      </w:r>
      <w:proofErr w:type="gramStart"/>
      <w:r>
        <w:rPr>
          <w:rFonts w:ascii="Palatino Linotype" w:hAnsi="Palatino Linotype" w:cstheme="minorHAnsi"/>
          <w:sz w:val="24"/>
          <w:szCs w:val="24"/>
        </w:rPr>
        <w:t>diagram</w:t>
      </w:r>
      <w:proofErr w:type="gramEnd"/>
      <w:r>
        <w:rPr>
          <w:rFonts w:ascii="Palatino Linotype" w:hAnsi="Palatino Linotype" w:cstheme="minorHAnsi"/>
          <w:sz w:val="24"/>
          <w:szCs w:val="24"/>
        </w:rPr>
        <w:t>]</w:t>
      </w:r>
    </w:p>
    <w:p w:rsidR="00325912" w:rsidRPr="00B866D9" w:rsidRDefault="00325912">
      <w:pPr>
        <w:rPr>
          <w:rFonts w:ascii="Palatino Linotype" w:hAnsi="Palatino Linotype" w:cstheme="minorHAnsi"/>
          <w:i/>
          <w:iCs/>
          <w:color w:val="000000"/>
          <w:sz w:val="24"/>
          <w:szCs w:val="24"/>
        </w:rPr>
      </w:pPr>
      <w:r w:rsidRPr="00B866D9">
        <w:rPr>
          <w:rFonts w:ascii="Palatino Linotype" w:hAnsi="Palatino Linotype" w:cstheme="minorHAnsi"/>
          <w:i/>
          <w:iCs/>
          <w:sz w:val="24"/>
          <w:szCs w:val="24"/>
        </w:rPr>
        <w:br w:type="page"/>
      </w:r>
    </w:p>
    <w:p w:rsidR="00325912" w:rsidRPr="00E83F36" w:rsidRDefault="00E83F36" w:rsidP="00E83F36">
      <w:pPr>
        <w:pStyle w:val="HELParagraphHeading"/>
        <w:spacing w:after="0"/>
        <w:jc w:val="left"/>
        <w:rPr>
          <w:rFonts w:ascii="Palatino Linotype" w:hAnsi="Palatino Linotype" w:cstheme="minorHAnsi"/>
          <w:sz w:val="24"/>
          <w:szCs w:val="24"/>
          <w:u w:val="single"/>
        </w:rPr>
      </w:pPr>
      <w:r w:rsidRPr="00E83F36">
        <w:rPr>
          <w:rFonts w:ascii="Palatino Linotype" w:hAnsi="Palatino Linotype" w:cstheme="minorHAnsi"/>
          <w:sz w:val="24"/>
          <w:szCs w:val="24"/>
          <w:u w:val="single"/>
        </w:rPr>
        <w:lastRenderedPageBreak/>
        <w:t xml:space="preserve">Land Cover and </w:t>
      </w:r>
      <w:r w:rsidR="00325912" w:rsidRPr="00E83F36">
        <w:rPr>
          <w:rFonts w:ascii="Palatino Linotype" w:hAnsi="Palatino Linotype" w:cstheme="minorHAnsi"/>
          <w:sz w:val="24"/>
          <w:szCs w:val="24"/>
          <w:u w:val="single"/>
        </w:rPr>
        <w:t>Environmental Data</w:t>
      </w:r>
    </w:p>
    <w:p w:rsidR="00325912" w:rsidRPr="00B866D9" w:rsidRDefault="00325912" w:rsidP="00325912">
      <w:pPr>
        <w:pStyle w:val="GEORGIABodyText"/>
        <w:rPr>
          <w:rFonts w:ascii="Palatino Linotype" w:hAnsi="Palatino Linotype" w:cstheme="minorHAnsi"/>
          <w:sz w:val="24"/>
          <w:szCs w:val="24"/>
        </w:rPr>
      </w:pPr>
      <w:proofErr w:type="spellStart"/>
      <w:r w:rsidRPr="00B866D9">
        <w:rPr>
          <w:rFonts w:ascii="Palatino Linotype" w:hAnsi="Palatino Linotype" w:cstheme="minorHAnsi"/>
          <w:sz w:val="24"/>
          <w:szCs w:val="24"/>
        </w:rPr>
        <w:t>UrbanFootprint</w:t>
      </w:r>
      <w:proofErr w:type="spellEnd"/>
      <w:r w:rsidRPr="00B866D9">
        <w:rPr>
          <w:rFonts w:ascii="Palatino Linotype" w:hAnsi="Palatino Linotype" w:cstheme="minorHAnsi"/>
          <w:sz w:val="24"/>
          <w:szCs w:val="24"/>
        </w:rPr>
        <w:t xml:space="preserve"> classifies the landscape into three broad land type categories: urban, </w:t>
      </w:r>
      <w:proofErr w:type="gramStart"/>
      <w:r w:rsidRPr="00B866D9">
        <w:rPr>
          <w:rFonts w:ascii="Palatino Linotype" w:hAnsi="Palatino Linotype" w:cstheme="minorHAnsi"/>
          <w:sz w:val="24"/>
          <w:szCs w:val="24"/>
        </w:rPr>
        <w:t>greenfield</w:t>
      </w:r>
      <w:proofErr w:type="gramEnd"/>
      <w:r w:rsidRPr="00B866D9">
        <w:rPr>
          <w:rFonts w:ascii="Palatino Linotype" w:hAnsi="Palatino Linotype" w:cstheme="minorHAnsi"/>
          <w:sz w:val="24"/>
          <w:szCs w:val="24"/>
        </w:rPr>
        <w:t xml:space="preserve"> or constrained. Urban land includes lands that have already been urbanized. Constrained land includes water and lands legally protected from development. Greenfield land includes all other non-urban developable areas. In California, the primary dataset used to classify land as either urban or </w:t>
      </w:r>
      <w:proofErr w:type="gramStart"/>
      <w:r w:rsidRPr="00B866D9">
        <w:rPr>
          <w:rFonts w:ascii="Palatino Linotype" w:hAnsi="Palatino Linotype" w:cstheme="minorHAnsi"/>
          <w:sz w:val="24"/>
          <w:szCs w:val="24"/>
        </w:rPr>
        <w:t>greenfield</w:t>
      </w:r>
      <w:proofErr w:type="gramEnd"/>
      <w:r w:rsidRPr="00B866D9">
        <w:rPr>
          <w:rFonts w:ascii="Palatino Linotype" w:hAnsi="Palatino Linotype" w:cstheme="minorHAnsi"/>
          <w:sz w:val="24"/>
          <w:szCs w:val="24"/>
        </w:rPr>
        <w:t xml:space="preserve"> is the California Farmland Mapping and Monitoring Program (FMMP) dataset; greenfield data is further classified by the sub-categories in the FMMP dataset. Constrained lands include protected areas defined by the California Protected Areas Database (CPAD) dataset, as well as water bodies as defined by a combination of: the California Spatial Information Library (CASIL) ‘Polygon Hydrologic Features’ dataset; the water features contained in the FMMP dataset; and the Tele-Atlas North America (TANA) ‘U.S. and Canada Water Polygons’ dataset.</w:t>
      </w:r>
    </w:p>
    <w:p w:rsidR="00325912" w:rsidRPr="00B866D9" w:rsidRDefault="00325912" w:rsidP="00325912">
      <w:pPr>
        <w:pStyle w:val="HELCaption"/>
        <w:rPr>
          <w:rFonts w:ascii="Palatino Linotype" w:hAnsi="Palatino Linotype" w:cstheme="minorHAnsi"/>
          <w:sz w:val="24"/>
          <w:szCs w:val="24"/>
        </w:rPr>
      </w:pPr>
      <w:r w:rsidRPr="00B866D9">
        <w:rPr>
          <w:rFonts w:ascii="Palatino Linotype" w:hAnsi="Palatino Linotype" w:cstheme="minorHAnsi"/>
          <w:sz w:val="24"/>
          <w:szCs w:val="24"/>
        </w:rPr>
        <w:t>[</w:t>
      </w:r>
      <w:proofErr w:type="gramStart"/>
      <w:r w:rsidRPr="00B866D9">
        <w:rPr>
          <w:rFonts w:ascii="Palatino Linotype" w:hAnsi="Palatino Linotype" w:cstheme="minorHAnsi"/>
          <w:sz w:val="24"/>
          <w:szCs w:val="24"/>
        </w:rPr>
        <w:t>caption</w:t>
      </w:r>
      <w:proofErr w:type="gramEnd"/>
      <w:r w:rsidRPr="00B866D9">
        <w:rPr>
          <w:rFonts w:ascii="Palatino Linotype" w:hAnsi="Palatino Linotype" w:cstheme="minorHAnsi"/>
          <w:sz w:val="24"/>
          <w:szCs w:val="24"/>
        </w:rPr>
        <w:t xml:space="preserve">] The California Farmland Mapping and Monitoring Program (FMMP) dataset is used to identify urban and </w:t>
      </w:r>
      <w:proofErr w:type="gramStart"/>
      <w:r w:rsidRPr="00B866D9">
        <w:rPr>
          <w:rFonts w:ascii="Palatino Linotype" w:hAnsi="Palatino Linotype" w:cstheme="minorHAnsi"/>
          <w:sz w:val="24"/>
          <w:szCs w:val="24"/>
        </w:rPr>
        <w:t>greenfield</w:t>
      </w:r>
      <w:proofErr w:type="gramEnd"/>
      <w:r w:rsidRPr="00B866D9">
        <w:rPr>
          <w:rFonts w:ascii="Palatino Linotype" w:hAnsi="Palatino Linotype" w:cstheme="minorHAnsi"/>
          <w:sz w:val="24"/>
          <w:szCs w:val="24"/>
        </w:rPr>
        <w:t xml:space="preserve"> lands, as well as specific categories of agricultural land. Other sources, such as the California Protected Areas Database (CPAD) dataset, are used to identify environmentally constrained land.</w:t>
      </w:r>
    </w:p>
    <w:p w:rsidR="00325912" w:rsidRPr="00E83F36" w:rsidRDefault="00325912" w:rsidP="00325912">
      <w:pPr>
        <w:pStyle w:val="HELParagraphHeading"/>
        <w:spacing w:after="0"/>
        <w:jc w:val="left"/>
        <w:rPr>
          <w:rFonts w:ascii="Palatino Linotype" w:hAnsi="Palatino Linotype" w:cstheme="minorHAnsi"/>
          <w:sz w:val="24"/>
          <w:szCs w:val="24"/>
          <w:u w:val="single"/>
        </w:rPr>
      </w:pPr>
      <w:r w:rsidRPr="00E83F36">
        <w:rPr>
          <w:rFonts w:ascii="Palatino Linotype" w:hAnsi="Palatino Linotype" w:cstheme="minorHAnsi"/>
          <w:sz w:val="24"/>
          <w:szCs w:val="24"/>
          <w:u w:val="single"/>
        </w:rPr>
        <w:t>Parcel Data</w:t>
      </w:r>
    </w:p>
    <w:p w:rsidR="00325912" w:rsidRPr="00B866D9" w:rsidRDefault="00325912" w:rsidP="00325912">
      <w:pPr>
        <w:pStyle w:val="GEORGIABodyText"/>
        <w:rPr>
          <w:rFonts w:ascii="Palatino Linotype" w:hAnsi="Palatino Linotype" w:cstheme="minorHAnsi"/>
          <w:sz w:val="24"/>
          <w:szCs w:val="24"/>
        </w:rPr>
      </w:pPr>
      <w:r w:rsidRPr="00B866D9">
        <w:rPr>
          <w:rFonts w:ascii="Palatino Linotype" w:hAnsi="Palatino Linotype" w:cstheme="minorHAnsi"/>
          <w:sz w:val="24"/>
          <w:szCs w:val="24"/>
        </w:rPr>
        <w:t xml:space="preserve">Assessor’s tax parcel data (cadastral data) is used as the finest grain of geographical resolution to which data is assigned in </w:t>
      </w:r>
      <w:proofErr w:type="spellStart"/>
      <w:r w:rsidRPr="00B866D9">
        <w:rPr>
          <w:rFonts w:ascii="Palatino Linotype" w:hAnsi="Palatino Linotype" w:cstheme="minorHAnsi"/>
          <w:sz w:val="24"/>
          <w:szCs w:val="24"/>
        </w:rPr>
        <w:t>UrbanFootprint’s</w:t>
      </w:r>
      <w:proofErr w:type="spellEnd"/>
      <w:r w:rsidRPr="00B866D9">
        <w:rPr>
          <w:rFonts w:ascii="Palatino Linotype" w:hAnsi="Palatino Linotype" w:cstheme="minorHAnsi"/>
          <w:sz w:val="24"/>
          <w:szCs w:val="24"/>
        </w:rPr>
        <w:t xml:space="preserve"> base data loading process. The existing land use attribute of each parcel is used as the basis for allocating dwelling units and employees, as well as assessing lot coverage for the purposes of energy use, water consumption, and other analyses.</w:t>
      </w:r>
    </w:p>
    <w:p w:rsidR="00325912" w:rsidRPr="00B866D9" w:rsidRDefault="00325912" w:rsidP="00325912">
      <w:pPr>
        <w:pStyle w:val="HELCaption"/>
        <w:rPr>
          <w:rFonts w:ascii="Palatino Linotype" w:hAnsi="Palatino Linotype" w:cstheme="minorHAnsi"/>
          <w:sz w:val="24"/>
          <w:szCs w:val="24"/>
        </w:rPr>
      </w:pPr>
      <w:r w:rsidRPr="00B866D9">
        <w:rPr>
          <w:rFonts w:ascii="Palatino Linotype" w:hAnsi="Palatino Linotype" w:cstheme="minorHAnsi"/>
          <w:sz w:val="24"/>
          <w:szCs w:val="24"/>
        </w:rPr>
        <w:t>[</w:t>
      </w:r>
      <w:proofErr w:type="gramStart"/>
      <w:r w:rsidRPr="00B866D9">
        <w:rPr>
          <w:rFonts w:ascii="Palatino Linotype" w:hAnsi="Palatino Linotype" w:cstheme="minorHAnsi"/>
          <w:sz w:val="24"/>
          <w:szCs w:val="24"/>
        </w:rPr>
        <w:t>caption</w:t>
      </w:r>
      <w:proofErr w:type="gramEnd"/>
      <w:r w:rsidRPr="00B866D9">
        <w:rPr>
          <w:rFonts w:ascii="Palatino Linotype" w:hAnsi="Palatino Linotype" w:cstheme="minorHAnsi"/>
          <w:sz w:val="24"/>
          <w:szCs w:val="24"/>
        </w:rPr>
        <w:t>] Parcel data is collected from state, regional, and local sources, including county assessor and commercial parcel databases. In this example, demographics and control totals are processed from traffic analysis zones (TAZs), attributed to appropriate land uses, and then distributed onto the landscape into parcels.</w:t>
      </w:r>
    </w:p>
    <w:p w:rsidR="00BB6572" w:rsidRPr="00B866D9" w:rsidRDefault="00BB6572">
      <w:pPr>
        <w:rPr>
          <w:rFonts w:ascii="Palatino Linotype" w:hAnsi="Palatino Linotype" w:cstheme="minorHAnsi"/>
          <w:color w:val="000000"/>
          <w:sz w:val="24"/>
          <w:szCs w:val="24"/>
        </w:rPr>
      </w:pPr>
      <w:r w:rsidRPr="00B866D9">
        <w:rPr>
          <w:rFonts w:ascii="Palatino Linotype" w:hAnsi="Palatino Linotype" w:cstheme="minorHAnsi"/>
          <w:sz w:val="24"/>
          <w:szCs w:val="24"/>
        </w:rPr>
        <w:br w:type="page"/>
      </w:r>
    </w:p>
    <w:p w:rsidR="00BB6572" w:rsidRPr="00E83F36" w:rsidRDefault="00E83F36" w:rsidP="00E83F36">
      <w:pPr>
        <w:pStyle w:val="HELParagraphHeading"/>
        <w:spacing w:after="0"/>
        <w:jc w:val="left"/>
        <w:rPr>
          <w:rFonts w:ascii="Palatino Linotype" w:hAnsi="Palatino Linotype" w:cstheme="minorHAnsi"/>
          <w:sz w:val="24"/>
          <w:szCs w:val="24"/>
          <w:u w:val="single"/>
        </w:rPr>
      </w:pPr>
      <w:r w:rsidRPr="00E83F36">
        <w:rPr>
          <w:rFonts w:ascii="Palatino Linotype" w:hAnsi="Palatino Linotype" w:cstheme="minorHAnsi"/>
          <w:sz w:val="24"/>
          <w:szCs w:val="24"/>
          <w:u w:val="single"/>
        </w:rPr>
        <w:lastRenderedPageBreak/>
        <w:t xml:space="preserve">Transportation </w:t>
      </w:r>
      <w:r w:rsidR="00BB6572" w:rsidRPr="00E83F36">
        <w:rPr>
          <w:rFonts w:ascii="Palatino Linotype" w:hAnsi="Palatino Linotype" w:cstheme="minorHAnsi"/>
          <w:sz w:val="24"/>
          <w:szCs w:val="24"/>
          <w:u w:val="single"/>
        </w:rPr>
        <w:t>Features</w:t>
      </w:r>
    </w:p>
    <w:p w:rsidR="00BB6572" w:rsidRPr="00B866D9" w:rsidRDefault="00BB6572" w:rsidP="00BB6572">
      <w:pPr>
        <w:pStyle w:val="GEORGIABodyText"/>
        <w:rPr>
          <w:rFonts w:ascii="Palatino Linotype" w:hAnsi="Palatino Linotype" w:cstheme="minorHAnsi"/>
          <w:sz w:val="24"/>
          <w:szCs w:val="24"/>
        </w:rPr>
      </w:pPr>
      <w:r w:rsidRPr="00B866D9">
        <w:rPr>
          <w:rFonts w:ascii="Palatino Linotype" w:hAnsi="Palatino Linotype" w:cstheme="minorHAnsi"/>
          <w:sz w:val="24"/>
          <w:szCs w:val="24"/>
        </w:rPr>
        <w:t>Every grid cell is assigned a distance to the nearest passenger rail or other fixed-</w:t>
      </w:r>
      <w:proofErr w:type="spellStart"/>
      <w:r w:rsidRPr="00B866D9">
        <w:rPr>
          <w:rFonts w:ascii="Palatino Linotype" w:hAnsi="Palatino Linotype" w:cstheme="minorHAnsi"/>
          <w:sz w:val="24"/>
          <w:szCs w:val="24"/>
        </w:rPr>
        <w:t>guideway</w:t>
      </w:r>
      <w:proofErr w:type="spellEnd"/>
      <w:r w:rsidRPr="00B866D9">
        <w:rPr>
          <w:rFonts w:ascii="Palatino Linotype" w:hAnsi="Palatino Linotype" w:cstheme="minorHAnsi"/>
          <w:sz w:val="24"/>
          <w:szCs w:val="24"/>
        </w:rPr>
        <w:t xml:space="preserve"> transit stop. This information is used by many of </w:t>
      </w:r>
      <w:proofErr w:type="spellStart"/>
      <w:r w:rsidRPr="00B866D9">
        <w:rPr>
          <w:rFonts w:ascii="Palatino Linotype" w:hAnsi="Palatino Linotype" w:cstheme="minorHAnsi"/>
          <w:sz w:val="24"/>
          <w:szCs w:val="24"/>
        </w:rPr>
        <w:t>UrbanFootprint’s</w:t>
      </w:r>
      <w:proofErr w:type="spellEnd"/>
      <w:r w:rsidRPr="00B866D9">
        <w:rPr>
          <w:rFonts w:ascii="Palatino Linotype" w:hAnsi="Palatino Linotype" w:cstheme="minorHAnsi"/>
          <w:sz w:val="24"/>
          <w:szCs w:val="24"/>
        </w:rPr>
        <w:t xml:space="preserve"> engines, including travel and public health. A dataset of street intersections, which is critical for Place Type translation, travel, public health and other </w:t>
      </w:r>
      <w:proofErr w:type="spellStart"/>
      <w:r w:rsidRPr="00B866D9">
        <w:rPr>
          <w:rFonts w:ascii="Palatino Linotype" w:hAnsi="Palatino Linotype" w:cstheme="minorHAnsi"/>
          <w:sz w:val="24"/>
          <w:szCs w:val="24"/>
        </w:rPr>
        <w:t>UrbanFootprint</w:t>
      </w:r>
      <w:proofErr w:type="spellEnd"/>
      <w:r w:rsidRPr="00B866D9">
        <w:rPr>
          <w:rFonts w:ascii="Palatino Linotype" w:hAnsi="Palatino Linotype" w:cstheme="minorHAnsi"/>
          <w:sz w:val="24"/>
          <w:szCs w:val="24"/>
        </w:rPr>
        <w:t xml:space="preserve"> functions, was produced using street centerline data from Census Topologically Integrated Geographic Encoding and Referencing (TIGER) data.</w:t>
      </w:r>
    </w:p>
    <w:p w:rsidR="00BB6572" w:rsidRPr="00B866D9" w:rsidRDefault="00BB6572" w:rsidP="00BB6572">
      <w:pPr>
        <w:pStyle w:val="HELCaption"/>
        <w:rPr>
          <w:rFonts w:ascii="Palatino Linotype" w:hAnsi="Palatino Linotype" w:cstheme="minorHAnsi"/>
          <w:sz w:val="24"/>
          <w:szCs w:val="24"/>
        </w:rPr>
      </w:pPr>
      <w:r w:rsidRPr="00B866D9">
        <w:rPr>
          <w:rFonts w:ascii="Palatino Linotype" w:hAnsi="Palatino Linotype" w:cstheme="minorHAnsi"/>
          <w:sz w:val="24"/>
          <w:szCs w:val="24"/>
        </w:rPr>
        <w:t>[</w:t>
      </w:r>
      <w:proofErr w:type="gramStart"/>
      <w:r w:rsidRPr="00B866D9">
        <w:rPr>
          <w:rFonts w:ascii="Palatino Linotype" w:hAnsi="Palatino Linotype" w:cstheme="minorHAnsi"/>
          <w:sz w:val="24"/>
          <w:szCs w:val="24"/>
        </w:rPr>
        <w:t>caption</w:t>
      </w:r>
      <w:proofErr w:type="gramEnd"/>
      <w:r w:rsidRPr="00B866D9">
        <w:rPr>
          <w:rFonts w:ascii="Palatino Linotype" w:hAnsi="Palatino Linotype" w:cstheme="minorHAnsi"/>
          <w:sz w:val="24"/>
          <w:szCs w:val="24"/>
        </w:rPr>
        <w:t xml:space="preserve">] Intersection density and transit proximity are two critical components of the base environment in </w:t>
      </w:r>
      <w:proofErr w:type="spellStart"/>
      <w:r w:rsidRPr="00B866D9">
        <w:rPr>
          <w:rFonts w:ascii="Palatino Linotype" w:hAnsi="Palatino Linotype" w:cstheme="minorHAnsi"/>
          <w:sz w:val="24"/>
          <w:szCs w:val="24"/>
        </w:rPr>
        <w:t>UrbanFootprint</w:t>
      </w:r>
      <w:proofErr w:type="spellEnd"/>
      <w:r w:rsidRPr="00B866D9">
        <w:rPr>
          <w:rFonts w:ascii="Palatino Linotype" w:hAnsi="Palatino Linotype" w:cstheme="minorHAnsi"/>
          <w:sz w:val="24"/>
          <w:szCs w:val="24"/>
        </w:rPr>
        <w:t>.</w:t>
      </w:r>
    </w:p>
    <w:p w:rsidR="00E83F36" w:rsidRDefault="00E83F36" w:rsidP="00BB6572">
      <w:pPr>
        <w:pStyle w:val="HELParagraphHeading"/>
        <w:spacing w:after="0"/>
        <w:jc w:val="left"/>
        <w:rPr>
          <w:rFonts w:ascii="Palatino Linotype" w:hAnsi="Palatino Linotype" w:cstheme="minorHAnsi"/>
          <w:sz w:val="24"/>
          <w:szCs w:val="24"/>
        </w:rPr>
      </w:pPr>
    </w:p>
    <w:p w:rsidR="00BB6572" w:rsidRPr="00E83F36" w:rsidRDefault="00E83F36" w:rsidP="00BB6572">
      <w:pPr>
        <w:pStyle w:val="HELParagraphHeading"/>
        <w:spacing w:after="0"/>
        <w:jc w:val="left"/>
        <w:rPr>
          <w:rFonts w:ascii="Palatino Linotype" w:hAnsi="Palatino Linotype" w:cstheme="minorHAnsi"/>
          <w:sz w:val="24"/>
          <w:szCs w:val="24"/>
          <w:u w:val="single"/>
        </w:rPr>
      </w:pPr>
      <w:r w:rsidRPr="00E83F36">
        <w:rPr>
          <w:rFonts w:ascii="Palatino Linotype" w:hAnsi="Palatino Linotype" w:cstheme="minorHAnsi"/>
          <w:sz w:val="24"/>
          <w:szCs w:val="24"/>
          <w:u w:val="single"/>
        </w:rPr>
        <w:t xml:space="preserve">Census and </w:t>
      </w:r>
      <w:r w:rsidR="00BB6572" w:rsidRPr="00E83F36">
        <w:rPr>
          <w:rFonts w:ascii="Palatino Linotype" w:hAnsi="Palatino Linotype" w:cstheme="minorHAnsi"/>
          <w:sz w:val="24"/>
          <w:szCs w:val="24"/>
          <w:u w:val="single"/>
        </w:rPr>
        <w:t>Related Data</w:t>
      </w:r>
    </w:p>
    <w:p w:rsidR="00BB6572" w:rsidRPr="00B866D9" w:rsidRDefault="00BB6572" w:rsidP="00BB6572">
      <w:pPr>
        <w:pStyle w:val="GEORGIABodyText"/>
        <w:rPr>
          <w:rFonts w:ascii="Palatino Linotype" w:hAnsi="Palatino Linotype" w:cstheme="minorHAnsi"/>
          <w:sz w:val="24"/>
          <w:szCs w:val="24"/>
        </w:rPr>
      </w:pPr>
      <w:proofErr w:type="spellStart"/>
      <w:r w:rsidRPr="00B866D9">
        <w:rPr>
          <w:rFonts w:ascii="Palatino Linotype" w:hAnsi="Palatino Linotype" w:cstheme="minorHAnsi"/>
          <w:sz w:val="24"/>
          <w:szCs w:val="24"/>
        </w:rPr>
        <w:t>UrbanFootprint</w:t>
      </w:r>
      <w:proofErr w:type="spellEnd"/>
      <w:r w:rsidRPr="00B866D9">
        <w:rPr>
          <w:rFonts w:ascii="Palatino Linotype" w:hAnsi="Palatino Linotype" w:cstheme="minorHAnsi"/>
          <w:sz w:val="24"/>
          <w:szCs w:val="24"/>
        </w:rPr>
        <w:t xml:space="preserve"> generates raw counts of population, dwelling units, jobs and other demographic variables at the parcel and grid level using a Census rate file. This rate file is generated from a combination of: Census Summary File 1 (SF1: blocks, from the short form); Summary File 3 (SF3:block groups, from the long form); Census Transportation Planning Package (CTPP2: block groups); Longitudinal Employer-Household Dynamics (LEHD: blocks); American Community Survey (ACS) and other data products, which in the State of California include job estimates and counts from the California Employment Development Department (EDD) and population counts and estimates from the California Department Of Finance (DOF). </w:t>
      </w:r>
    </w:p>
    <w:p w:rsidR="00BB6572" w:rsidRPr="00B866D9" w:rsidRDefault="00BB6572" w:rsidP="00BB6572">
      <w:pPr>
        <w:pStyle w:val="HELCaption"/>
        <w:rPr>
          <w:rFonts w:ascii="Palatino Linotype" w:hAnsi="Palatino Linotype" w:cstheme="minorHAnsi"/>
          <w:sz w:val="24"/>
          <w:szCs w:val="24"/>
        </w:rPr>
      </w:pPr>
      <w:r w:rsidRPr="00B866D9">
        <w:rPr>
          <w:rFonts w:ascii="Palatino Linotype" w:hAnsi="Palatino Linotype" w:cstheme="minorHAnsi"/>
          <w:sz w:val="24"/>
          <w:szCs w:val="24"/>
        </w:rPr>
        <w:t>[</w:t>
      </w:r>
      <w:proofErr w:type="gramStart"/>
      <w:r w:rsidRPr="00B866D9">
        <w:rPr>
          <w:rFonts w:ascii="Palatino Linotype" w:hAnsi="Palatino Linotype" w:cstheme="minorHAnsi"/>
          <w:sz w:val="24"/>
          <w:szCs w:val="24"/>
        </w:rPr>
        <w:t>caption</w:t>
      </w:r>
      <w:proofErr w:type="gramEnd"/>
      <w:r w:rsidRPr="00B866D9">
        <w:rPr>
          <w:rFonts w:ascii="Palatino Linotype" w:hAnsi="Palatino Linotype" w:cstheme="minorHAnsi"/>
          <w:sz w:val="24"/>
          <w:szCs w:val="24"/>
        </w:rPr>
        <w:t xml:space="preserve">] </w:t>
      </w:r>
      <w:proofErr w:type="spellStart"/>
      <w:r w:rsidRPr="00B866D9">
        <w:rPr>
          <w:rFonts w:ascii="Palatino Linotype" w:hAnsi="Palatino Linotype" w:cstheme="minorHAnsi"/>
          <w:sz w:val="24"/>
          <w:szCs w:val="24"/>
        </w:rPr>
        <w:t>UrbanFootprint</w:t>
      </w:r>
      <w:proofErr w:type="spellEnd"/>
      <w:r w:rsidRPr="00B866D9">
        <w:rPr>
          <w:rFonts w:ascii="Palatino Linotype" w:hAnsi="Palatino Linotype" w:cstheme="minorHAnsi"/>
          <w:sz w:val="24"/>
          <w:szCs w:val="24"/>
        </w:rPr>
        <w:t xml:space="preserve"> derives critical demographic information from a variety of US Census and state data sources.</w:t>
      </w:r>
    </w:p>
    <w:p w:rsidR="00BB6572" w:rsidRPr="00E83F36" w:rsidRDefault="00BB6572" w:rsidP="00E83F36">
      <w:pPr>
        <w:rPr>
          <w:rFonts w:ascii="Palatino Linotype" w:hAnsi="Palatino Linotype" w:cstheme="minorHAnsi"/>
          <w:color w:val="000000"/>
          <w:sz w:val="24"/>
          <w:szCs w:val="24"/>
        </w:rPr>
        <w:sectPr w:rsidR="00BB6572" w:rsidRPr="00E83F36" w:rsidSect="00325912">
          <w:type w:val="continuous"/>
          <w:pgSz w:w="12240" w:h="15840"/>
          <w:pgMar w:top="1440" w:right="1440" w:bottom="1440" w:left="1440" w:header="720" w:footer="720" w:gutter="0"/>
          <w:cols w:space="720"/>
          <w:docGrid w:linePitch="360"/>
        </w:sectPr>
      </w:pPr>
      <w:r w:rsidRPr="00B866D9">
        <w:rPr>
          <w:rFonts w:ascii="Palatino Linotype" w:hAnsi="Palatino Linotype" w:cstheme="minorHAnsi"/>
          <w:sz w:val="24"/>
          <w:szCs w:val="24"/>
        </w:rPr>
        <w:br w:type="page"/>
      </w:r>
    </w:p>
    <w:p w:rsidR="00BB6572" w:rsidRPr="00B866D9" w:rsidRDefault="00BB6572" w:rsidP="00E83F36">
      <w:pPr>
        <w:pStyle w:val="Heading1"/>
      </w:pPr>
      <w:r w:rsidRPr="00B866D9">
        <w:lastRenderedPageBreak/>
        <w:t>Place Types and Building Types</w:t>
      </w:r>
    </w:p>
    <w:p w:rsidR="00BB6572" w:rsidRPr="00E83F36" w:rsidRDefault="00BB6572" w:rsidP="00BB6572">
      <w:pPr>
        <w:pStyle w:val="GEORGIABodyText"/>
        <w:rPr>
          <w:rFonts w:ascii="Palatino Linotype" w:hAnsi="Palatino Linotype" w:cstheme="minorHAnsi"/>
          <w:sz w:val="20"/>
          <w:szCs w:val="22"/>
        </w:rPr>
      </w:pPr>
      <w:proofErr w:type="spellStart"/>
      <w:r w:rsidRPr="00E83F36">
        <w:rPr>
          <w:rFonts w:ascii="Palatino Linotype" w:hAnsi="Palatino Linotype" w:cstheme="minorHAnsi"/>
          <w:sz w:val="20"/>
          <w:szCs w:val="22"/>
        </w:rPr>
        <w:t>UrbanFootprint</w:t>
      </w:r>
      <w:proofErr w:type="spellEnd"/>
      <w:r w:rsidRPr="00E83F36">
        <w:rPr>
          <w:rFonts w:ascii="Palatino Linotype" w:hAnsi="Palatino Linotype" w:cstheme="minorHAnsi"/>
          <w:sz w:val="20"/>
          <w:szCs w:val="22"/>
        </w:rPr>
        <w:t xml:space="preserve"> includes a library of more than 35 Place Types and 50 building types that make up the palette of development options used to translate or “paint” scenarios. Place Types – each composed of a mix of Building Types (based on studies of over 300 real-world buildings) – are the land use building blocks of future scenarios, and represent the complete range of potential development types and patterns that make up a scenario. They include a range of mixed-use centers, residential areas of varying densities and types, employment and industrial areas, and other land use types that make up existing and future urban land uses. </w:t>
      </w:r>
    </w:p>
    <w:p w:rsidR="00BB6572" w:rsidRPr="00E83F36" w:rsidRDefault="00BB6572" w:rsidP="00BB6572">
      <w:pPr>
        <w:pStyle w:val="HELhighlightedtext"/>
        <w:rPr>
          <w:rFonts w:ascii="Palatino Linotype" w:hAnsi="Palatino Linotype" w:cstheme="minorHAnsi"/>
          <w:sz w:val="20"/>
          <w:szCs w:val="22"/>
        </w:rPr>
      </w:pPr>
      <w:r w:rsidRPr="00E83F36">
        <w:rPr>
          <w:rFonts w:ascii="Palatino Linotype" w:hAnsi="Palatino Linotype" w:cstheme="minorHAnsi"/>
          <w:sz w:val="20"/>
          <w:szCs w:val="22"/>
        </w:rPr>
        <w:t>Study Areas</w:t>
      </w:r>
    </w:p>
    <w:p w:rsidR="00BB6572" w:rsidRPr="00E83F36" w:rsidRDefault="00BB6572" w:rsidP="00BB6572">
      <w:pPr>
        <w:pStyle w:val="GEORGIABodyText"/>
        <w:rPr>
          <w:rFonts w:ascii="Palatino Linotype" w:hAnsi="Palatino Linotype" w:cstheme="minorHAnsi"/>
          <w:sz w:val="20"/>
          <w:szCs w:val="22"/>
        </w:rPr>
      </w:pPr>
      <w:proofErr w:type="spellStart"/>
      <w:r w:rsidRPr="00E83F36">
        <w:rPr>
          <w:rFonts w:ascii="Palatino Linotype" w:hAnsi="Palatino Linotype" w:cstheme="minorHAnsi"/>
          <w:sz w:val="20"/>
          <w:szCs w:val="22"/>
        </w:rPr>
        <w:t>UrbanFootprint’s</w:t>
      </w:r>
      <w:proofErr w:type="spellEnd"/>
      <w:r w:rsidRPr="00E83F36">
        <w:rPr>
          <w:rFonts w:ascii="Palatino Linotype" w:hAnsi="Palatino Linotype" w:cstheme="minorHAnsi"/>
          <w:sz w:val="20"/>
          <w:szCs w:val="22"/>
        </w:rPr>
        <w:t xml:space="preserve"> Place and Building Types are calibrated based on studies of exemplary places across California and the US, as well as detailed studies of a complete range of building types across California and the West. The </w:t>
      </w:r>
      <w:proofErr w:type="spellStart"/>
      <w:r w:rsidRPr="00E83F36">
        <w:rPr>
          <w:rFonts w:ascii="Palatino Linotype" w:hAnsi="Palatino Linotype" w:cstheme="minorHAnsi"/>
          <w:sz w:val="20"/>
          <w:szCs w:val="22"/>
        </w:rPr>
        <w:t>UrbanFootprint</w:t>
      </w:r>
      <w:proofErr w:type="spellEnd"/>
      <w:r w:rsidRPr="00E83F36">
        <w:rPr>
          <w:rFonts w:ascii="Palatino Linotype" w:hAnsi="Palatino Linotype" w:cstheme="minorHAnsi"/>
          <w:sz w:val="20"/>
          <w:szCs w:val="22"/>
        </w:rPr>
        <w:t xml:space="preserve"> Place Type library can be utilized by cities, regions, or MPOs as they develop their own plans – either as an “off the shelf” library or customized for their specific needs.</w:t>
      </w:r>
    </w:p>
    <w:p w:rsidR="00BB6572" w:rsidRPr="00E83F36" w:rsidRDefault="00BB6572" w:rsidP="00BB6572">
      <w:pPr>
        <w:pStyle w:val="HELhighlightedtext"/>
        <w:rPr>
          <w:rFonts w:ascii="Palatino Linotype" w:hAnsi="Palatino Linotype" w:cstheme="minorHAnsi"/>
          <w:b w:val="0"/>
          <w:bCs w:val="0"/>
          <w:sz w:val="20"/>
          <w:szCs w:val="22"/>
        </w:rPr>
      </w:pPr>
      <w:r w:rsidRPr="00E83F36">
        <w:rPr>
          <w:rFonts w:ascii="Palatino Linotype" w:hAnsi="Palatino Linotype" w:cstheme="minorHAnsi"/>
          <w:b w:val="0"/>
          <w:bCs w:val="0"/>
          <w:sz w:val="20"/>
          <w:szCs w:val="22"/>
        </w:rPr>
        <w:t>Place Type Studies</w:t>
      </w:r>
    </w:p>
    <w:p w:rsidR="00BB6572" w:rsidRDefault="00BB6572" w:rsidP="00BB6572">
      <w:pPr>
        <w:pStyle w:val="HELhighlightedtext"/>
        <w:rPr>
          <w:rFonts w:ascii="Palatino Linotype" w:hAnsi="Palatino Linotype" w:cstheme="minorHAnsi"/>
          <w:b w:val="0"/>
          <w:bCs w:val="0"/>
          <w:sz w:val="20"/>
          <w:szCs w:val="22"/>
        </w:rPr>
      </w:pPr>
      <w:r w:rsidRPr="00E83F36">
        <w:rPr>
          <w:rFonts w:ascii="Palatino Linotype" w:hAnsi="Palatino Linotype" w:cstheme="minorHAnsi"/>
          <w:b w:val="0"/>
          <w:bCs w:val="0"/>
          <w:sz w:val="20"/>
          <w:szCs w:val="22"/>
        </w:rPr>
        <w:t>Building Type Studies</w:t>
      </w:r>
    </w:p>
    <w:p w:rsidR="00E83F36" w:rsidRPr="00E83F36" w:rsidRDefault="00E83F36" w:rsidP="00BB6572">
      <w:pPr>
        <w:pStyle w:val="HELhighlightedtext"/>
        <w:rPr>
          <w:rFonts w:ascii="Palatino Linotype" w:hAnsi="Palatino Linotype" w:cstheme="minorHAnsi"/>
          <w:b w:val="0"/>
          <w:bCs w:val="0"/>
          <w:sz w:val="20"/>
          <w:szCs w:val="22"/>
        </w:rPr>
      </w:pPr>
      <w:r>
        <w:rPr>
          <w:rFonts w:ascii="Palatino Linotype" w:hAnsi="Palatino Linotype" w:cstheme="minorHAnsi"/>
          <w:b w:val="0"/>
          <w:bCs w:val="0"/>
          <w:sz w:val="20"/>
          <w:szCs w:val="22"/>
        </w:rPr>
        <w:t>[</w:t>
      </w:r>
      <w:proofErr w:type="gramStart"/>
      <w:r>
        <w:rPr>
          <w:rFonts w:ascii="Palatino Linotype" w:hAnsi="Palatino Linotype" w:cstheme="minorHAnsi"/>
          <w:b w:val="0"/>
          <w:bCs w:val="0"/>
          <w:sz w:val="20"/>
          <w:szCs w:val="22"/>
        </w:rPr>
        <w:t>images</w:t>
      </w:r>
      <w:proofErr w:type="gramEnd"/>
      <w:r>
        <w:rPr>
          <w:rFonts w:ascii="Palatino Linotype" w:hAnsi="Palatino Linotype" w:cstheme="minorHAnsi"/>
          <w:b w:val="0"/>
          <w:bCs w:val="0"/>
          <w:sz w:val="20"/>
          <w:szCs w:val="22"/>
        </w:rPr>
        <w:t>]</w:t>
      </w:r>
    </w:p>
    <w:p w:rsidR="00BB6572" w:rsidRPr="00E83F36" w:rsidRDefault="00BB6572" w:rsidP="00BB6572">
      <w:pPr>
        <w:pStyle w:val="HELCaption"/>
        <w:rPr>
          <w:rFonts w:ascii="Palatino Linotype" w:hAnsi="Palatino Linotype" w:cstheme="minorHAnsi"/>
          <w:sz w:val="20"/>
          <w:szCs w:val="22"/>
        </w:rPr>
      </w:pPr>
      <w:proofErr w:type="spellStart"/>
      <w:r w:rsidRPr="00E83F36">
        <w:rPr>
          <w:rFonts w:ascii="Palatino Linotype" w:hAnsi="Palatino Linotype" w:cstheme="minorHAnsi"/>
          <w:sz w:val="20"/>
          <w:szCs w:val="22"/>
        </w:rPr>
        <w:t>UrbanFootprint’s</w:t>
      </w:r>
      <w:proofErr w:type="spellEnd"/>
      <w:r w:rsidRPr="00E83F36">
        <w:rPr>
          <w:rFonts w:ascii="Palatino Linotype" w:hAnsi="Palatino Linotype" w:cstheme="minorHAnsi"/>
          <w:sz w:val="20"/>
          <w:szCs w:val="22"/>
        </w:rPr>
        <w:t xml:space="preserve"> Place Types represent a full range of existing and future land development patterns, from mixed-use urban centers, to employment zones, to standard suburban residential areas. The default set of 35+ Place Types and 90+ Building Types includes detailed density, mix, demographic, and other characteristics</w:t>
      </w:r>
    </w:p>
    <w:p w:rsidR="00BB6572" w:rsidRPr="00E83F36" w:rsidRDefault="00BB6572" w:rsidP="00BB6572">
      <w:pPr>
        <w:pStyle w:val="HELCaption"/>
        <w:jc w:val="right"/>
        <w:rPr>
          <w:rFonts w:ascii="Palatino Linotype" w:hAnsi="Palatino Linotype" w:cstheme="minorHAnsi"/>
          <w:outline/>
          <w:sz w:val="18"/>
          <w14:textOutline w14:w="9525" w14:cap="flat" w14:cmpd="sng" w14:algn="ctr">
            <w14:solidFill>
              <w14:srgbClr w14:val="000000"/>
            </w14:solidFill>
            <w14:prstDash w14:val="solid"/>
            <w14:round/>
          </w14:textOutline>
          <w14:textFill>
            <w14:noFill/>
          </w14:textFill>
        </w:rPr>
      </w:pPr>
      <w:r w:rsidRPr="00E83F36">
        <w:rPr>
          <w:rFonts w:ascii="Palatino Linotype" w:hAnsi="Palatino Linotype" w:cstheme="minorHAnsi"/>
          <w:outline/>
          <w:sz w:val="18"/>
          <w14:textOutline w14:w="9525" w14:cap="flat" w14:cmpd="sng" w14:algn="ctr">
            <w14:solidFill>
              <w14:srgbClr w14:val="000000"/>
            </w14:solidFill>
            <w14:prstDash w14:val="solid"/>
            <w14:round/>
          </w14:textOutline>
          <w14:textFill>
            <w14:noFill/>
          </w14:textFill>
        </w:rPr>
        <w:t>Mixed Use Centers and Corridors</w:t>
      </w:r>
    </w:p>
    <w:tbl>
      <w:tblPr>
        <w:tblW w:w="0" w:type="auto"/>
        <w:tblInd w:w="5" w:type="dxa"/>
        <w:tblLayout w:type="fixed"/>
        <w:tblCellMar>
          <w:left w:w="0" w:type="dxa"/>
          <w:right w:w="0" w:type="dxa"/>
        </w:tblCellMar>
        <w:tblLook w:val="0000" w:firstRow="0" w:lastRow="0" w:firstColumn="0" w:lastColumn="0" w:noHBand="0" w:noVBand="0"/>
      </w:tblPr>
      <w:tblGrid>
        <w:gridCol w:w="450"/>
        <w:gridCol w:w="4153"/>
      </w:tblGrid>
      <w:tr w:rsidR="00BB6572" w:rsidRPr="00E83F36">
        <w:trPr>
          <w:trHeight w:val="338"/>
        </w:trPr>
        <w:tc>
          <w:tcPr>
            <w:tcW w:w="450" w:type="dxa"/>
            <w:tcBorders>
              <w:top w:val="single" w:sz="4" w:space="0" w:color="000000"/>
              <w:left w:val="single" w:sz="4" w:space="0" w:color="000000"/>
              <w:bottom w:val="single" w:sz="6" w:space="0" w:color="auto"/>
              <w:right w:val="dashed"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1</w:t>
            </w:r>
          </w:p>
        </w:tc>
        <w:tc>
          <w:tcPr>
            <w:tcW w:w="4153" w:type="dxa"/>
            <w:tcBorders>
              <w:top w:val="single" w:sz="4" w:space="0" w:color="000000"/>
              <w:left w:val="dashed" w:sz="6" w:space="0" w:color="940000"/>
              <w:bottom w:val="single" w:sz="6" w:space="0" w:color="auto"/>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Urban Mixed Use</w:t>
            </w:r>
          </w:p>
        </w:tc>
      </w:tr>
      <w:tr w:rsidR="00BB6572" w:rsidRPr="00E83F36">
        <w:trPr>
          <w:trHeight w:val="338"/>
        </w:trPr>
        <w:tc>
          <w:tcPr>
            <w:tcW w:w="450" w:type="dxa"/>
            <w:tcBorders>
              <w:top w:val="single" w:sz="6" w:space="0" w:color="auto"/>
              <w:left w:val="single" w:sz="4" w:space="0" w:color="000000"/>
              <w:bottom w:val="single" w:sz="6" w:space="0" w:color="auto"/>
              <w:right w:val="dashed"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2</w:t>
            </w:r>
          </w:p>
        </w:tc>
        <w:tc>
          <w:tcPr>
            <w:tcW w:w="4153" w:type="dxa"/>
            <w:tcBorders>
              <w:top w:val="single" w:sz="6" w:space="0" w:color="auto"/>
              <w:left w:val="dashed" w:sz="6" w:space="0" w:color="940000"/>
              <w:bottom w:val="single" w:sz="6" w:space="0" w:color="auto"/>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Urban Residential</w:t>
            </w:r>
          </w:p>
        </w:tc>
      </w:tr>
      <w:tr w:rsidR="00BB6572" w:rsidRPr="00E83F36">
        <w:trPr>
          <w:trHeight w:val="338"/>
        </w:trPr>
        <w:tc>
          <w:tcPr>
            <w:tcW w:w="450" w:type="dxa"/>
            <w:tcBorders>
              <w:top w:val="single" w:sz="6" w:space="0" w:color="auto"/>
              <w:left w:val="single" w:sz="4" w:space="0" w:color="000000"/>
              <w:bottom w:val="single" w:sz="6" w:space="0" w:color="auto"/>
              <w:right w:val="dashed"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3</w:t>
            </w:r>
          </w:p>
        </w:tc>
        <w:tc>
          <w:tcPr>
            <w:tcW w:w="4153" w:type="dxa"/>
            <w:tcBorders>
              <w:top w:val="single" w:sz="6" w:space="0" w:color="auto"/>
              <w:left w:val="dashed" w:sz="6" w:space="0" w:color="940000"/>
              <w:bottom w:val="single" w:sz="6" w:space="0" w:color="auto"/>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Urban Commercial</w:t>
            </w:r>
          </w:p>
        </w:tc>
      </w:tr>
      <w:tr w:rsidR="00BB6572" w:rsidRPr="00E83F36">
        <w:trPr>
          <w:trHeight w:val="338"/>
        </w:trPr>
        <w:tc>
          <w:tcPr>
            <w:tcW w:w="450" w:type="dxa"/>
            <w:tcBorders>
              <w:top w:val="single" w:sz="6" w:space="0" w:color="auto"/>
              <w:left w:val="single" w:sz="4" w:space="0" w:color="000000"/>
              <w:bottom w:val="single" w:sz="6" w:space="0" w:color="auto"/>
              <w:right w:val="dashed"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lastRenderedPageBreak/>
              <w:t>4</w:t>
            </w:r>
          </w:p>
        </w:tc>
        <w:tc>
          <w:tcPr>
            <w:tcW w:w="4153" w:type="dxa"/>
            <w:tcBorders>
              <w:top w:val="single" w:sz="6" w:space="0" w:color="auto"/>
              <w:left w:val="dashed" w:sz="6" w:space="0" w:color="940000"/>
              <w:bottom w:val="single" w:sz="6" w:space="0" w:color="auto"/>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City Mixed Use</w:t>
            </w:r>
          </w:p>
        </w:tc>
      </w:tr>
      <w:tr w:rsidR="00BB6572" w:rsidRPr="00E83F36">
        <w:trPr>
          <w:trHeight w:val="338"/>
        </w:trPr>
        <w:tc>
          <w:tcPr>
            <w:tcW w:w="450" w:type="dxa"/>
            <w:tcBorders>
              <w:top w:val="single" w:sz="6" w:space="0" w:color="auto"/>
              <w:left w:val="single" w:sz="4" w:space="0" w:color="000000"/>
              <w:bottom w:val="single" w:sz="6" w:space="0" w:color="auto"/>
              <w:right w:val="dashed"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5</w:t>
            </w:r>
          </w:p>
        </w:tc>
        <w:tc>
          <w:tcPr>
            <w:tcW w:w="4153" w:type="dxa"/>
            <w:tcBorders>
              <w:top w:val="single" w:sz="6" w:space="0" w:color="auto"/>
              <w:left w:val="dashed" w:sz="6" w:space="0" w:color="940000"/>
              <w:bottom w:val="single" w:sz="6" w:space="0" w:color="auto"/>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City Residential</w:t>
            </w:r>
          </w:p>
        </w:tc>
      </w:tr>
      <w:tr w:rsidR="00BB6572" w:rsidRPr="00E83F36">
        <w:trPr>
          <w:trHeight w:val="338"/>
        </w:trPr>
        <w:tc>
          <w:tcPr>
            <w:tcW w:w="450" w:type="dxa"/>
            <w:tcBorders>
              <w:top w:val="single" w:sz="6" w:space="0" w:color="auto"/>
              <w:left w:val="single" w:sz="4" w:space="0" w:color="000000"/>
              <w:bottom w:val="single" w:sz="6" w:space="0" w:color="auto"/>
              <w:right w:val="dashed"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6</w:t>
            </w:r>
          </w:p>
        </w:tc>
        <w:tc>
          <w:tcPr>
            <w:tcW w:w="4153" w:type="dxa"/>
            <w:tcBorders>
              <w:top w:val="single" w:sz="6" w:space="0" w:color="auto"/>
              <w:left w:val="dashed" w:sz="6" w:space="0" w:color="940000"/>
              <w:bottom w:val="single" w:sz="6" w:space="0" w:color="auto"/>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City Commercial</w:t>
            </w:r>
          </w:p>
        </w:tc>
      </w:tr>
      <w:tr w:rsidR="00BB6572" w:rsidRPr="00E83F36">
        <w:trPr>
          <w:trHeight w:val="338"/>
        </w:trPr>
        <w:tc>
          <w:tcPr>
            <w:tcW w:w="450" w:type="dxa"/>
            <w:tcBorders>
              <w:top w:val="single" w:sz="6" w:space="0" w:color="auto"/>
              <w:left w:val="single" w:sz="4" w:space="0" w:color="000000"/>
              <w:bottom w:val="single" w:sz="6" w:space="0" w:color="auto"/>
              <w:right w:val="dashed"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7</w:t>
            </w:r>
          </w:p>
        </w:tc>
        <w:tc>
          <w:tcPr>
            <w:tcW w:w="4153" w:type="dxa"/>
            <w:tcBorders>
              <w:top w:val="single" w:sz="6" w:space="0" w:color="auto"/>
              <w:left w:val="dashed" w:sz="6" w:space="0" w:color="940000"/>
              <w:bottom w:val="single" w:sz="6" w:space="0" w:color="auto"/>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Town Mixed Use</w:t>
            </w:r>
          </w:p>
        </w:tc>
      </w:tr>
      <w:tr w:rsidR="00BB6572" w:rsidRPr="00E83F36">
        <w:trPr>
          <w:trHeight w:val="338"/>
        </w:trPr>
        <w:tc>
          <w:tcPr>
            <w:tcW w:w="450" w:type="dxa"/>
            <w:tcBorders>
              <w:top w:val="single" w:sz="6" w:space="0" w:color="auto"/>
              <w:left w:val="single" w:sz="4" w:space="0" w:color="000000"/>
              <w:bottom w:val="single" w:sz="6" w:space="0" w:color="auto"/>
              <w:right w:val="single"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8</w:t>
            </w:r>
          </w:p>
        </w:tc>
        <w:tc>
          <w:tcPr>
            <w:tcW w:w="4153" w:type="dxa"/>
            <w:tcBorders>
              <w:top w:val="single" w:sz="6" w:space="0" w:color="auto"/>
              <w:left w:val="single" w:sz="6" w:space="0" w:color="940000"/>
              <w:bottom w:val="single" w:sz="6" w:space="0" w:color="auto"/>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Town Residential</w:t>
            </w:r>
          </w:p>
        </w:tc>
      </w:tr>
      <w:tr w:rsidR="00BB6572" w:rsidRPr="00E83F36">
        <w:trPr>
          <w:trHeight w:val="338"/>
        </w:trPr>
        <w:tc>
          <w:tcPr>
            <w:tcW w:w="450" w:type="dxa"/>
            <w:tcBorders>
              <w:top w:val="single" w:sz="6" w:space="0" w:color="auto"/>
              <w:left w:val="single" w:sz="4" w:space="0" w:color="000000"/>
              <w:bottom w:val="single" w:sz="6" w:space="0" w:color="auto"/>
              <w:right w:val="single"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9</w:t>
            </w:r>
          </w:p>
        </w:tc>
        <w:tc>
          <w:tcPr>
            <w:tcW w:w="4153" w:type="dxa"/>
            <w:tcBorders>
              <w:top w:val="single" w:sz="6" w:space="0" w:color="auto"/>
              <w:left w:val="single" w:sz="6" w:space="0" w:color="940000"/>
              <w:bottom w:val="single" w:sz="6" w:space="0" w:color="auto"/>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Town Commercial</w:t>
            </w:r>
          </w:p>
        </w:tc>
      </w:tr>
      <w:tr w:rsidR="00BB6572" w:rsidRPr="00E83F36">
        <w:trPr>
          <w:trHeight w:val="338"/>
        </w:trPr>
        <w:tc>
          <w:tcPr>
            <w:tcW w:w="450" w:type="dxa"/>
            <w:tcBorders>
              <w:top w:val="single" w:sz="6" w:space="0" w:color="auto"/>
              <w:left w:val="single" w:sz="4" w:space="0" w:color="000000"/>
              <w:bottom w:val="single" w:sz="6" w:space="0" w:color="auto"/>
              <w:right w:val="single"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10</w:t>
            </w:r>
          </w:p>
        </w:tc>
        <w:tc>
          <w:tcPr>
            <w:tcW w:w="4153" w:type="dxa"/>
            <w:tcBorders>
              <w:top w:val="single" w:sz="6" w:space="0" w:color="auto"/>
              <w:left w:val="single" w:sz="6" w:space="0" w:color="940000"/>
              <w:bottom w:val="single" w:sz="6" w:space="0" w:color="auto"/>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Village Mixed Use</w:t>
            </w:r>
          </w:p>
        </w:tc>
      </w:tr>
      <w:tr w:rsidR="00BB6572" w:rsidRPr="00E83F36">
        <w:trPr>
          <w:trHeight w:val="338"/>
        </w:trPr>
        <w:tc>
          <w:tcPr>
            <w:tcW w:w="450" w:type="dxa"/>
            <w:tcBorders>
              <w:top w:val="single" w:sz="6" w:space="0" w:color="auto"/>
              <w:left w:val="single" w:sz="4" w:space="0" w:color="000000"/>
              <w:bottom w:val="single" w:sz="6" w:space="0" w:color="auto"/>
              <w:right w:val="single"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11</w:t>
            </w:r>
          </w:p>
        </w:tc>
        <w:tc>
          <w:tcPr>
            <w:tcW w:w="4153" w:type="dxa"/>
            <w:tcBorders>
              <w:top w:val="single" w:sz="6" w:space="0" w:color="auto"/>
              <w:left w:val="single" w:sz="6" w:space="0" w:color="940000"/>
              <w:bottom w:val="single" w:sz="6" w:space="0" w:color="auto"/>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Village Residential</w:t>
            </w:r>
          </w:p>
        </w:tc>
      </w:tr>
      <w:tr w:rsidR="00BB6572" w:rsidRPr="00E83F36">
        <w:trPr>
          <w:trHeight w:val="338"/>
        </w:trPr>
        <w:tc>
          <w:tcPr>
            <w:tcW w:w="450" w:type="dxa"/>
            <w:tcBorders>
              <w:top w:val="single" w:sz="6" w:space="0" w:color="auto"/>
              <w:left w:val="single" w:sz="4" w:space="0" w:color="000000"/>
              <w:bottom w:val="single" w:sz="6" w:space="0" w:color="auto"/>
              <w:right w:val="single"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12</w:t>
            </w:r>
          </w:p>
        </w:tc>
        <w:tc>
          <w:tcPr>
            <w:tcW w:w="4153" w:type="dxa"/>
            <w:tcBorders>
              <w:top w:val="single" w:sz="6" w:space="0" w:color="auto"/>
              <w:left w:val="single" w:sz="6" w:space="0" w:color="940000"/>
              <w:bottom w:val="single" w:sz="6" w:space="0" w:color="auto"/>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Village Commercial</w:t>
            </w:r>
          </w:p>
        </w:tc>
      </w:tr>
      <w:tr w:rsidR="00BB6572" w:rsidRPr="00E83F36">
        <w:trPr>
          <w:trHeight w:val="338"/>
        </w:trPr>
        <w:tc>
          <w:tcPr>
            <w:tcW w:w="450" w:type="dxa"/>
            <w:tcBorders>
              <w:top w:val="single" w:sz="6" w:space="0" w:color="auto"/>
              <w:left w:val="single" w:sz="4" w:space="0" w:color="000000"/>
              <w:bottom w:val="single" w:sz="6" w:space="0" w:color="auto"/>
              <w:right w:val="single"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13</w:t>
            </w:r>
          </w:p>
        </w:tc>
        <w:tc>
          <w:tcPr>
            <w:tcW w:w="4153" w:type="dxa"/>
            <w:tcBorders>
              <w:top w:val="single" w:sz="6" w:space="0" w:color="auto"/>
              <w:left w:val="single" w:sz="6" w:space="0" w:color="940000"/>
              <w:bottom w:val="single" w:sz="6" w:space="0" w:color="auto"/>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Neighborhood Residential</w:t>
            </w:r>
          </w:p>
        </w:tc>
      </w:tr>
      <w:tr w:rsidR="00BB6572" w:rsidRPr="00E83F36">
        <w:trPr>
          <w:trHeight w:val="338"/>
        </w:trPr>
        <w:tc>
          <w:tcPr>
            <w:tcW w:w="450" w:type="dxa"/>
            <w:tcBorders>
              <w:top w:val="single" w:sz="6" w:space="0" w:color="auto"/>
              <w:left w:val="single" w:sz="4" w:space="0" w:color="000000"/>
              <w:bottom w:val="single" w:sz="4" w:space="0" w:color="000000"/>
              <w:right w:val="single"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14</w:t>
            </w:r>
          </w:p>
        </w:tc>
        <w:tc>
          <w:tcPr>
            <w:tcW w:w="4153" w:type="dxa"/>
            <w:tcBorders>
              <w:top w:val="single" w:sz="6" w:space="0" w:color="auto"/>
              <w:left w:val="single" w:sz="6" w:space="0" w:color="940000"/>
              <w:bottom w:val="single" w:sz="4" w:space="0" w:color="000000"/>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Neighborhood Low</w:t>
            </w:r>
          </w:p>
        </w:tc>
      </w:tr>
    </w:tbl>
    <w:p w:rsidR="00BB6572" w:rsidRPr="00E83F36" w:rsidRDefault="00BB6572" w:rsidP="00BB6572">
      <w:pPr>
        <w:pStyle w:val="HELCaption"/>
        <w:jc w:val="right"/>
        <w:rPr>
          <w:rFonts w:ascii="Palatino Linotype" w:hAnsi="Palatino Linotype" w:cstheme="minorHAnsi"/>
          <w:outline/>
          <w:sz w:val="18"/>
          <w14:textOutline w14:w="9525" w14:cap="flat" w14:cmpd="sng" w14:algn="ctr">
            <w14:solidFill>
              <w14:srgbClr w14:val="000000"/>
            </w14:solidFill>
            <w14:prstDash w14:val="solid"/>
            <w14:round/>
          </w14:textOutline>
          <w14:textFill>
            <w14:noFill/>
          </w14:textFill>
        </w:rPr>
      </w:pPr>
      <w:r w:rsidRPr="00E83F36">
        <w:rPr>
          <w:rFonts w:ascii="Palatino Linotype" w:hAnsi="Palatino Linotype" w:cstheme="minorHAnsi"/>
          <w:outline/>
          <w:sz w:val="18"/>
          <w14:textOutline w14:w="9525" w14:cap="flat" w14:cmpd="sng" w14:algn="ctr">
            <w14:solidFill>
              <w14:srgbClr w14:val="000000"/>
            </w14:solidFill>
            <w14:prstDash w14:val="solid"/>
            <w14:round/>
          </w14:textOutline>
          <w14:textFill>
            <w14:noFill/>
          </w14:textFill>
        </w:rPr>
        <w:t>Employment Areas</w:t>
      </w:r>
    </w:p>
    <w:tbl>
      <w:tblPr>
        <w:tblW w:w="0" w:type="auto"/>
        <w:tblInd w:w="5" w:type="dxa"/>
        <w:tblLayout w:type="fixed"/>
        <w:tblCellMar>
          <w:left w:w="0" w:type="dxa"/>
          <w:right w:w="0" w:type="dxa"/>
        </w:tblCellMar>
        <w:tblLook w:val="0000" w:firstRow="0" w:lastRow="0" w:firstColumn="0" w:lastColumn="0" w:noHBand="0" w:noVBand="0"/>
      </w:tblPr>
      <w:tblGrid>
        <w:gridCol w:w="450"/>
        <w:gridCol w:w="4153"/>
      </w:tblGrid>
      <w:tr w:rsidR="00BB6572" w:rsidRPr="00E83F36">
        <w:trPr>
          <w:trHeight w:val="338"/>
        </w:trPr>
        <w:tc>
          <w:tcPr>
            <w:tcW w:w="450" w:type="dxa"/>
            <w:tcBorders>
              <w:top w:val="single" w:sz="4" w:space="0" w:color="000000"/>
              <w:left w:val="single" w:sz="4" w:space="0" w:color="000000"/>
              <w:bottom w:val="single" w:sz="7" w:space="0" w:color="FFFFFF"/>
              <w:right w:val="single"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15</w:t>
            </w:r>
          </w:p>
        </w:tc>
        <w:tc>
          <w:tcPr>
            <w:tcW w:w="4153" w:type="dxa"/>
            <w:tcBorders>
              <w:top w:val="single" w:sz="4" w:space="0" w:color="000000"/>
              <w:left w:val="single" w:sz="6" w:space="0" w:color="940000"/>
              <w:bottom w:val="single" w:sz="6" w:space="0" w:color="FFFFFF"/>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Office Focus</w:t>
            </w:r>
          </w:p>
        </w:tc>
      </w:tr>
      <w:tr w:rsidR="00BB6572" w:rsidRPr="00E83F36">
        <w:trPr>
          <w:trHeight w:val="338"/>
        </w:trPr>
        <w:tc>
          <w:tcPr>
            <w:tcW w:w="450" w:type="dxa"/>
            <w:tcBorders>
              <w:top w:val="single" w:sz="7" w:space="0" w:color="FFFFFF"/>
              <w:left w:val="single" w:sz="4" w:space="0" w:color="000000"/>
              <w:bottom w:val="single" w:sz="7" w:space="0" w:color="FFFFFF"/>
              <w:right w:val="single"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16</w:t>
            </w:r>
          </w:p>
        </w:tc>
        <w:tc>
          <w:tcPr>
            <w:tcW w:w="4153" w:type="dxa"/>
            <w:tcBorders>
              <w:top w:val="single" w:sz="6" w:space="0" w:color="FFFFFF"/>
              <w:left w:val="single" w:sz="6" w:space="0" w:color="940000"/>
              <w:bottom w:val="single" w:sz="6" w:space="0" w:color="FFFFFF"/>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Mixed Office and R&amp;D</w:t>
            </w:r>
          </w:p>
        </w:tc>
      </w:tr>
      <w:tr w:rsidR="00BB6572" w:rsidRPr="00E83F36">
        <w:trPr>
          <w:trHeight w:val="338"/>
        </w:trPr>
        <w:tc>
          <w:tcPr>
            <w:tcW w:w="450" w:type="dxa"/>
            <w:tcBorders>
              <w:top w:val="single" w:sz="7" w:space="0" w:color="FFFFFF"/>
              <w:left w:val="single" w:sz="4" w:space="0" w:color="000000"/>
              <w:bottom w:val="single" w:sz="7" w:space="0" w:color="FFFFFF"/>
              <w:right w:val="single"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17</w:t>
            </w:r>
          </w:p>
        </w:tc>
        <w:tc>
          <w:tcPr>
            <w:tcW w:w="4153" w:type="dxa"/>
            <w:tcBorders>
              <w:top w:val="single" w:sz="6" w:space="0" w:color="FFFFFF"/>
              <w:left w:val="single" w:sz="6" w:space="0" w:color="940000"/>
              <w:bottom w:val="single" w:sz="6" w:space="0" w:color="FFFFFF"/>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Office / Industrial</w:t>
            </w:r>
          </w:p>
        </w:tc>
      </w:tr>
      <w:tr w:rsidR="00BB6572" w:rsidRPr="00E83F36">
        <w:trPr>
          <w:trHeight w:val="338"/>
        </w:trPr>
        <w:tc>
          <w:tcPr>
            <w:tcW w:w="450" w:type="dxa"/>
            <w:tcBorders>
              <w:top w:val="single" w:sz="7" w:space="0" w:color="FFFFFF"/>
              <w:left w:val="single" w:sz="4" w:space="0" w:color="000000"/>
              <w:bottom w:val="single" w:sz="7" w:space="0" w:color="FFFFFF"/>
              <w:right w:val="single"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18</w:t>
            </w:r>
          </w:p>
        </w:tc>
        <w:tc>
          <w:tcPr>
            <w:tcW w:w="4153" w:type="dxa"/>
            <w:tcBorders>
              <w:top w:val="single" w:sz="6" w:space="0" w:color="FFFFFF"/>
              <w:left w:val="single" w:sz="6" w:space="0" w:color="940000"/>
              <w:bottom w:val="single" w:sz="6" w:space="0" w:color="FFFFFF"/>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Industrial Focus</w:t>
            </w:r>
          </w:p>
        </w:tc>
      </w:tr>
      <w:tr w:rsidR="00BB6572" w:rsidRPr="00E83F36">
        <w:trPr>
          <w:trHeight w:val="338"/>
        </w:trPr>
        <w:tc>
          <w:tcPr>
            <w:tcW w:w="450" w:type="dxa"/>
            <w:tcBorders>
              <w:top w:val="single" w:sz="7" w:space="0" w:color="FFFFFF"/>
              <w:left w:val="single" w:sz="4" w:space="0" w:color="000000"/>
              <w:bottom w:val="single" w:sz="4" w:space="0" w:color="000000"/>
              <w:right w:val="single"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19</w:t>
            </w:r>
          </w:p>
        </w:tc>
        <w:tc>
          <w:tcPr>
            <w:tcW w:w="4153" w:type="dxa"/>
            <w:tcBorders>
              <w:top w:val="single" w:sz="6" w:space="0" w:color="FFFFFF"/>
              <w:left w:val="single" w:sz="6" w:space="0" w:color="940000"/>
              <w:bottom w:val="single" w:sz="4" w:space="0" w:color="000000"/>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Low-Density Employment Park</w:t>
            </w:r>
          </w:p>
        </w:tc>
      </w:tr>
    </w:tbl>
    <w:p w:rsidR="00BB6572" w:rsidRPr="00E83F36" w:rsidRDefault="00BB6572" w:rsidP="00BB6572">
      <w:pPr>
        <w:pStyle w:val="HELCaption"/>
        <w:jc w:val="right"/>
        <w:rPr>
          <w:rFonts w:ascii="Palatino Linotype" w:hAnsi="Palatino Linotype" w:cstheme="minorHAnsi"/>
          <w:outline/>
          <w:sz w:val="18"/>
          <w14:textOutline w14:w="9525" w14:cap="flat" w14:cmpd="sng" w14:algn="ctr">
            <w14:solidFill>
              <w14:srgbClr w14:val="000000"/>
            </w14:solidFill>
            <w14:prstDash w14:val="solid"/>
            <w14:round/>
          </w14:textOutline>
          <w14:textFill>
            <w14:noFill/>
          </w14:textFill>
        </w:rPr>
      </w:pPr>
      <w:r w:rsidRPr="00E83F36">
        <w:rPr>
          <w:rFonts w:ascii="Palatino Linotype" w:hAnsi="Palatino Linotype" w:cstheme="minorHAnsi"/>
          <w:outline/>
          <w:sz w:val="18"/>
          <w14:textOutline w14:w="9525" w14:cap="flat" w14:cmpd="sng" w14:algn="ctr">
            <w14:solidFill>
              <w14:srgbClr w14:val="000000"/>
            </w14:solidFill>
            <w14:prstDash w14:val="solid"/>
            <w14:round/>
          </w14:textOutline>
          <w14:textFill>
            <w14:noFill/>
          </w14:textFill>
        </w:rPr>
        <w:t>Suburban</w:t>
      </w:r>
    </w:p>
    <w:p w:rsidR="00BB6572" w:rsidRPr="00E83F36" w:rsidRDefault="00BB6572" w:rsidP="00BB6572">
      <w:pPr>
        <w:pStyle w:val="HELPageHeading"/>
        <w:rPr>
          <w:rFonts w:ascii="Palatino Linotype" w:hAnsi="Palatino Linotype" w:cstheme="minorHAnsi"/>
          <w:sz w:val="18"/>
          <w:szCs w:val="16"/>
        </w:rPr>
      </w:pPr>
      <w:r w:rsidRPr="00E83F36">
        <w:rPr>
          <w:rFonts w:ascii="Palatino Linotype" w:hAnsi="Palatino Linotype" w:cstheme="minorHAnsi"/>
          <w:outline/>
          <w:sz w:val="18"/>
          <w:szCs w:val="16"/>
          <w14:textOutline w14:w="9525" w14:cap="flat" w14:cmpd="sng" w14:algn="ctr">
            <w14:solidFill>
              <w14:srgbClr w14:val="000000"/>
            </w14:solidFill>
            <w14:prstDash w14:val="solid"/>
            <w14:round/>
          </w14:textOutline>
          <w14:textFill>
            <w14:noFill/>
          </w14:textFill>
        </w:rPr>
        <w:t>Commercial / Mixed Use</w:t>
      </w:r>
    </w:p>
    <w:tbl>
      <w:tblPr>
        <w:tblW w:w="0" w:type="auto"/>
        <w:tblInd w:w="5" w:type="dxa"/>
        <w:tblLayout w:type="fixed"/>
        <w:tblCellMar>
          <w:left w:w="0" w:type="dxa"/>
          <w:right w:w="0" w:type="dxa"/>
        </w:tblCellMar>
        <w:tblLook w:val="0000" w:firstRow="0" w:lastRow="0" w:firstColumn="0" w:lastColumn="0" w:noHBand="0" w:noVBand="0"/>
      </w:tblPr>
      <w:tblGrid>
        <w:gridCol w:w="450"/>
        <w:gridCol w:w="4153"/>
      </w:tblGrid>
      <w:tr w:rsidR="00BB6572" w:rsidRPr="00E83F36">
        <w:trPr>
          <w:trHeight w:val="338"/>
        </w:trPr>
        <w:tc>
          <w:tcPr>
            <w:tcW w:w="450" w:type="dxa"/>
            <w:tcBorders>
              <w:top w:val="single" w:sz="4" w:space="0" w:color="000000"/>
              <w:left w:val="single" w:sz="4" w:space="0" w:color="000000"/>
              <w:bottom w:val="single" w:sz="7" w:space="0" w:color="FFFFFF"/>
              <w:right w:val="single"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20</w:t>
            </w:r>
          </w:p>
        </w:tc>
        <w:tc>
          <w:tcPr>
            <w:tcW w:w="4153" w:type="dxa"/>
            <w:tcBorders>
              <w:top w:val="single" w:sz="4" w:space="0" w:color="000000"/>
              <w:left w:val="single" w:sz="6" w:space="0" w:color="940000"/>
              <w:bottom w:val="single" w:sz="6" w:space="0" w:color="FFFFFF"/>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High Intensity Activity Center</w:t>
            </w:r>
          </w:p>
        </w:tc>
      </w:tr>
      <w:tr w:rsidR="00BB6572" w:rsidRPr="00E83F36">
        <w:trPr>
          <w:trHeight w:val="338"/>
        </w:trPr>
        <w:tc>
          <w:tcPr>
            <w:tcW w:w="450" w:type="dxa"/>
            <w:tcBorders>
              <w:top w:val="single" w:sz="7" w:space="0" w:color="FFFFFF"/>
              <w:left w:val="single" w:sz="4" w:space="0" w:color="000000"/>
              <w:bottom w:val="single" w:sz="7" w:space="0" w:color="FFFFFF"/>
              <w:right w:val="single"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21</w:t>
            </w:r>
          </w:p>
        </w:tc>
        <w:tc>
          <w:tcPr>
            <w:tcW w:w="4153" w:type="dxa"/>
            <w:tcBorders>
              <w:top w:val="single" w:sz="6" w:space="0" w:color="FFFFFF"/>
              <w:left w:val="single" w:sz="6" w:space="0" w:color="940000"/>
              <w:bottom w:val="single" w:sz="6" w:space="0" w:color="FFFFFF"/>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Mid Intensity Activity Center</w:t>
            </w:r>
          </w:p>
        </w:tc>
      </w:tr>
      <w:tr w:rsidR="00BB6572" w:rsidRPr="00E83F36">
        <w:trPr>
          <w:trHeight w:val="338"/>
        </w:trPr>
        <w:tc>
          <w:tcPr>
            <w:tcW w:w="450" w:type="dxa"/>
            <w:tcBorders>
              <w:top w:val="single" w:sz="7" w:space="0" w:color="FFFFFF"/>
              <w:left w:val="single" w:sz="4" w:space="0" w:color="000000"/>
              <w:bottom w:val="single" w:sz="7" w:space="0" w:color="FFFFFF"/>
              <w:right w:val="single"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22</w:t>
            </w:r>
          </w:p>
        </w:tc>
        <w:tc>
          <w:tcPr>
            <w:tcW w:w="4153" w:type="dxa"/>
            <w:tcBorders>
              <w:top w:val="single" w:sz="6" w:space="0" w:color="FFFFFF"/>
              <w:left w:val="single" w:sz="6" w:space="0" w:color="940000"/>
              <w:bottom w:val="single" w:sz="6" w:space="0" w:color="FFFFFF"/>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Low Intensity Retail Centered Neighborhood</w:t>
            </w:r>
          </w:p>
        </w:tc>
      </w:tr>
      <w:tr w:rsidR="00BB6572" w:rsidRPr="00E83F36">
        <w:trPr>
          <w:trHeight w:val="338"/>
        </w:trPr>
        <w:tc>
          <w:tcPr>
            <w:tcW w:w="450" w:type="dxa"/>
            <w:tcBorders>
              <w:top w:val="single" w:sz="7" w:space="0" w:color="FFFFFF"/>
              <w:left w:val="single" w:sz="4" w:space="0" w:color="000000"/>
              <w:bottom w:val="single" w:sz="7" w:space="0" w:color="FFFFFF"/>
              <w:right w:val="single"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23</w:t>
            </w:r>
          </w:p>
        </w:tc>
        <w:tc>
          <w:tcPr>
            <w:tcW w:w="4153" w:type="dxa"/>
            <w:tcBorders>
              <w:top w:val="single" w:sz="6" w:space="0" w:color="FFFFFF"/>
              <w:left w:val="single" w:sz="6" w:space="0" w:color="940000"/>
              <w:bottom w:val="single" w:sz="6" w:space="0" w:color="FFFFFF"/>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Retail: Strip Mall / Big Box</w:t>
            </w:r>
          </w:p>
        </w:tc>
      </w:tr>
      <w:tr w:rsidR="00BB6572" w:rsidRPr="00E83F36">
        <w:trPr>
          <w:trHeight w:val="338"/>
        </w:trPr>
        <w:tc>
          <w:tcPr>
            <w:tcW w:w="450" w:type="dxa"/>
            <w:tcBorders>
              <w:top w:val="single" w:sz="7" w:space="0" w:color="FFFFFF"/>
              <w:left w:val="single" w:sz="4" w:space="0" w:color="000000"/>
              <w:bottom w:val="single" w:sz="7" w:space="0" w:color="FFFFFF"/>
              <w:right w:val="single"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24</w:t>
            </w:r>
          </w:p>
        </w:tc>
        <w:tc>
          <w:tcPr>
            <w:tcW w:w="4153" w:type="dxa"/>
            <w:tcBorders>
              <w:top w:val="single" w:sz="6" w:space="0" w:color="FFFFFF"/>
              <w:left w:val="single" w:sz="6" w:space="0" w:color="940000"/>
              <w:bottom w:val="single" w:sz="6" w:space="0" w:color="FFFFFF"/>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Industrial / Office / Residential Mixed High</w:t>
            </w:r>
          </w:p>
        </w:tc>
      </w:tr>
      <w:tr w:rsidR="00BB6572" w:rsidRPr="00E83F36">
        <w:trPr>
          <w:trHeight w:val="338"/>
        </w:trPr>
        <w:tc>
          <w:tcPr>
            <w:tcW w:w="450" w:type="dxa"/>
            <w:tcBorders>
              <w:top w:val="single" w:sz="7" w:space="0" w:color="FFFFFF"/>
              <w:left w:val="single" w:sz="4" w:space="0" w:color="000000"/>
              <w:bottom w:val="single" w:sz="4" w:space="0" w:color="000000"/>
              <w:right w:val="single"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25</w:t>
            </w:r>
          </w:p>
        </w:tc>
        <w:tc>
          <w:tcPr>
            <w:tcW w:w="4153" w:type="dxa"/>
            <w:tcBorders>
              <w:top w:val="single" w:sz="6" w:space="0" w:color="FFFFFF"/>
              <w:left w:val="single" w:sz="6" w:space="0" w:color="940000"/>
              <w:bottom w:val="single" w:sz="4" w:space="0" w:color="000000"/>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Industrial / Office / Residential Mixed Low</w:t>
            </w:r>
          </w:p>
        </w:tc>
      </w:tr>
    </w:tbl>
    <w:p w:rsidR="00BB6572" w:rsidRPr="00E83F36" w:rsidRDefault="00BB6572" w:rsidP="00BB6572">
      <w:pPr>
        <w:pStyle w:val="HELCaption"/>
        <w:jc w:val="right"/>
        <w:rPr>
          <w:rFonts w:ascii="Palatino Linotype" w:hAnsi="Palatino Linotype" w:cstheme="minorHAnsi"/>
          <w:outline/>
          <w:sz w:val="18"/>
          <w14:textOutline w14:w="9525" w14:cap="flat" w14:cmpd="sng" w14:algn="ctr">
            <w14:solidFill>
              <w14:srgbClr w14:val="000000"/>
            </w14:solidFill>
            <w14:prstDash w14:val="solid"/>
            <w14:round/>
          </w14:textOutline>
          <w14:textFill>
            <w14:noFill/>
          </w14:textFill>
        </w:rPr>
      </w:pPr>
      <w:r w:rsidRPr="00E83F36">
        <w:rPr>
          <w:rFonts w:ascii="Palatino Linotype" w:hAnsi="Palatino Linotype" w:cstheme="minorHAnsi"/>
          <w:outline/>
          <w:sz w:val="18"/>
          <w14:textOutline w14:w="9525" w14:cap="flat" w14:cmpd="sng" w14:algn="ctr">
            <w14:solidFill>
              <w14:srgbClr w14:val="000000"/>
            </w14:solidFill>
            <w14:prstDash w14:val="solid"/>
            <w14:round/>
          </w14:textOutline>
          <w14:textFill>
            <w14:noFill/>
          </w14:textFill>
        </w:rPr>
        <w:t>Suburban Residential Single Use</w:t>
      </w:r>
    </w:p>
    <w:tbl>
      <w:tblPr>
        <w:tblW w:w="0" w:type="auto"/>
        <w:tblInd w:w="5" w:type="dxa"/>
        <w:tblLayout w:type="fixed"/>
        <w:tblCellMar>
          <w:left w:w="0" w:type="dxa"/>
          <w:right w:w="0" w:type="dxa"/>
        </w:tblCellMar>
        <w:tblLook w:val="0000" w:firstRow="0" w:lastRow="0" w:firstColumn="0" w:lastColumn="0" w:noHBand="0" w:noVBand="0"/>
      </w:tblPr>
      <w:tblGrid>
        <w:gridCol w:w="450"/>
        <w:gridCol w:w="4153"/>
      </w:tblGrid>
      <w:tr w:rsidR="00BB6572" w:rsidRPr="00E83F36">
        <w:trPr>
          <w:trHeight w:val="338"/>
        </w:trPr>
        <w:tc>
          <w:tcPr>
            <w:tcW w:w="450" w:type="dxa"/>
            <w:tcBorders>
              <w:top w:val="single" w:sz="4" w:space="0" w:color="000000"/>
              <w:left w:val="single" w:sz="4" w:space="0" w:color="000000"/>
              <w:bottom w:val="single" w:sz="7" w:space="0" w:color="FFFFFF"/>
              <w:right w:val="single"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26</w:t>
            </w:r>
          </w:p>
        </w:tc>
        <w:tc>
          <w:tcPr>
            <w:tcW w:w="4153" w:type="dxa"/>
            <w:tcBorders>
              <w:top w:val="single" w:sz="4" w:space="0" w:color="000000"/>
              <w:left w:val="single" w:sz="6" w:space="0" w:color="940000"/>
              <w:bottom w:val="single" w:sz="6" w:space="0" w:color="FFFFFF"/>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Suburban Multifamily</w:t>
            </w:r>
          </w:p>
        </w:tc>
      </w:tr>
      <w:tr w:rsidR="00BB6572" w:rsidRPr="00E83F36">
        <w:trPr>
          <w:trHeight w:val="338"/>
        </w:trPr>
        <w:tc>
          <w:tcPr>
            <w:tcW w:w="450" w:type="dxa"/>
            <w:tcBorders>
              <w:top w:val="single" w:sz="7" w:space="0" w:color="FFFFFF"/>
              <w:left w:val="single" w:sz="4" w:space="0" w:color="000000"/>
              <w:bottom w:val="single" w:sz="7" w:space="0" w:color="FFFFFF"/>
              <w:right w:val="single"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27</w:t>
            </w:r>
          </w:p>
        </w:tc>
        <w:tc>
          <w:tcPr>
            <w:tcW w:w="4153" w:type="dxa"/>
            <w:tcBorders>
              <w:top w:val="single" w:sz="6" w:space="0" w:color="FFFFFF"/>
              <w:left w:val="single" w:sz="6" w:space="0" w:color="940000"/>
              <w:bottom w:val="single" w:sz="6" w:space="0" w:color="FFFFFF"/>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Suburban Mixed Residential</w:t>
            </w:r>
          </w:p>
        </w:tc>
      </w:tr>
      <w:tr w:rsidR="00BB6572" w:rsidRPr="00E83F36">
        <w:trPr>
          <w:trHeight w:val="338"/>
        </w:trPr>
        <w:tc>
          <w:tcPr>
            <w:tcW w:w="450" w:type="dxa"/>
            <w:tcBorders>
              <w:top w:val="single" w:sz="7" w:space="0" w:color="FFFFFF"/>
              <w:left w:val="single" w:sz="4" w:space="0" w:color="000000"/>
              <w:bottom w:val="single" w:sz="7" w:space="0" w:color="FFFFFF"/>
              <w:right w:val="single"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28</w:t>
            </w:r>
          </w:p>
        </w:tc>
        <w:tc>
          <w:tcPr>
            <w:tcW w:w="4153" w:type="dxa"/>
            <w:tcBorders>
              <w:top w:val="single" w:sz="6" w:space="0" w:color="FFFFFF"/>
              <w:left w:val="single" w:sz="6" w:space="0" w:color="940000"/>
              <w:bottom w:val="single" w:sz="6" w:space="0" w:color="FFFFFF"/>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Residential Subdivision</w:t>
            </w:r>
          </w:p>
        </w:tc>
      </w:tr>
      <w:tr w:rsidR="00BB6572" w:rsidRPr="00E83F36">
        <w:trPr>
          <w:trHeight w:val="338"/>
        </w:trPr>
        <w:tc>
          <w:tcPr>
            <w:tcW w:w="450" w:type="dxa"/>
            <w:tcBorders>
              <w:top w:val="single" w:sz="7" w:space="0" w:color="FFFFFF"/>
              <w:left w:val="single" w:sz="4" w:space="0" w:color="000000"/>
              <w:bottom w:val="single" w:sz="4" w:space="0" w:color="000000"/>
              <w:right w:val="single"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29</w:t>
            </w:r>
          </w:p>
        </w:tc>
        <w:tc>
          <w:tcPr>
            <w:tcW w:w="4153" w:type="dxa"/>
            <w:tcBorders>
              <w:top w:val="single" w:sz="6" w:space="0" w:color="FFFFFF"/>
              <w:left w:val="single" w:sz="6" w:space="0" w:color="940000"/>
              <w:bottom w:val="single" w:sz="4" w:space="0" w:color="000000"/>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Large Lot Residential Area</w:t>
            </w:r>
          </w:p>
        </w:tc>
      </w:tr>
    </w:tbl>
    <w:p w:rsidR="00BB6572" w:rsidRPr="00E83F36" w:rsidRDefault="00BB6572" w:rsidP="00BB6572">
      <w:pPr>
        <w:pStyle w:val="HELCaption"/>
        <w:jc w:val="right"/>
        <w:rPr>
          <w:rFonts w:ascii="Palatino Linotype" w:hAnsi="Palatino Linotype" w:cstheme="minorHAnsi"/>
          <w:outline/>
          <w:sz w:val="18"/>
          <w14:textOutline w14:w="9525" w14:cap="flat" w14:cmpd="sng" w14:algn="ctr">
            <w14:solidFill>
              <w14:srgbClr w14:val="000000"/>
            </w14:solidFill>
            <w14:prstDash w14:val="solid"/>
            <w14:round/>
          </w14:textOutline>
          <w14:textFill>
            <w14:noFill/>
          </w14:textFill>
        </w:rPr>
      </w:pPr>
      <w:r w:rsidRPr="00E83F36">
        <w:rPr>
          <w:rFonts w:ascii="Palatino Linotype" w:hAnsi="Palatino Linotype" w:cstheme="minorHAnsi"/>
          <w:outline/>
          <w:sz w:val="18"/>
          <w14:textOutline w14:w="9525" w14:cap="flat" w14:cmpd="sng" w14:algn="ctr">
            <w14:solidFill>
              <w14:srgbClr w14:val="000000"/>
            </w14:solidFill>
            <w14:prstDash w14:val="solid"/>
            <w14:round/>
          </w14:textOutline>
          <w14:textFill>
            <w14:noFill/>
          </w14:textFill>
        </w:rPr>
        <w:t>Rural</w:t>
      </w:r>
    </w:p>
    <w:tbl>
      <w:tblPr>
        <w:tblW w:w="0" w:type="auto"/>
        <w:tblInd w:w="5" w:type="dxa"/>
        <w:tblLayout w:type="fixed"/>
        <w:tblCellMar>
          <w:left w:w="0" w:type="dxa"/>
          <w:right w:w="0" w:type="dxa"/>
        </w:tblCellMar>
        <w:tblLook w:val="0000" w:firstRow="0" w:lastRow="0" w:firstColumn="0" w:lastColumn="0" w:noHBand="0" w:noVBand="0"/>
      </w:tblPr>
      <w:tblGrid>
        <w:gridCol w:w="450"/>
        <w:gridCol w:w="4153"/>
      </w:tblGrid>
      <w:tr w:rsidR="00BB6572" w:rsidRPr="00E83F36">
        <w:trPr>
          <w:trHeight w:val="338"/>
        </w:trPr>
        <w:tc>
          <w:tcPr>
            <w:tcW w:w="450" w:type="dxa"/>
            <w:tcBorders>
              <w:top w:val="single" w:sz="4" w:space="0" w:color="000000"/>
              <w:left w:val="single" w:sz="4" w:space="0" w:color="000000"/>
              <w:bottom w:val="single" w:sz="7" w:space="0" w:color="FFFFFF"/>
              <w:right w:val="single"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30</w:t>
            </w:r>
          </w:p>
        </w:tc>
        <w:tc>
          <w:tcPr>
            <w:tcW w:w="4153" w:type="dxa"/>
            <w:tcBorders>
              <w:top w:val="single" w:sz="4" w:space="0" w:color="000000"/>
              <w:left w:val="single" w:sz="6" w:space="0" w:color="940000"/>
              <w:bottom w:val="single" w:sz="6" w:space="0" w:color="FFFFFF"/>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Rural Residential</w:t>
            </w:r>
          </w:p>
        </w:tc>
      </w:tr>
      <w:tr w:rsidR="00BB6572" w:rsidRPr="00E83F36">
        <w:trPr>
          <w:trHeight w:val="338"/>
        </w:trPr>
        <w:tc>
          <w:tcPr>
            <w:tcW w:w="450" w:type="dxa"/>
            <w:tcBorders>
              <w:top w:val="single" w:sz="7" w:space="0" w:color="FFFFFF"/>
              <w:left w:val="single" w:sz="4" w:space="0" w:color="000000"/>
              <w:bottom w:val="single" w:sz="7" w:space="0" w:color="FFFFFF"/>
              <w:right w:val="single"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31</w:t>
            </w:r>
          </w:p>
        </w:tc>
        <w:tc>
          <w:tcPr>
            <w:tcW w:w="4153" w:type="dxa"/>
            <w:tcBorders>
              <w:top w:val="single" w:sz="6" w:space="0" w:color="FFFFFF"/>
              <w:left w:val="single" w:sz="6" w:space="0" w:color="940000"/>
              <w:bottom w:val="single" w:sz="6" w:space="0" w:color="FFFFFF"/>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 xml:space="preserve">Rural </w:t>
            </w:r>
            <w:proofErr w:type="spellStart"/>
            <w:r w:rsidRPr="00E83F36">
              <w:rPr>
                <w:rFonts w:ascii="Palatino Linotype" w:hAnsi="Palatino Linotype" w:cstheme="minorHAnsi"/>
                <w:sz w:val="18"/>
              </w:rPr>
              <w:t>Ranchettes</w:t>
            </w:r>
            <w:proofErr w:type="spellEnd"/>
          </w:p>
        </w:tc>
      </w:tr>
      <w:tr w:rsidR="00BB6572" w:rsidRPr="00E83F36">
        <w:trPr>
          <w:trHeight w:val="338"/>
        </w:trPr>
        <w:tc>
          <w:tcPr>
            <w:tcW w:w="450" w:type="dxa"/>
            <w:tcBorders>
              <w:top w:val="single" w:sz="7" w:space="0" w:color="FFFFFF"/>
              <w:left w:val="single" w:sz="4" w:space="0" w:color="000000"/>
              <w:bottom w:val="single" w:sz="4" w:space="0" w:color="000000"/>
              <w:right w:val="single"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32</w:t>
            </w:r>
          </w:p>
        </w:tc>
        <w:tc>
          <w:tcPr>
            <w:tcW w:w="4153" w:type="dxa"/>
            <w:tcBorders>
              <w:top w:val="single" w:sz="6" w:space="0" w:color="FFFFFF"/>
              <w:left w:val="single" w:sz="6" w:space="0" w:color="940000"/>
              <w:bottom w:val="single" w:sz="4" w:space="0" w:color="000000"/>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Rural Employment</w:t>
            </w:r>
          </w:p>
        </w:tc>
      </w:tr>
    </w:tbl>
    <w:p w:rsidR="00BB6572" w:rsidRPr="00E83F36" w:rsidRDefault="00BB6572" w:rsidP="00BB6572">
      <w:pPr>
        <w:pStyle w:val="HELCaption"/>
        <w:jc w:val="right"/>
        <w:rPr>
          <w:rFonts w:ascii="Palatino Linotype" w:hAnsi="Palatino Linotype" w:cstheme="minorHAnsi"/>
          <w:outline/>
          <w:sz w:val="18"/>
          <w14:textOutline w14:w="9525" w14:cap="flat" w14:cmpd="sng" w14:algn="ctr">
            <w14:solidFill>
              <w14:srgbClr w14:val="000000"/>
            </w14:solidFill>
            <w14:prstDash w14:val="solid"/>
            <w14:round/>
          </w14:textOutline>
          <w14:textFill>
            <w14:noFill/>
          </w14:textFill>
        </w:rPr>
      </w:pPr>
      <w:r w:rsidRPr="00E83F36">
        <w:rPr>
          <w:rFonts w:ascii="Palatino Linotype" w:hAnsi="Palatino Linotype" w:cstheme="minorHAnsi"/>
          <w:outline/>
          <w:sz w:val="18"/>
          <w14:textOutline w14:w="9525" w14:cap="flat" w14:cmpd="sng" w14:algn="ctr">
            <w14:solidFill>
              <w14:srgbClr w14:val="000000"/>
            </w14:solidFill>
            <w14:prstDash w14:val="solid"/>
            <w14:round/>
          </w14:textOutline>
          <w14:textFill>
            <w14:noFill/>
          </w14:textFill>
        </w:rPr>
        <w:t>Institutional</w:t>
      </w:r>
    </w:p>
    <w:tbl>
      <w:tblPr>
        <w:tblW w:w="0" w:type="auto"/>
        <w:tblInd w:w="5" w:type="dxa"/>
        <w:tblLayout w:type="fixed"/>
        <w:tblCellMar>
          <w:left w:w="0" w:type="dxa"/>
          <w:right w:w="0" w:type="dxa"/>
        </w:tblCellMar>
        <w:tblLook w:val="0000" w:firstRow="0" w:lastRow="0" w:firstColumn="0" w:lastColumn="0" w:noHBand="0" w:noVBand="0"/>
      </w:tblPr>
      <w:tblGrid>
        <w:gridCol w:w="450"/>
        <w:gridCol w:w="4153"/>
      </w:tblGrid>
      <w:tr w:rsidR="00BB6572" w:rsidRPr="00E83F36" w:rsidTr="00BB6572">
        <w:trPr>
          <w:trHeight w:val="338"/>
        </w:trPr>
        <w:tc>
          <w:tcPr>
            <w:tcW w:w="450" w:type="dxa"/>
            <w:tcBorders>
              <w:top w:val="single" w:sz="4" w:space="0" w:color="000000"/>
              <w:left w:val="single" w:sz="4" w:space="0" w:color="000000"/>
              <w:bottom w:val="single" w:sz="7" w:space="0" w:color="FFFFFF"/>
              <w:right w:val="single"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33</w:t>
            </w:r>
          </w:p>
        </w:tc>
        <w:tc>
          <w:tcPr>
            <w:tcW w:w="4153" w:type="dxa"/>
            <w:tcBorders>
              <w:top w:val="single" w:sz="4" w:space="0" w:color="000000"/>
              <w:left w:val="single" w:sz="6" w:space="0" w:color="940000"/>
              <w:bottom w:val="single" w:sz="6" w:space="0" w:color="FFFFFF"/>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Campus / University</w:t>
            </w:r>
          </w:p>
        </w:tc>
      </w:tr>
      <w:tr w:rsidR="00BB6572" w:rsidRPr="00E83F36" w:rsidTr="00BB6572">
        <w:trPr>
          <w:trHeight w:val="338"/>
        </w:trPr>
        <w:tc>
          <w:tcPr>
            <w:tcW w:w="450" w:type="dxa"/>
            <w:tcBorders>
              <w:top w:val="single" w:sz="7" w:space="0" w:color="FFFFFF"/>
              <w:left w:val="single" w:sz="4" w:space="0" w:color="000000"/>
              <w:bottom w:val="single" w:sz="4" w:space="0" w:color="000000"/>
              <w:right w:val="single" w:sz="6" w:space="0" w:color="940000"/>
            </w:tcBorders>
            <w:tcMar>
              <w:top w:w="0" w:type="dxa"/>
              <w:left w:w="0" w:type="dxa"/>
              <w:bottom w:w="0" w:type="dxa"/>
              <w:right w:w="180" w:type="dxa"/>
            </w:tcMar>
            <w:vAlign w:val="center"/>
          </w:tcPr>
          <w:p w:rsidR="00BB6572" w:rsidRPr="00E83F36" w:rsidRDefault="00BB6572">
            <w:pPr>
              <w:pStyle w:val="HELCaption"/>
              <w:jc w:val="right"/>
              <w:rPr>
                <w:rFonts w:ascii="Palatino Linotype" w:hAnsi="Palatino Linotype" w:cstheme="minorHAnsi"/>
                <w:sz w:val="18"/>
              </w:rPr>
            </w:pPr>
            <w:r w:rsidRPr="00E83F36">
              <w:rPr>
                <w:rFonts w:ascii="Palatino Linotype" w:hAnsi="Palatino Linotype" w:cstheme="minorHAnsi"/>
                <w:i w:val="0"/>
                <w:iCs w:val="0"/>
                <w:sz w:val="18"/>
              </w:rPr>
              <w:t>34</w:t>
            </w:r>
          </w:p>
        </w:tc>
        <w:tc>
          <w:tcPr>
            <w:tcW w:w="4153" w:type="dxa"/>
            <w:tcBorders>
              <w:top w:val="single" w:sz="6" w:space="0" w:color="FFFFFF"/>
              <w:left w:val="single" w:sz="6" w:space="0" w:color="940000"/>
              <w:bottom w:val="single" w:sz="4" w:space="0" w:color="000000"/>
              <w:right w:val="single" w:sz="6" w:space="0" w:color="auto"/>
            </w:tcBorders>
            <w:tcMar>
              <w:top w:w="0" w:type="dxa"/>
              <w:left w:w="0" w:type="dxa"/>
              <w:bottom w:w="0" w:type="dxa"/>
              <w:right w:w="0" w:type="dxa"/>
            </w:tcMar>
            <w:vAlign w:val="center"/>
          </w:tcPr>
          <w:p w:rsidR="00BB6572" w:rsidRPr="00E83F36" w:rsidRDefault="00BB6572">
            <w:pPr>
              <w:pStyle w:val="HELCaption"/>
              <w:rPr>
                <w:rFonts w:ascii="Palatino Linotype" w:hAnsi="Palatino Linotype" w:cstheme="minorHAnsi"/>
                <w:sz w:val="18"/>
              </w:rPr>
            </w:pPr>
            <w:r w:rsidRPr="00E83F36">
              <w:rPr>
                <w:rFonts w:ascii="Palatino Linotype" w:hAnsi="Palatino Linotype" w:cstheme="minorHAnsi"/>
                <w:sz w:val="18"/>
              </w:rPr>
              <w:t>Institutional</w:t>
            </w:r>
          </w:p>
        </w:tc>
      </w:tr>
    </w:tbl>
    <w:p w:rsidR="000248A3" w:rsidRPr="00E83F36" w:rsidRDefault="000248A3" w:rsidP="00E83F36">
      <w:pPr>
        <w:rPr>
          <w:rFonts w:ascii="Palatino Linotype" w:hAnsi="Palatino Linotype" w:cstheme="minorHAnsi"/>
          <w:color w:val="000000"/>
          <w:sz w:val="18"/>
          <w:szCs w:val="16"/>
        </w:rPr>
        <w:sectPr w:rsidR="000248A3" w:rsidRPr="00E83F36" w:rsidSect="00BB6572">
          <w:type w:val="continuous"/>
          <w:pgSz w:w="12240" w:h="15840"/>
          <w:pgMar w:top="1440" w:right="1440" w:bottom="1440" w:left="1440" w:header="720" w:footer="720" w:gutter="0"/>
          <w:cols w:num="2" w:space="720"/>
          <w:docGrid w:linePitch="360"/>
        </w:sectPr>
      </w:pPr>
    </w:p>
    <w:p w:rsidR="000248A3" w:rsidRPr="00E83F36" w:rsidRDefault="000248A3" w:rsidP="00E83F36">
      <w:pPr>
        <w:rPr>
          <w:rFonts w:ascii="Palatino Linotype" w:hAnsi="Palatino Linotype" w:cstheme="minorHAnsi"/>
          <w:b/>
          <w:color w:val="000000"/>
          <w:sz w:val="18"/>
          <w:szCs w:val="16"/>
        </w:rPr>
      </w:pPr>
      <w:r w:rsidRPr="00E83F36">
        <w:rPr>
          <w:rFonts w:ascii="Palatino Linotype" w:hAnsi="Palatino Linotype"/>
          <w:b/>
          <w:sz w:val="24"/>
          <w:szCs w:val="24"/>
        </w:rPr>
        <w:lastRenderedPageBreak/>
        <w:t>Place Type</w:t>
      </w:r>
    </w:p>
    <w:p w:rsidR="000248A3" w:rsidRPr="00E83F36" w:rsidRDefault="000248A3" w:rsidP="000248A3">
      <w:pPr>
        <w:pStyle w:val="HELParagraphHeading"/>
        <w:suppressAutoHyphens/>
        <w:jc w:val="left"/>
        <w:rPr>
          <w:rFonts w:ascii="Palatino Linotype" w:hAnsi="Palatino Linotype" w:cs="HelveticaNeueLT Std Cn"/>
          <w:b/>
          <w:bCs/>
          <w:outline/>
          <w:sz w:val="24"/>
          <w:szCs w:val="24"/>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E83F36">
        <w:rPr>
          <w:rFonts w:ascii="Palatino Linotype" w:hAnsi="Palatino Linotype" w:cs="HelveticaNeueLT Std Cn"/>
          <w:b/>
          <w:bCs/>
          <w:outline/>
          <w:sz w:val="24"/>
          <w:szCs w:val="24"/>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Site Size</w:t>
      </w:r>
    </w:p>
    <w:p w:rsidR="000248A3" w:rsidRPr="00E83F36" w:rsidRDefault="000248A3" w:rsidP="000248A3">
      <w:pPr>
        <w:pStyle w:val="HELParagraphHeading"/>
        <w:suppressAutoHyphens/>
        <w:jc w:val="left"/>
        <w:rPr>
          <w:rFonts w:ascii="Palatino Linotype" w:hAnsi="Palatino Linotype" w:cs="HelveticaNeueLT Std Cn"/>
          <w:b/>
          <w:bCs/>
          <w:outline/>
          <w:sz w:val="24"/>
          <w:szCs w:val="24"/>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E83F36">
        <w:rPr>
          <w:rFonts w:ascii="Palatino Linotype" w:hAnsi="Palatino Linotype" w:cs="HelveticaNeueLT Std Cn"/>
          <w:b/>
          <w:bCs/>
          <w:outline/>
          <w:sz w:val="24"/>
          <w:szCs w:val="24"/>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Block Size</w:t>
      </w:r>
    </w:p>
    <w:p w:rsidR="000248A3" w:rsidRPr="00E83F36" w:rsidRDefault="000248A3" w:rsidP="000248A3">
      <w:pPr>
        <w:pStyle w:val="HELParagraphHeading"/>
        <w:suppressAutoHyphens/>
        <w:jc w:val="left"/>
        <w:rPr>
          <w:rFonts w:ascii="Palatino Linotype" w:hAnsi="Palatino Linotype" w:cs="HelveticaNeueLT Std Cn"/>
          <w:b/>
          <w:bCs/>
          <w:outline/>
          <w:sz w:val="24"/>
          <w:szCs w:val="24"/>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E83F36">
        <w:rPr>
          <w:rFonts w:ascii="Palatino Linotype" w:hAnsi="Palatino Linotype" w:cs="HelveticaNeueLT Std Cn"/>
          <w:b/>
          <w:bCs/>
          <w:outline/>
          <w:sz w:val="24"/>
          <w:szCs w:val="24"/>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Densities </w:t>
      </w:r>
    </w:p>
    <w:p w:rsidR="000248A3" w:rsidRPr="00E83F36" w:rsidRDefault="000248A3" w:rsidP="000248A3">
      <w:pPr>
        <w:pStyle w:val="HELParagraphHeading"/>
        <w:suppressAutoHyphens/>
        <w:jc w:val="left"/>
        <w:rPr>
          <w:rFonts w:ascii="Palatino Linotype" w:hAnsi="Palatino Linotype" w:cs="HelveticaNeueLT Std Cn"/>
          <w:b/>
          <w:bCs/>
          <w:outline/>
          <w:sz w:val="24"/>
          <w:szCs w:val="24"/>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E83F36">
        <w:rPr>
          <w:rFonts w:ascii="Palatino Linotype" w:hAnsi="Palatino Linotype" w:cs="HelveticaNeueLT Std Cn"/>
          <w:b/>
          <w:bCs/>
          <w:outline/>
          <w:sz w:val="24"/>
          <w:szCs w:val="24"/>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Floor Area Ratio</w:t>
      </w:r>
    </w:p>
    <w:p w:rsidR="000248A3" w:rsidRPr="00E83F36" w:rsidRDefault="000248A3" w:rsidP="000248A3">
      <w:pPr>
        <w:pStyle w:val="HELParagraphHeading"/>
        <w:suppressAutoHyphens/>
        <w:jc w:val="left"/>
        <w:rPr>
          <w:rFonts w:ascii="Palatino Linotype" w:hAnsi="Palatino Linotype" w:cs="HelveticaNeueLT Std Cn"/>
          <w:b/>
          <w:bCs/>
          <w:outline/>
          <w:sz w:val="24"/>
          <w:szCs w:val="24"/>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E83F36">
        <w:rPr>
          <w:rFonts w:ascii="Palatino Linotype" w:hAnsi="Palatino Linotype" w:cs="HelveticaNeueLT Std Cn"/>
          <w:b/>
          <w:bCs/>
          <w:outline/>
          <w:sz w:val="24"/>
          <w:szCs w:val="24"/>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Land Use</w:t>
      </w:r>
    </w:p>
    <w:p w:rsidR="000248A3" w:rsidRPr="00E83F36" w:rsidRDefault="000248A3" w:rsidP="000248A3">
      <w:pPr>
        <w:pStyle w:val="HELParagraphHeading"/>
        <w:suppressAutoHyphens/>
        <w:jc w:val="left"/>
        <w:rPr>
          <w:rFonts w:ascii="Palatino Linotype" w:hAnsi="Palatino Linotype" w:cs="HelveticaNeueLT Std Cn"/>
          <w:b/>
          <w:bCs/>
          <w:outline/>
          <w:sz w:val="24"/>
          <w:szCs w:val="24"/>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E83F36">
        <w:rPr>
          <w:rFonts w:ascii="Palatino Linotype" w:hAnsi="Palatino Linotype" w:cs="HelveticaNeueLT Std Cn"/>
          <w:b/>
          <w:bCs/>
          <w:outline/>
          <w:sz w:val="24"/>
          <w:szCs w:val="24"/>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Population</w:t>
      </w:r>
    </w:p>
    <w:p w:rsidR="000248A3" w:rsidRPr="00E83F36" w:rsidRDefault="000248A3" w:rsidP="000248A3">
      <w:pPr>
        <w:pStyle w:val="HELParagraphHeading"/>
        <w:suppressAutoHyphens/>
        <w:jc w:val="left"/>
        <w:rPr>
          <w:rFonts w:ascii="Palatino Linotype" w:hAnsi="Palatino Linotype" w:cs="HelveticaNeueLT Std Cn"/>
          <w:b/>
          <w:bCs/>
          <w:outline/>
          <w:sz w:val="24"/>
          <w:szCs w:val="24"/>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E83F36">
        <w:rPr>
          <w:rFonts w:ascii="Palatino Linotype" w:hAnsi="Palatino Linotype" w:cs="HelveticaNeueLT Std Cn"/>
          <w:b/>
          <w:bCs/>
          <w:outline/>
          <w:sz w:val="24"/>
          <w:szCs w:val="24"/>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Housing</w:t>
      </w:r>
    </w:p>
    <w:p w:rsidR="000248A3" w:rsidRPr="00E83F36" w:rsidRDefault="000248A3" w:rsidP="000248A3">
      <w:pPr>
        <w:pStyle w:val="HELParagraphHeading"/>
        <w:suppressAutoHyphens/>
        <w:jc w:val="left"/>
        <w:rPr>
          <w:rFonts w:ascii="Palatino Linotype" w:hAnsi="Palatino Linotype" w:cs="HelveticaNeueLT Std Cn"/>
          <w:b/>
          <w:bCs/>
          <w:outline/>
          <w:sz w:val="24"/>
          <w:szCs w:val="24"/>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E83F36">
        <w:rPr>
          <w:rFonts w:ascii="Palatino Linotype" w:hAnsi="Palatino Linotype" w:cs="HelveticaNeueLT Std Cn"/>
          <w:b/>
          <w:bCs/>
          <w:outline/>
          <w:sz w:val="24"/>
          <w:szCs w:val="24"/>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Employment</w:t>
      </w:r>
    </w:p>
    <w:p w:rsidR="000248A3" w:rsidRDefault="00E83F36" w:rsidP="000248A3">
      <w:pPr>
        <w:pStyle w:val="HELParagraphHeading"/>
        <w:rPr>
          <w:rFonts w:ascii="Palatino Linotype" w:hAnsi="Palatino Linotype" w:cs="HelveticaNeueLT Std Cn"/>
          <w:b/>
          <w:bCs/>
          <w:outline/>
          <w:sz w:val="24"/>
          <w:szCs w:val="24"/>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Palatino Linotype" w:hAnsi="Palatino Linotype" w:cs="HelveticaNeueLT Std Cn"/>
          <w:b/>
          <w:bCs/>
          <w:outline/>
          <w:sz w:val="24"/>
          <w:szCs w:val="24"/>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Streets</w:t>
      </w:r>
    </w:p>
    <w:p w:rsidR="00E83F36" w:rsidRPr="00E83F36" w:rsidRDefault="00E83F36" w:rsidP="000248A3">
      <w:pPr>
        <w:pStyle w:val="HELParagraphHeading"/>
        <w:rPr>
          <w:rFonts w:ascii="Palatino Linotype" w:hAnsi="Palatino Linotype" w:cs="HelveticaNeueLT Std Cn"/>
          <w:b/>
          <w:bCs/>
          <w:outline/>
          <w:sz w:val="24"/>
          <w:szCs w:val="24"/>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0248A3" w:rsidRPr="00B866D9" w:rsidRDefault="000248A3" w:rsidP="000248A3">
      <w:pPr>
        <w:pStyle w:val="GEORGIABodyText"/>
        <w:rPr>
          <w:rFonts w:ascii="Palatino Linotype" w:hAnsi="Palatino Linotype"/>
          <w:sz w:val="24"/>
          <w:szCs w:val="24"/>
        </w:rPr>
      </w:pPr>
      <w:r w:rsidRPr="00B866D9">
        <w:rPr>
          <w:rFonts w:ascii="Palatino Linotype" w:hAnsi="Palatino Linotype"/>
          <w:sz w:val="24"/>
          <w:szCs w:val="24"/>
        </w:rPr>
        <w:t>Place Types, and the buildings within them, are “loaded” with a unique set of assumptions that facilitate scenario modeling and testing at a variety of scales. Some assumptions are related to the individual buildings in a Place Type (i.e. commercial mid-rise, single family home, townhome), including:</w:t>
      </w:r>
    </w:p>
    <w:p w:rsidR="000248A3" w:rsidRPr="00B866D9" w:rsidRDefault="000248A3" w:rsidP="000248A3">
      <w:pPr>
        <w:pStyle w:val="GEORGIABodyTextBullet"/>
        <w:rPr>
          <w:rFonts w:ascii="Palatino Linotype" w:hAnsi="Palatino Linotype"/>
          <w:sz w:val="24"/>
          <w:szCs w:val="24"/>
        </w:rPr>
      </w:pPr>
      <w:r w:rsidRPr="00B866D9">
        <w:rPr>
          <w:rFonts w:ascii="Palatino Linotype" w:hAnsi="Palatino Linotype"/>
          <w:sz w:val="24"/>
          <w:szCs w:val="24"/>
        </w:rPr>
        <w:t xml:space="preserve">Building energy and water consumption </w:t>
      </w:r>
    </w:p>
    <w:p w:rsidR="000248A3" w:rsidRPr="00B866D9" w:rsidRDefault="000248A3" w:rsidP="000248A3">
      <w:pPr>
        <w:pStyle w:val="GEORGIABodyTextBullet"/>
        <w:rPr>
          <w:rFonts w:ascii="Palatino Linotype" w:hAnsi="Palatino Linotype"/>
          <w:sz w:val="24"/>
          <w:szCs w:val="24"/>
        </w:rPr>
      </w:pPr>
      <w:r w:rsidRPr="00B866D9">
        <w:rPr>
          <w:rFonts w:ascii="Palatino Linotype" w:hAnsi="Palatino Linotype"/>
          <w:sz w:val="24"/>
          <w:szCs w:val="24"/>
        </w:rPr>
        <w:t xml:space="preserve">Building-related greenhouse gas emissions </w:t>
      </w:r>
    </w:p>
    <w:p w:rsidR="000248A3" w:rsidRPr="00B866D9" w:rsidRDefault="000248A3" w:rsidP="000248A3">
      <w:pPr>
        <w:pStyle w:val="GEORGIABodyTextBullet"/>
        <w:rPr>
          <w:rFonts w:ascii="Palatino Linotype" w:hAnsi="Palatino Linotype"/>
          <w:sz w:val="24"/>
          <w:szCs w:val="24"/>
        </w:rPr>
      </w:pPr>
      <w:r w:rsidRPr="00B866D9">
        <w:rPr>
          <w:rFonts w:ascii="Palatino Linotype" w:hAnsi="Palatino Linotype"/>
          <w:sz w:val="24"/>
          <w:szCs w:val="24"/>
        </w:rPr>
        <w:t>Infrastructure cost/burden (including operations and maintenance costs)</w:t>
      </w:r>
    </w:p>
    <w:p w:rsidR="000248A3" w:rsidRPr="00B866D9" w:rsidRDefault="000248A3" w:rsidP="000248A3">
      <w:pPr>
        <w:pStyle w:val="GEORGIABodyTextBullet"/>
        <w:rPr>
          <w:rFonts w:ascii="Palatino Linotype" w:hAnsi="Palatino Linotype"/>
          <w:sz w:val="24"/>
          <w:szCs w:val="24"/>
        </w:rPr>
      </w:pPr>
      <w:r w:rsidRPr="00B866D9">
        <w:rPr>
          <w:rFonts w:ascii="Palatino Linotype" w:hAnsi="Palatino Linotype"/>
          <w:sz w:val="24"/>
          <w:szCs w:val="24"/>
        </w:rPr>
        <w:t xml:space="preserve">Household costs and tax burden for utilities </w:t>
      </w:r>
    </w:p>
    <w:p w:rsidR="000248A3" w:rsidRPr="00B866D9" w:rsidRDefault="000248A3" w:rsidP="000248A3">
      <w:pPr>
        <w:pStyle w:val="GEORGIABodyText"/>
        <w:rPr>
          <w:rFonts w:ascii="Palatino Linotype" w:hAnsi="Palatino Linotype"/>
          <w:sz w:val="24"/>
          <w:szCs w:val="24"/>
        </w:rPr>
      </w:pPr>
      <w:r w:rsidRPr="00B866D9">
        <w:rPr>
          <w:rFonts w:ascii="Palatino Linotype" w:hAnsi="Palatino Linotype"/>
          <w:sz w:val="24"/>
          <w:szCs w:val="24"/>
        </w:rPr>
        <w:t>Other assumptions are related to each Place Type’s unique density, location, transportation network, demographic context, and combination of buildings. These assumptions combine to predict the travel behavior of a scenario’s residents and employees and are thus critical in measuring passenger vehicle miles traveled (VMT); roadway congestion; and transportation-related greenhouse gas emissions, air pollutant emissions, public health outcomes, and state, regional, local, and household cost burdens.</w:t>
      </w:r>
    </w:p>
    <w:p w:rsidR="000248A3" w:rsidRPr="00B866D9" w:rsidRDefault="000248A3">
      <w:pPr>
        <w:rPr>
          <w:rFonts w:ascii="Palatino Linotype" w:hAnsi="Palatino Linotype" w:cstheme="minorHAnsi"/>
          <w:color w:val="000000"/>
          <w:sz w:val="24"/>
          <w:szCs w:val="24"/>
        </w:rPr>
      </w:pPr>
      <w:r w:rsidRPr="00B866D9">
        <w:rPr>
          <w:rFonts w:ascii="Palatino Linotype" w:hAnsi="Palatino Linotype" w:cstheme="minorHAnsi"/>
          <w:sz w:val="24"/>
          <w:szCs w:val="24"/>
        </w:rPr>
        <w:br w:type="page"/>
      </w:r>
    </w:p>
    <w:p w:rsidR="000248A3" w:rsidRPr="00B866D9" w:rsidRDefault="000248A3" w:rsidP="00E83F36">
      <w:pPr>
        <w:pStyle w:val="Heading1"/>
      </w:pPr>
      <w:r w:rsidRPr="00B866D9">
        <w:lastRenderedPageBreak/>
        <w:t>Existing Plan Translation</w:t>
      </w:r>
    </w:p>
    <w:p w:rsidR="000248A3" w:rsidRPr="00B866D9" w:rsidRDefault="000248A3" w:rsidP="000248A3">
      <w:pPr>
        <w:pStyle w:val="GEORGIABodyText"/>
        <w:rPr>
          <w:rFonts w:ascii="Palatino Linotype" w:hAnsi="Palatino Linotype"/>
          <w:sz w:val="24"/>
          <w:szCs w:val="24"/>
        </w:rPr>
      </w:pPr>
      <w:proofErr w:type="spellStart"/>
      <w:r w:rsidRPr="00B866D9">
        <w:rPr>
          <w:rFonts w:ascii="Palatino Linotype" w:hAnsi="Palatino Linotype"/>
          <w:sz w:val="24"/>
          <w:szCs w:val="24"/>
        </w:rPr>
        <w:t>UrbanFootprint</w:t>
      </w:r>
      <w:proofErr w:type="spellEnd"/>
      <w:r w:rsidRPr="00B866D9">
        <w:rPr>
          <w:rFonts w:ascii="Palatino Linotype" w:hAnsi="Palatino Linotype"/>
          <w:sz w:val="24"/>
          <w:szCs w:val="24"/>
        </w:rPr>
        <w:t xml:space="preserve"> includes tools that quickly translate any existing plan or scenario into the model’s common language of Place and Building types. The model can translate jurisdictional, county, regional, and other plans, no matter what tool or process was used to create them. Once an existing plan is translated into </w:t>
      </w:r>
      <w:proofErr w:type="spellStart"/>
      <w:r w:rsidRPr="00B866D9">
        <w:rPr>
          <w:rFonts w:ascii="Palatino Linotype" w:hAnsi="Palatino Linotype"/>
          <w:sz w:val="24"/>
          <w:szCs w:val="24"/>
        </w:rPr>
        <w:t>UrbanFootprint</w:t>
      </w:r>
      <w:proofErr w:type="spellEnd"/>
      <w:r w:rsidRPr="00B866D9">
        <w:rPr>
          <w:rFonts w:ascii="Palatino Linotype" w:hAnsi="Palatino Linotype"/>
          <w:sz w:val="24"/>
          <w:szCs w:val="24"/>
        </w:rPr>
        <w:t xml:space="preserve">, additional editing or scenario painting can be performed, and analytical engines can be run. The translation tools also provide the capacity to maintain a common “quilt” of local land use and transport plans, and perform consistent, compatible analysis on individual plans or combinations thereof. </w:t>
      </w:r>
    </w:p>
    <w:p w:rsidR="000248A3" w:rsidRPr="00B866D9" w:rsidRDefault="000248A3" w:rsidP="000248A3">
      <w:pPr>
        <w:pStyle w:val="GEORGIABodyText"/>
        <w:rPr>
          <w:rFonts w:ascii="Palatino Linotype" w:hAnsi="Palatino Linotype"/>
          <w:sz w:val="24"/>
          <w:szCs w:val="24"/>
        </w:rPr>
      </w:pPr>
    </w:p>
    <w:p w:rsidR="000248A3" w:rsidRPr="00B866D9" w:rsidRDefault="000248A3" w:rsidP="000248A3">
      <w:pPr>
        <w:pStyle w:val="GEORGIABodyText"/>
        <w:rPr>
          <w:rFonts w:ascii="Palatino Linotype" w:hAnsi="Palatino Linotype"/>
          <w:sz w:val="24"/>
          <w:szCs w:val="24"/>
        </w:rPr>
      </w:pPr>
      <w:r w:rsidRPr="00B866D9">
        <w:rPr>
          <w:rFonts w:ascii="Palatino Linotype" w:hAnsi="Palatino Linotype"/>
          <w:sz w:val="24"/>
          <w:szCs w:val="24"/>
        </w:rPr>
        <w:t xml:space="preserve">At the state and regional levels, </w:t>
      </w:r>
      <w:proofErr w:type="spellStart"/>
      <w:r w:rsidRPr="00B866D9">
        <w:rPr>
          <w:rFonts w:ascii="Palatino Linotype" w:hAnsi="Palatino Linotype"/>
          <w:sz w:val="24"/>
          <w:szCs w:val="24"/>
        </w:rPr>
        <w:t>UrbanFootprint</w:t>
      </w:r>
      <w:proofErr w:type="spellEnd"/>
      <w:r w:rsidRPr="00B866D9">
        <w:rPr>
          <w:rFonts w:ascii="Palatino Linotype" w:hAnsi="Palatino Linotype"/>
          <w:sz w:val="24"/>
          <w:szCs w:val="24"/>
        </w:rPr>
        <w:t xml:space="preserve"> can be used to integrate or stitch together Sustainable Community Strategies (SCSs), Regional Transportation Plans (RTPs) or similar regional scenarios, and general/local-scale plans as they are produced. This comprehensive plans database can be made available to local governments looking to coordinate their land-use assumptions with other localities and regions for SCS/regional planning and analysis.</w:t>
      </w:r>
    </w:p>
    <w:p w:rsidR="00004A68" w:rsidRDefault="00004A68" w:rsidP="00157583">
      <w:pPr>
        <w:pStyle w:val="HELParagraphHeading"/>
        <w:suppressAutoHyphens/>
        <w:spacing w:after="0"/>
        <w:jc w:val="left"/>
        <w:rPr>
          <w:rFonts w:ascii="Palatino Linotype" w:hAnsi="Palatino Linotype" w:cstheme="minorHAnsi"/>
          <w:i/>
          <w:sz w:val="24"/>
          <w:szCs w:val="24"/>
        </w:rPr>
      </w:pPr>
    </w:p>
    <w:p w:rsidR="00157583" w:rsidRPr="00004A68" w:rsidRDefault="00157583" w:rsidP="00157583">
      <w:pPr>
        <w:pStyle w:val="HELParagraphHeading"/>
        <w:suppressAutoHyphens/>
        <w:spacing w:after="0"/>
        <w:jc w:val="left"/>
        <w:rPr>
          <w:rFonts w:ascii="Palatino Linotype" w:hAnsi="Palatino Linotype"/>
          <w:i/>
          <w:sz w:val="24"/>
          <w:szCs w:val="24"/>
        </w:rPr>
      </w:pPr>
      <w:r w:rsidRPr="00004A68">
        <w:rPr>
          <w:rFonts w:ascii="Palatino Linotype" w:hAnsi="Palatino Linotype" w:cstheme="minorHAnsi"/>
          <w:i/>
          <w:sz w:val="24"/>
          <w:szCs w:val="24"/>
        </w:rPr>
        <w:t>[</w:t>
      </w:r>
      <w:r w:rsidR="000248A3" w:rsidRPr="00004A68">
        <w:rPr>
          <w:rFonts w:ascii="Palatino Linotype" w:hAnsi="Palatino Linotype" w:cstheme="minorHAnsi"/>
          <w:i/>
          <w:sz w:val="24"/>
          <w:szCs w:val="24"/>
        </w:rPr>
        <w:t>Cap</w:t>
      </w:r>
      <w:r w:rsidRPr="00004A68">
        <w:rPr>
          <w:rFonts w:ascii="Palatino Linotype" w:hAnsi="Palatino Linotype" w:cstheme="minorHAnsi"/>
          <w:i/>
          <w:sz w:val="24"/>
          <w:szCs w:val="24"/>
        </w:rPr>
        <w:t>tion]</w:t>
      </w:r>
      <w:proofErr w:type="spellStart"/>
      <w:r w:rsidRPr="00004A68">
        <w:rPr>
          <w:rFonts w:ascii="Palatino Linotype" w:hAnsi="Palatino Linotype"/>
          <w:i/>
          <w:sz w:val="24"/>
          <w:szCs w:val="24"/>
        </w:rPr>
        <w:t>UrbanFootprint</w:t>
      </w:r>
      <w:proofErr w:type="spellEnd"/>
      <w:r w:rsidRPr="00004A68">
        <w:rPr>
          <w:rFonts w:ascii="Palatino Linotype" w:hAnsi="Palatino Linotype"/>
          <w:i/>
          <w:sz w:val="24"/>
          <w:szCs w:val="24"/>
        </w:rPr>
        <w:t xml:space="preserve"> analyzes city, county, regional, or other plans based on their specific density, mix, street connectivity, and use characteristics. It then translates each geographic area (e.g., parcel, TAZ, or grid cell) of the input plan into one of the </w:t>
      </w:r>
      <w:proofErr w:type="spellStart"/>
      <w:r w:rsidRPr="00004A68">
        <w:rPr>
          <w:rFonts w:ascii="Palatino Linotype" w:hAnsi="Palatino Linotype"/>
          <w:i/>
          <w:sz w:val="24"/>
          <w:szCs w:val="24"/>
        </w:rPr>
        <w:t>UrbanFootprint</w:t>
      </w:r>
      <w:proofErr w:type="spellEnd"/>
      <w:r w:rsidRPr="00004A68">
        <w:rPr>
          <w:rFonts w:ascii="Palatino Linotype" w:hAnsi="Palatino Linotype"/>
          <w:i/>
          <w:sz w:val="24"/>
          <w:szCs w:val="24"/>
        </w:rPr>
        <w:t xml:space="preserve"> place types.</w:t>
      </w:r>
    </w:p>
    <w:p w:rsidR="00C675CA" w:rsidRPr="00B866D9" w:rsidRDefault="00C675CA">
      <w:pPr>
        <w:rPr>
          <w:rFonts w:ascii="Palatino Linotype" w:hAnsi="Palatino Linotype" w:cs="HelveticaNeueLT Std Med Cn"/>
          <w:color w:val="000000"/>
          <w:sz w:val="24"/>
          <w:szCs w:val="24"/>
        </w:rPr>
      </w:pPr>
      <w:r w:rsidRPr="00B866D9">
        <w:rPr>
          <w:rFonts w:ascii="Palatino Linotype" w:hAnsi="Palatino Linotype"/>
          <w:sz w:val="24"/>
          <w:szCs w:val="24"/>
        </w:rPr>
        <w:br w:type="page"/>
      </w:r>
    </w:p>
    <w:p w:rsidR="00C675CA" w:rsidRPr="00B866D9" w:rsidRDefault="00C675CA" w:rsidP="00C675CA">
      <w:pPr>
        <w:pStyle w:val="HELhighlightedtext"/>
        <w:rPr>
          <w:rFonts w:ascii="Palatino Linotype" w:hAnsi="Palatino Linotype"/>
        </w:rPr>
      </w:pPr>
      <w:r w:rsidRPr="00B866D9">
        <w:rPr>
          <w:rFonts w:ascii="Palatino Linotype" w:hAnsi="Palatino Linotype"/>
        </w:rPr>
        <w:lastRenderedPageBreak/>
        <w:t>Translated Plans</w:t>
      </w:r>
    </w:p>
    <w:p w:rsidR="00C675CA" w:rsidRPr="00004A68" w:rsidRDefault="00C675CA" w:rsidP="00C675CA">
      <w:pPr>
        <w:pStyle w:val="HELCaption"/>
        <w:rPr>
          <w:rFonts w:ascii="Palatino Linotype" w:hAnsi="Palatino Linotype"/>
          <w:sz w:val="24"/>
          <w:szCs w:val="24"/>
        </w:rPr>
      </w:pPr>
      <w:proofErr w:type="spellStart"/>
      <w:r w:rsidRPr="00B866D9">
        <w:rPr>
          <w:rFonts w:ascii="Palatino Linotype" w:hAnsi="Palatino Linotype"/>
          <w:sz w:val="24"/>
          <w:szCs w:val="24"/>
        </w:rPr>
        <w:t>UrbanFootprint</w:t>
      </w:r>
      <w:proofErr w:type="spellEnd"/>
      <w:r w:rsidRPr="00B866D9">
        <w:rPr>
          <w:rFonts w:ascii="Palatino Linotype" w:hAnsi="Palatino Linotype"/>
          <w:sz w:val="24"/>
          <w:szCs w:val="24"/>
        </w:rPr>
        <w:t xml:space="preserve"> can translate local or regional plans or scenarios produced by other land use </w:t>
      </w:r>
      <w:r w:rsidRPr="00004A68">
        <w:rPr>
          <w:rFonts w:ascii="Palatino Linotype" w:hAnsi="Palatino Linotype"/>
          <w:sz w:val="24"/>
          <w:szCs w:val="24"/>
        </w:rPr>
        <w:t xml:space="preserve">tools or “sketch models”, as well as those that were not created using a specific tool or process.  </w:t>
      </w:r>
    </w:p>
    <w:p w:rsidR="00004A68" w:rsidRPr="00004A68" w:rsidRDefault="00004A68" w:rsidP="00004A68">
      <w:pPr>
        <w:autoSpaceDE w:val="0"/>
        <w:autoSpaceDN w:val="0"/>
        <w:adjustRightInd w:val="0"/>
        <w:spacing w:after="0" w:line="288" w:lineRule="auto"/>
        <w:jc w:val="both"/>
        <w:textAlignment w:val="center"/>
        <w:rPr>
          <w:rFonts w:ascii="Palatino Linotype" w:hAnsi="Palatino Linotype" w:cs="HelveticaNeueLT Std Lt Cn"/>
          <w:i/>
          <w:iCs/>
          <w:color w:val="000000"/>
        </w:rPr>
      </w:pPr>
      <w:r w:rsidRPr="00004A68">
        <w:rPr>
          <w:rFonts w:ascii="Palatino Linotype" w:hAnsi="Palatino Linotype" w:cs="HelveticaNeueLT Std Lt Cn"/>
          <w:i/>
          <w:iCs/>
          <w:color w:val="000000"/>
        </w:rPr>
        <w:t>[</w:t>
      </w:r>
      <w:proofErr w:type="gramStart"/>
      <w:r w:rsidRPr="00004A68">
        <w:rPr>
          <w:rFonts w:ascii="Palatino Linotype" w:hAnsi="Palatino Linotype" w:cs="HelveticaNeueLT Std Lt Cn"/>
          <w:i/>
          <w:iCs/>
          <w:color w:val="000000"/>
        </w:rPr>
        <w:t>captions</w:t>
      </w:r>
      <w:proofErr w:type="gramEnd"/>
      <w:r w:rsidRPr="00004A68">
        <w:rPr>
          <w:rFonts w:ascii="Palatino Linotype" w:hAnsi="Palatino Linotype" w:cs="HelveticaNeueLT Std Lt Cn"/>
          <w:i/>
          <w:iCs/>
          <w:color w:val="000000"/>
        </w:rPr>
        <w:t>]San Joaquin Valley ‘</w:t>
      </w:r>
      <w:proofErr w:type="spellStart"/>
      <w:r w:rsidRPr="00004A68">
        <w:rPr>
          <w:rFonts w:ascii="Palatino Linotype" w:hAnsi="Palatino Linotype" w:cs="HelveticaNeueLT Std Lt Cn"/>
          <w:i/>
          <w:iCs/>
          <w:color w:val="000000"/>
        </w:rPr>
        <w:t>UPlan</w:t>
      </w:r>
      <w:proofErr w:type="spellEnd"/>
      <w:r w:rsidRPr="00004A68">
        <w:rPr>
          <w:rFonts w:ascii="Palatino Linotype" w:hAnsi="Palatino Linotype" w:cs="HelveticaNeueLT Std Lt Cn"/>
          <w:i/>
          <w:iCs/>
          <w:color w:val="000000"/>
        </w:rPr>
        <w:t>’ Scenario</w:t>
      </w:r>
    </w:p>
    <w:p w:rsidR="00004A68" w:rsidRPr="00004A68" w:rsidRDefault="00004A68" w:rsidP="00004A68">
      <w:pPr>
        <w:autoSpaceDE w:val="0"/>
        <w:autoSpaceDN w:val="0"/>
        <w:adjustRightInd w:val="0"/>
        <w:spacing w:after="0" w:line="288" w:lineRule="auto"/>
        <w:jc w:val="both"/>
        <w:textAlignment w:val="center"/>
        <w:rPr>
          <w:rFonts w:ascii="Palatino Linotype" w:hAnsi="Palatino Linotype" w:cs="HelveticaNeueLT Std Lt Cn"/>
          <w:i/>
          <w:iCs/>
          <w:color w:val="000000"/>
        </w:rPr>
      </w:pPr>
      <w:r w:rsidRPr="00004A68">
        <w:rPr>
          <w:rFonts w:ascii="Palatino Linotype" w:hAnsi="Palatino Linotype" w:cs="HelveticaNeueLT Std Lt Cn"/>
          <w:i/>
          <w:iCs/>
          <w:color w:val="000000"/>
        </w:rPr>
        <w:t xml:space="preserve">San Joaquin Valley </w:t>
      </w:r>
      <w:proofErr w:type="spellStart"/>
      <w:r w:rsidRPr="00004A68">
        <w:rPr>
          <w:rFonts w:ascii="Palatino Linotype" w:hAnsi="Palatino Linotype" w:cs="HelveticaNeueLT Std Lt Cn"/>
          <w:i/>
          <w:iCs/>
          <w:color w:val="000000"/>
        </w:rPr>
        <w:t>UrbanFootprint</w:t>
      </w:r>
      <w:proofErr w:type="spellEnd"/>
      <w:r w:rsidRPr="00004A68">
        <w:rPr>
          <w:rFonts w:ascii="Palatino Linotype" w:hAnsi="Palatino Linotype" w:cs="HelveticaNeueLT Std Lt Cn"/>
          <w:i/>
          <w:iCs/>
          <w:color w:val="000000"/>
        </w:rPr>
        <w:t xml:space="preserve"> Scenario</w:t>
      </w:r>
    </w:p>
    <w:p w:rsidR="00004A68" w:rsidRPr="00004A68" w:rsidRDefault="00004A68" w:rsidP="00004A68">
      <w:pPr>
        <w:autoSpaceDE w:val="0"/>
        <w:autoSpaceDN w:val="0"/>
        <w:adjustRightInd w:val="0"/>
        <w:spacing w:after="0" w:line="288" w:lineRule="auto"/>
        <w:jc w:val="both"/>
        <w:textAlignment w:val="center"/>
        <w:rPr>
          <w:rFonts w:ascii="Palatino Linotype" w:hAnsi="Palatino Linotype" w:cs="HelveticaNeueLT Std Lt Cn"/>
          <w:i/>
          <w:iCs/>
          <w:color w:val="000000"/>
        </w:rPr>
      </w:pPr>
      <w:r w:rsidRPr="00004A68">
        <w:rPr>
          <w:rFonts w:ascii="Palatino Linotype" w:hAnsi="Palatino Linotype" w:cs="HelveticaNeueLT Std Lt Cn"/>
          <w:i/>
          <w:iCs/>
          <w:color w:val="000000"/>
        </w:rPr>
        <w:t>Sacramento Area Council of Governments ‘</w:t>
      </w:r>
      <w:proofErr w:type="spellStart"/>
      <w:r w:rsidRPr="00004A68">
        <w:rPr>
          <w:rFonts w:ascii="Palatino Linotype" w:hAnsi="Palatino Linotype" w:cs="HelveticaNeueLT Std Lt Cn"/>
          <w:i/>
          <w:iCs/>
          <w:color w:val="000000"/>
        </w:rPr>
        <w:t>iPlaces</w:t>
      </w:r>
      <w:proofErr w:type="spellEnd"/>
      <w:r w:rsidRPr="00004A68">
        <w:rPr>
          <w:rFonts w:ascii="Palatino Linotype" w:hAnsi="Palatino Linotype" w:cs="HelveticaNeueLT Std Lt Cn"/>
          <w:i/>
          <w:iCs/>
          <w:color w:val="000000"/>
        </w:rPr>
        <w:t>’ Scenario</w:t>
      </w:r>
    </w:p>
    <w:p w:rsidR="00004A68" w:rsidRPr="00004A68" w:rsidRDefault="00004A68" w:rsidP="00004A68">
      <w:pPr>
        <w:autoSpaceDE w:val="0"/>
        <w:autoSpaceDN w:val="0"/>
        <w:adjustRightInd w:val="0"/>
        <w:spacing w:after="0" w:line="288" w:lineRule="auto"/>
        <w:jc w:val="both"/>
        <w:textAlignment w:val="center"/>
        <w:rPr>
          <w:rFonts w:ascii="Palatino Linotype" w:hAnsi="Palatino Linotype" w:cs="HelveticaNeueLT Std Lt Cn"/>
          <w:i/>
          <w:iCs/>
          <w:color w:val="000000"/>
        </w:rPr>
      </w:pPr>
      <w:r w:rsidRPr="00004A68">
        <w:rPr>
          <w:rFonts w:ascii="Palatino Linotype" w:hAnsi="Palatino Linotype" w:cs="HelveticaNeueLT Std Lt Cn"/>
          <w:i/>
          <w:iCs/>
          <w:color w:val="000000"/>
        </w:rPr>
        <w:t xml:space="preserve">Sacramento Area </w:t>
      </w:r>
      <w:proofErr w:type="spellStart"/>
      <w:r w:rsidRPr="00004A68">
        <w:rPr>
          <w:rFonts w:ascii="Palatino Linotype" w:hAnsi="Palatino Linotype" w:cs="HelveticaNeueLT Std Lt Cn"/>
          <w:i/>
          <w:iCs/>
          <w:color w:val="000000"/>
        </w:rPr>
        <w:t>UrbanFootprint</w:t>
      </w:r>
      <w:proofErr w:type="spellEnd"/>
      <w:r w:rsidRPr="00004A68">
        <w:rPr>
          <w:rFonts w:ascii="Palatino Linotype" w:hAnsi="Palatino Linotype" w:cs="HelveticaNeueLT Std Lt Cn"/>
          <w:i/>
          <w:iCs/>
          <w:color w:val="000000"/>
        </w:rPr>
        <w:t xml:space="preserve"> Scenario</w:t>
      </w:r>
    </w:p>
    <w:p w:rsidR="00004A68" w:rsidRPr="00004A68" w:rsidRDefault="00004A68" w:rsidP="00C675CA">
      <w:pPr>
        <w:pStyle w:val="HELCaption"/>
        <w:rPr>
          <w:rFonts w:ascii="Palatino Linotype" w:hAnsi="Palatino Linotype"/>
          <w:sz w:val="22"/>
          <w:szCs w:val="22"/>
        </w:rPr>
      </w:pPr>
      <w:r w:rsidRPr="00004A68">
        <w:rPr>
          <w:rFonts w:ascii="Palatino Linotype" w:hAnsi="Palatino Linotype"/>
          <w:sz w:val="22"/>
          <w:szCs w:val="22"/>
        </w:rPr>
        <w:t>[</w:t>
      </w:r>
      <w:proofErr w:type="gramStart"/>
      <w:r w:rsidRPr="00004A68">
        <w:rPr>
          <w:rFonts w:ascii="Palatino Linotype" w:hAnsi="Palatino Linotype"/>
          <w:sz w:val="22"/>
          <w:szCs w:val="22"/>
        </w:rPr>
        <w:t>images</w:t>
      </w:r>
      <w:proofErr w:type="gramEnd"/>
      <w:r w:rsidRPr="00004A68">
        <w:rPr>
          <w:rFonts w:ascii="Palatino Linotype" w:hAnsi="Palatino Linotype"/>
          <w:sz w:val="22"/>
          <w:szCs w:val="22"/>
        </w:rPr>
        <w:t>]</w:t>
      </w:r>
    </w:p>
    <w:p w:rsidR="00C675CA" w:rsidRPr="00B866D9" w:rsidRDefault="00C675CA">
      <w:pPr>
        <w:rPr>
          <w:rFonts w:ascii="Palatino Linotype" w:hAnsi="Palatino Linotype" w:cstheme="minorHAnsi"/>
          <w:color w:val="000000"/>
          <w:sz w:val="24"/>
          <w:szCs w:val="24"/>
        </w:rPr>
      </w:pPr>
      <w:r w:rsidRPr="00B866D9">
        <w:rPr>
          <w:rFonts w:ascii="Palatino Linotype" w:hAnsi="Palatino Linotype" w:cstheme="minorHAnsi"/>
          <w:sz w:val="24"/>
          <w:szCs w:val="24"/>
        </w:rPr>
        <w:br w:type="page"/>
      </w:r>
    </w:p>
    <w:p w:rsidR="00C675CA" w:rsidRPr="00B866D9" w:rsidRDefault="00C675CA" w:rsidP="00004A68">
      <w:pPr>
        <w:pStyle w:val="Heading1"/>
      </w:pPr>
      <w:r w:rsidRPr="00B866D9">
        <w:lastRenderedPageBreak/>
        <w:t>Base + Future Modeling</w:t>
      </w:r>
    </w:p>
    <w:p w:rsidR="00C675CA" w:rsidRPr="00B866D9" w:rsidRDefault="00C675CA" w:rsidP="00C675CA">
      <w:pPr>
        <w:pStyle w:val="GEORGIABodyText"/>
        <w:rPr>
          <w:rFonts w:ascii="Palatino Linotype" w:hAnsi="Palatino Linotype" w:cstheme="minorHAnsi"/>
          <w:sz w:val="24"/>
          <w:szCs w:val="24"/>
        </w:rPr>
      </w:pPr>
      <w:r w:rsidRPr="00B866D9">
        <w:rPr>
          <w:rFonts w:ascii="Palatino Linotype" w:hAnsi="Palatino Linotype" w:cstheme="minorHAnsi"/>
          <w:sz w:val="24"/>
          <w:szCs w:val="24"/>
        </w:rPr>
        <w:t xml:space="preserve">Many of the land use models in use today translate the existing environment into Place Types or similar theoretical building blocks, thus creating a virtual depiction of the present or base condition. The base environment is translated into the same language as that of the future. While this can be expedient, it can also lose valuable detail about the base environment, and limit the depth and research capacity of the models and resulting analysis.  </w:t>
      </w:r>
    </w:p>
    <w:p w:rsidR="00C675CA" w:rsidRPr="00B866D9" w:rsidRDefault="00C675CA" w:rsidP="00C675CA">
      <w:pPr>
        <w:pStyle w:val="GEORGIABodyText"/>
        <w:rPr>
          <w:rFonts w:ascii="Palatino Linotype" w:hAnsi="Palatino Linotype" w:cstheme="minorHAnsi"/>
          <w:sz w:val="24"/>
          <w:szCs w:val="24"/>
        </w:rPr>
      </w:pPr>
      <w:r w:rsidRPr="00B866D9">
        <w:rPr>
          <w:rFonts w:ascii="Palatino Linotype" w:hAnsi="Palatino Linotype" w:cstheme="minorHAnsi"/>
          <w:sz w:val="24"/>
          <w:szCs w:val="24"/>
        </w:rPr>
        <w:t xml:space="preserve">The </w:t>
      </w:r>
      <w:proofErr w:type="spellStart"/>
      <w:r w:rsidRPr="00B866D9">
        <w:rPr>
          <w:rFonts w:ascii="Palatino Linotype" w:hAnsi="Palatino Linotype" w:cstheme="minorHAnsi"/>
          <w:sz w:val="24"/>
          <w:szCs w:val="24"/>
        </w:rPr>
        <w:t>UrbanFootprint</w:t>
      </w:r>
      <w:proofErr w:type="spellEnd"/>
      <w:r w:rsidRPr="00B866D9">
        <w:rPr>
          <w:rFonts w:ascii="Palatino Linotype" w:hAnsi="Palatino Linotype" w:cstheme="minorHAnsi"/>
          <w:sz w:val="24"/>
          <w:szCs w:val="24"/>
        </w:rPr>
        <w:t xml:space="preserve"> model is designed to overcome this limitation via processes that significantly cut down on the time and effort required to build a detailed depiction of the physical, demographic, and other key characteristics of the base environment required by the model’s many analytical engines. The model includes tools that help methodically assess the intricate details of the existing urban (and non-urban) environment, and assign as much detail as possible to the smallest level of geography. The resulting base data framework allows </w:t>
      </w:r>
      <w:proofErr w:type="spellStart"/>
      <w:r w:rsidRPr="00B866D9">
        <w:rPr>
          <w:rFonts w:ascii="Palatino Linotype" w:hAnsi="Palatino Linotype" w:cstheme="minorHAnsi"/>
          <w:sz w:val="24"/>
          <w:szCs w:val="24"/>
        </w:rPr>
        <w:t>UrbanFootprint</w:t>
      </w:r>
      <w:proofErr w:type="spellEnd"/>
      <w:r w:rsidRPr="00B866D9">
        <w:rPr>
          <w:rFonts w:ascii="Palatino Linotype" w:hAnsi="Palatino Linotype" w:cstheme="minorHAnsi"/>
          <w:sz w:val="24"/>
          <w:szCs w:val="24"/>
        </w:rPr>
        <w:t xml:space="preserve"> to analyze future scenarios as a mixture of places that have physically changed, and those that have not. </w:t>
      </w:r>
    </w:p>
    <w:p w:rsidR="00C675CA" w:rsidRPr="00B866D9" w:rsidRDefault="00C675CA" w:rsidP="00C675CA">
      <w:pPr>
        <w:pStyle w:val="HELParagraphHeading"/>
        <w:suppressAutoHyphens/>
        <w:spacing w:after="0"/>
        <w:jc w:val="left"/>
        <w:rPr>
          <w:rFonts w:ascii="Palatino Linotype" w:hAnsi="Palatino Linotype" w:cstheme="minorHAnsi"/>
          <w:sz w:val="24"/>
          <w:szCs w:val="24"/>
        </w:rPr>
      </w:pPr>
      <w:r w:rsidRPr="00B866D9">
        <w:rPr>
          <w:rFonts w:ascii="Palatino Linotype" w:hAnsi="Palatino Linotype" w:cstheme="minorHAnsi"/>
          <w:sz w:val="24"/>
          <w:szCs w:val="24"/>
        </w:rPr>
        <w:t xml:space="preserve">This depiction of the future as a combination of “change” and “no-change” areas is significant, as physical changes in change areas can impact behavior in adjacent no-change areas. </w:t>
      </w:r>
      <w:proofErr w:type="spellStart"/>
      <w:r w:rsidRPr="00B866D9">
        <w:rPr>
          <w:rFonts w:ascii="Palatino Linotype" w:hAnsi="Palatino Linotype" w:cstheme="minorHAnsi"/>
          <w:sz w:val="24"/>
          <w:szCs w:val="24"/>
        </w:rPr>
        <w:t>UrbanFootprint</w:t>
      </w:r>
      <w:proofErr w:type="spellEnd"/>
      <w:r w:rsidRPr="00B866D9">
        <w:rPr>
          <w:rFonts w:ascii="Palatino Linotype" w:hAnsi="Palatino Linotype" w:cstheme="minorHAnsi"/>
          <w:sz w:val="24"/>
          <w:szCs w:val="24"/>
        </w:rPr>
        <w:t xml:space="preserve"> estimates travel and other impacts of these conditions (e.g., where infill or new development occurs around but not directly within a district or neighborhood, or where parcels receiving infill development are surrounded by parcels that remain the same as in the base year). It also allows for validation of the many analytical engines in the </w:t>
      </w:r>
      <w:proofErr w:type="spellStart"/>
      <w:r w:rsidRPr="00B866D9">
        <w:rPr>
          <w:rFonts w:ascii="Palatino Linotype" w:hAnsi="Palatino Linotype" w:cstheme="minorHAnsi"/>
          <w:sz w:val="24"/>
          <w:szCs w:val="24"/>
        </w:rPr>
        <w:t>UrbanFootprint</w:t>
      </w:r>
      <w:proofErr w:type="spellEnd"/>
      <w:r w:rsidRPr="00B866D9">
        <w:rPr>
          <w:rFonts w:ascii="Palatino Linotype" w:hAnsi="Palatino Linotype" w:cstheme="minorHAnsi"/>
          <w:sz w:val="24"/>
          <w:szCs w:val="24"/>
        </w:rPr>
        <w:t xml:space="preserve"> model, as model outputs can be compared to and calibrated against known qualities (using empirical data about existing conditions) and other model depictions of the existing/base environment.</w:t>
      </w:r>
    </w:p>
    <w:p w:rsidR="00C675CA" w:rsidRPr="00B866D9" w:rsidRDefault="00C675CA" w:rsidP="00C675CA">
      <w:pPr>
        <w:pStyle w:val="HELCaption"/>
        <w:rPr>
          <w:rFonts w:ascii="Palatino Linotype" w:hAnsi="Palatino Linotype" w:cstheme="minorHAnsi"/>
          <w:sz w:val="24"/>
          <w:szCs w:val="24"/>
        </w:rPr>
      </w:pPr>
      <w:proofErr w:type="spellStart"/>
      <w:r w:rsidRPr="00B866D9">
        <w:rPr>
          <w:rFonts w:ascii="Palatino Linotype" w:hAnsi="Palatino Linotype" w:cstheme="minorHAnsi"/>
          <w:sz w:val="24"/>
          <w:szCs w:val="24"/>
        </w:rPr>
        <w:t>UrbanFootprint</w:t>
      </w:r>
      <w:proofErr w:type="spellEnd"/>
      <w:r w:rsidRPr="00B866D9">
        <w:rPr>
          <w:rFonts w:ascii="Palatino Linotype" w:hAnsi="Palatino Linotype" w:cstheme="minorHAnsi"/>
          <w:sz w:val="24"/>
          <w:szCs w:val="24"/>
        </w:rPr>
        <w:t xml:space="preserve"> can analyze the Base / Existing Environment or a Future Scenario that combines the Base with Changes to land use and transportation networks.</w:t>
      </w:r>
    </w:p>
    <w:p w:rsidR="00C675CA" w:rsidRPr="00B866D9" w:rsidRDefault="00C675CA" w:rsidP="00C675CA">
      <w:pPr>
        <w:pStyle w:val="HELParagraphHeading"/>
        <w:spacing w:after="166"/>
        <w:jc w:val="center"/>
        <w:rPr>
          <w:rFonts w:ascii="Palatino Linotype" w:hAnsi="Palatino Linotype" w:cstheme="minorHAnsi"/>
          <w:color w:val="0078AD"/>
          <w:sz w:val="24"/>
          <w:szCs w:val="24"/>
        </w:rPr>
      </w:pPr>
      <w:r w:rsidRPr="00B866D9">
        <w:rPr>
          <w:rFonts w:ascii="Palatino Linotype" w:hAnsi="Palatino Linotype" w:cstheme="minorHAnsi"/>
          <w:sz w:val="24"/>
          <w:szCs w:val="24"/>
        </w:rPr>
        <w:t xml:space="preserve">Base Grid (Existing Conditions) + Change = </w:t>
      </w:r>
      <w:r w:rsidRPr="00B866D9">
        <w:rPr>
          <w:rFonts w:ascii="Palatino Linotype" w:hAnsi="Palatino Linotype" w:cstheme="minorHAnsi"/>
          <w:color w:val="0078AD"/>
          <w:sz w:val="24"/>
          <w:szCs w:val="24"/>
        </w:rPr>
        <w:t>Future Scenario&gt;</w:t>
      </w:r>
      <w:r w:rsidRPr="00B866D9">
        <w:rPr>
          <w:rFonts w:ascii="Palatino Linotype" w:hAnsi="Palatino Linotype" w:cstheme="minorHAnsi"/>
          <w:color w:val="BF301A"/>
          <w:sz w:val="24"/>
          <w:szCs w:val="24"/>
        </w:rPr>
        <w:t>Analysis</w:t>
      </w:r>
    </w:p>
    <w:p w:rsidR="00C675CA" w:rsidRPr="00B866D9" w:rsidRDefault="00C675CA" w:rsidP="00C675CA">
      <w:pPr>
        <w:pStyle w:val="HELCaption"/>
        <w:rPr>
          <w:rFonts w:ascii="Palatino Linotype" w:hAnsi="Palatino Linotype" w:cstheme="minorHAnsi"/>
          <w:sz w:val="24"/>
          <w:szCs w:val="24"/>
        </w:rPr>
      </w:pPr>
      <w:r w:rsidRPr="00B866D9">
        <w:rPr>
          <w:rFonts w:ascii="Palatino Linotype" w:hAnsi="Palatino Linotype" w:cstheme="minorHAnsi"/>
          <w:sz w:val="24"/>
          <w:szCs w:val="24"/>
        </w:rPr>
        <w:t>[</w:t>
      </w:r>
      <w:proofErr w:type="gramStart"/>
      <w:r w:rsidRPr="00B866D9">
        <w:rPr>
          <w:rFonts w:ascii="Palatino Linotype" w:hAnsi="Palatino Linotype" w:cstheme="minorHAnsi"/>
          <w:sz w:val="24"/>
          <w:szCs w:val="24"/>
        </w:rPr>
        <w:t>caption</w:t>
      </w:r>
      <w:proofErr w:type="gramEnd"/>
      <w:r w:rsidRPr="00B866D9">
        <w:rPr>
          <w:rFonts w:ascii="Palatino Linotype" w:hAnsi="Palatino Linotype" w:cstheme="minorHAnsi"/>
          <w:sz w:val="24"/>
          <w:szCs w:val="24"/>
        </w:rPr>
        <w:t xml:space="preserve">] Detailed depiction of the existing environments allows </w:t>
      </w:r>
      <w:proofErr w:type="spellStart"/>
      <w:r w:rsidRPr="00B866D9">
        <w:rPr>
          <w:rFonts w:ascii="Palatino Linotype" w:hAnsi="Palatino Linotype" w:cstheme="minorHAnsi"/>
          <w:sz w:val="24"/>
          <w:szCs w:val="24"/>
        </w:rPr>
        <w:t>UrbanFootprint’s</w:t>
      </w:r>
      <w:proofErr w:type="spellEnd"/>
      <w:r w:rsidRPr="00B866D9">
        <w:rPr>
          <w:rFonts w:ascii="Palatino Linotype" w:hAnsi="Palatino Linotype" w:cstheme="minorHAnsi"/>
          <w:sz w:val="24"/>
          <w:szCs w:val="24"/>
        </w:rPr>
        <w:t xml:space="preserve"> models to be calibrated to known / empirical conditions. At left a comparison of </w:t>
      </w:r>
      <w:proofErr w:type="spellStart"/>
      <w:r w:rsidRPr="00B866D9">
        <w:rPr>
          <w:rFonts w:ascii="Palatino Linotype" w:hAnsi="Palatino Linotype" w:cstheme="minorHAnsi"/>
          <w:sz w:val="24"/>
          <w:szCs w:val="24"/>
        </w:rPr>
        <w:t>UrbanFootprint’s</w:t>
      </w:r>
      <w:proofErr w:type="spellEnd"/>
      <w:r w:rsidRPr="00B866D9">
        <w:rPr>
          <w:rFonts w:ascii="Palatino Linotype" w:hAnsi="Palatino Linotype" w:cstheme="minorHAnsi"/>
          <w:sz w:val="24"/>
          <w:szCs w:val="24"/>
        </w:rPr>
        <w:t xml:space="preserve"> depiction of 2010 VMT per Household compared to that of the Sacramento Area Council of Government’s cutting-edge SACSIM Travel Model.</w:t>
      </w:r>
    </w:p>
    <w:p w:rsidR="005F3D2E" w:rsidRPr="00B866D9" w:rsidRDefault="005F3D2E">
      <w:pPr>
        <w:rPr>
          <w:rFonts w:ascii="Palatino Linotype" w:hAnsi="Palatino Linotype" w:cs="HelveticaNeueLT Std Med Cn"/>
          <w:color w:val="000000"/>
          <w:sz w:val="24"/>
          <w:szCs w:val="24"/>
        </w:rPr>
      </w:pPr>
      <w:r w:rsidRPr="00B866D9">
        <w:rPr>
          <w:rFonts w:ascii="Palatino Linotype" w:hAnsi="Palatino Linotype"/>
          <w:sz w:val="24"/>
          <w:szCs w:val="24"/>
        </w:rPr>
        <w:br w:type="page"/>
      </w:r>
    </w:p>
    <w:p w:rsidR="005F3D2E" w:rsidRPr="00B866D9" w:rsidRDefault="005F3D2E" w:rsidP="00004A68">
      <w:pPr>
        <w:pStyle w:val="Heading1"/>
      </w:pPr>
      <w:r w:rsidRPr="00B866D9">
        <w:lastRenderedPageBreak/>
        <w:t>Scenario Painting and Editing</w:t>
      </w:r>
    </w:p>
    <w:p w:rsidR="005F3D2E" w:rsidRPr="00B866D9" w:rsidRDefault="005F3D2E" w:rsidP="005F3D2E">
      <w:pPr>
        <w:autoSpaceDE w:val="0"/>
        <w:autoSpaceDN w:val="0"/>
        <w:adjustRightInd w:val="0"/>
        <w:spacing w:before="90" w:after="90" w:line="220" w:lineRule="atLeast"/>
        <w:jc w:val="both"/>
        <w:textAlignment w:val="center"/>
        <w:rPr>
          <w:rFonts w:ascii="Palatino Linotype" w:hAnsi="Palatino Linotype" w:cs="Georgia"/>
          <w:color w:val="000000"/>
          <w:sz w:val="24"/>
          <w:szCs w:val="24"/>
        </w:rPr>
      </w:pPr>
      <w:proofErr w:type="spellStart"/>
      <w:r w:rsidRPr="00B866D9">
        <w:rPr>
          <w:rFonts w:ascii="Palatino Linotype" w:hAnsi="Palatino Linotype" w:cs="Georgia"/>
          <w:color w:val="000000"/>
          <w:sz w:val="24"/>
          <w:szCs w:val="24"/>
        </w:rPr>
        <w:t>UrbanFootprint’s</w:t>
      </w:r>
      <w:proofErr w:type="spellEnd"/>
      <w:r w:rsidRPr="00B866D9">
        <w:rPr>
          <w:rFonts w:ascii="Palatino Linotype" w:hAnsi="Palatino Linotype" w:cs="Georgia"/>
          <w:color w:val="000000"/>
          <w:sz w:val="24"/>
          <w:szCs w:val="24"/>
        </w:rPr>
        <w:t xml:space="preserve"> web-based painting tool is integrated into the model’s graphical user interface. It allows the user to edit or build upon a translated plan or scenario, or create new scenarios from scratch. The current version (1.0) of the model utilizes the 5.5-acre grid cell as the unit of painting and analysis. The model will soon be updated to work at parcel-level geography as well.</w:t>
      </w:r>
    </w:p>
    <w:p w:rsidR="005F3D2E" w:rsidRPr="00B866D9" w:rsidRDefault="00004A68" w:rsidP="005F3D2E">
      <w:pPr>
        <w:autoSpaceDE w:val="0"/>
        <w:autoSpaceDN w:val="0"/>
        <w:adjustRightInd w:val="0"/>
        <w:spacing w:after="0" w:line="288" w:lineRule="auto"/>
        <w:jc w:val="both"/>
        <w:textAlignment w:val="center"/>
        <w:rPr>
          <w:rFonts w:ascii="Palatino Linotype" w:hAnsi="Palatino Linotype" w:cs="HelveticaNeueLT Std Lt Cn"/>
          <w:i/>
          <w:iCs/>
          <w:color w:val="000000"/>
          <w:sz w:val="24"/>
          <w:szCs w:val="24"/>
        </w:rPr>
      </w:pPr>
      <w:r>
        <w:rPr>
          <w:rFonts w:ascii="Palatino Linotype" w:hAnsi="Palatino Linotype" w:cs="HelveticaNeueLT Std Lt Cn"/>
          <w:i/>
          <w:iCs/>
          <w:color w:val="000000"/>
          <w:sz w:val="24"/>
          <w:szCs w:val="24"/>
        </w:rPr>
        <w:t>[</w:t>
      </w:r>
      <w:proofErr w:type="gramStart"/>
      <w:r>
        <w:rPr>
          <w:rFonts w:ascii="Palatino Linotype" w:hAnsi="Palatino Linotype" w:cs="HelveticaNeueLT Std Lt Cn"/>
          <w:i/>
          <w:iCs/>
          <w:color w:val="000000"/>
          <w:sz w:val="24"/>
          <w:szCs w:val="24"/>
        </w:rPr>
        <w:t>caption</w:t>
      </w:r>
      <w:proofErr w:type="gramEnd"/>
      <w:r>
        <w:rPr>
          <w:rFonts w:ascii="Palatino Linotype" w:hAnsi="Palatino Linotype" w:cs="HelveticaNeueLT Std Lt Cn"/>
          <w:i/>
          <w:iCs/>
          <w:color w:val="000000"/>
          <w:sz w:val="24"/>
          <w:szCs w:val="24"/>
        </w:rPr>
        <w:t>]</w:t>
      </w:r>
      <w:r w:rsidR="005F3D2E" w:rsidRPr="00B866D9">
        <w:rPr>
          <w:rFonts w:ascii="Palatino Linotype" w:hAnsi="Palatino Linotype" w:cs="HelveticaNeueLT Std Lt Cn"/>
          <w:i/>
          <w:iCs/>
          <w:color w:val="000000"/>
          <w:sz w:val="24"/>
          <w:szCs w:val="24"/>
        </w:rPr>
        <w:t xml:space="preserve">The web-based scenario painter can display and link to regularly updated base maps and data available on the web today (e.g., Google Maps, </w:t>
      </w:r>
      <w:proofErr w:type="spellStart"/>
      <w:r w:rsidR="005F3D2E" w:rsidRPr="00B866D9">
        <w:rPr>
          <w:rFonts w:ascii="Palatino Linotype" w:hAnsi="Palatino Linotype" w:cs="HelveticaNeueLT Std Lt Cn"/>
          <w:i/>
          <w:iCs/>
          <w:color w:val="000000"/>
          <w:sz w:val="24"/>
          <w:szCs w:val="24"/>
        </w:rPr>
        <w:t>Mapquest</w:t>
      </w:r>
      <w:proofErr w:type="spellEnd"/>
      <w:r w:rsidR="005F3D2E" w:rsidRPr="00B866D9">
        <w:rPr>
          <w:rFonts w:ascii="Palatino Linotype" w:hAnsi="Palatino Linotype" w:cs="HelveticaNeueLT Std Lt Cn"/>
          <w:i/>
          <w:iCs/>
          <w:color w:val="000000"/>
          <w:sz w:val="24"/>
          <w:szCs w:val="24"/>
        </w:rPr>
        <w:t xml:space="preserve">, Bing), in addition to scenario- or project-specific data or imagery. The scenario painter’s tools enable quick painting and editing of place types, and dynamic viewing of scenario results. </w:t>
      </w:r>
    </w:p>
    <w:p w:rsidR="005F3D2E" w:rsidRPr="00B866D9" w:rsidRDefault="00004A68" w:rsidP="005F3D2E">
      <w:pPr>
        <w:autoSpaceDE w:val="0"/>
        <w:autoSpaceDN w:val="0"/>
        <w:adjustRightInd w:val="0"/>
        <w:spacing w:after="0" w:line="288" w:lineRule="auto"/>
        <w:textAlignment w:val="center"/>
        <w:rPr>
          <w:rFonts w:ascii="Palatino Linotype" w:hAnsi="Palatino Linotype" w:cs="HelveticaNeueLT Std Lt Cn"/>
          <w:i/>
          <w:iCs/>
          <w:color w:val="000000"/>
          <w:sz w:val="24"/>
          <w:szCs w:val="24"/>
        </w:rPr>
      </w:pPr>
      <w:r>
        <w:rPr>
          <w:rFonts w:ascii="Palatino Linotype" w:hAnsi="Palatino Linotype" w:cs="HelveticaNeueLT Std Lt Cn"/>
          <w:i/>
          <w:iCs/>
          <w:color w:val="000000"/>
          <w:sz w:val="24"/>
          <w:szCs w:val="24"/>
        </w:rPr>
        <w:t>[</w:t>
      </w:r>
      <w:proofErr w:type="gramStart"/>
      <w:r>
        <w:rPr>
          <w:rFonts w:ascii="Palatino Linotype" w:hAnsi="Palatino Linotype" w:cs="HelveticaNeueLT Std Lt Cn"/>
          <w:i/>
          <w:iCs/>
          <w:color w:val="000000"/>
          <w:sz w:val="24"/>
          <w:szCs w:val="24"/>
        </w:rPr>
        <w:t>screenshot</w:t>
      </w:r>
      <w:proofErr w:type="gramEnd"/>
      <w:r>
        <w:rPr>
          <w:rFonts w:ascii="Palatino Linotype" w:hAnsi="Palatino Linotype" w:cs="HelveticaNeueLT Std Lt Cn"/>
          <w:i/>
          <w:iCs/>
          <w:color w:val="000000"/>
          <w:sz w:val="24"/>
          <w:szCs w:val="24"/>
        </w:rPr>
        <w:t>]</w:t>
      </w:r>
    </w:p>
    <w:p w:rsidR="005F3D2E" w:rsidRPr="00B866D9" w:rsidRDefault="00004A68" w:rsidP="005F3D2E">
      <w:pPr>
        <w:autoSpaceDE w:val="0"/>
        <w:autoSpaceDN w:val="0"/>
        <w:adjustRightInd w:val="0"/>
        <w:spacing w:after="0" w:line="288" w:lineRule="auto"/>
        <w:textAlignment w:val="center"/>
        <w:rPr>
          <w:rFonts w:ascii="Palatino Linotype" w:hAnsi="Palatino Linotype" w:cs="HelveticaNeueLT Std Lt Cn"/>
          <w:i/>
          <w:iCs/>
          <w:color w:val="000000"/>
          <w:sz w:val="24"/>
          <w:szCs w:val="24"/>
        </w:rPr>
      </w:pPr>
      <w:r>
        <w:rPr>
          <w:rFonts w:ascii="Palatino Linotype" w:hAnsi="Palatino Linotype" w:cs="HelveticaNeueLT Std Lt Cn"/>
          <w:i/>
          <w:iCs/>
          <w:color w:val="000000"/>
          <w:sz w:val="24"/>
          <w:szCs w:val="24"/>
        </w:rPr>
        <w:t>[</w:t>
      </w:r>
      <w:proofErr w:type="gramStart"/>
      <w:r>
        <w:rPr>
          <w:rFonts w:ascii="Palatino Linotype" w:hAnsi="Palatino Linotype" w:cs="HelveticaNeueLT Std Lt Cn"/>
          <w:i/>
          <w:iCs/>
          <w:color w:val="000000"/>
          <w:sz w:val="24"/>
          <w:szCs w:val="24"/>
        </w:rPr>
        <w:t>caption</w:t>
      </w:r>
      <w:proofErr w:type="gramEnd"/>
      <w:r>
        <w:rPr>
          <w:rFonts w:ascii="Palatino Linotype" w:hAnsi="Palatino Linotype" w:cs="HelveticaNeueLT Std Lt Cn"/>
          <w:i/>
          <w:iCs/>
          <w:color w:val="000000"/>
          <w:sz w:val="24"/>
          <w:szCs w:val="24"/>
        </w:rPr>
        <w:t>]</w:t>
      </w:r>
      <w:r w:rsidR="005F3D2E" w:rsidRPr="00B866D9">
        <w:rPr>
          <w:rFonts w:ascii="Palatino Linotype" w:hAnsi="Palatino Linotype" w:cs="HelveticaNeueLT Std Lt Cn"/>
          <w:i/>
          <w:iCs/>
          <w:color w:val="000000"/>
          <w:sz w:val="24"/>
          <w:szCs w:val="24"/>
        </w:rPr>
        <w:t xml:space="preserve">Place types are selected and applied to the landscape via a suite of selection and viewing tools. </w:t>
      </w:r>
    </w:p>
    <w:p w:rsidR="005F3D2E" w:rsidRPr="00B866D9" w:rsidRDefault="00004A68" w:rsidP="005F3D2E">
      <w:pPr>
        <w:autoSpaceDE w:val="0"/>
        <w:autoSpaceDN w:val="0"/>
        <w:adjustRightInd w:val="0"/>
        <w:spacing w:after="0" w:line="288" w:lineRule="auto"/>
        <w:textAlignment w:val="center"/>
        <w:rPr>
          <w:rFonts w:ascii="Palatino Linotype" w:hAnsi="Palatino Linotype" w:cs="HelveticaNeueLT Std Lt Cn"/>
          <w:i/>
          <w:iCs/>
          <w:color w:val="000000"/>
          <w:sz w:val="24"/>
          <w:szCs w:val="24"/>
        </w:rPr>
      </w:pPr>
      <w:r>
        <w:rPr>
          <w:rFonts w:ascii="Palatino Linotype" w:hAnsi="Palatino Linotype" w:cs="HelveticaNeueLT Std Lt Cn"/>
          <w:i/>
          <w:iCs/>
          <w:color w:val="000000"/>
          <w:sz w:val="24"/>
          <w:szCs w:val="24"/>
        </w:rPr>
        <w:t>[</w:t>
      </w:r>
      <w:proofErr w:type="gramStart"/>
      <w:r>
        <w:rPr>
          <w:rFonts w:ascii="Palatino Linotype" w:hAnsi="Palatino Linotype" w:cs="HelveticaNeueLT Std Lt Cn"/>
          <w:i/>
          <w:iCs/>
          <w:color w:val="000000"/>
          <w:sz w:val="24"/>
          <w:szCs w:val="24"/>
        </w:rPr>
        <w:t>screenshot</w:t>
      </w:r>
      <w:proofErr w:type="gramEnd"/>
      <w:r>
        <w:rPr>
          <w:rFonts w:ascii="Palatino Linotype" w:hAnsi="Palatino Linotype" w:cs="HelveticaNeueLT Std Lt Cn"/>
          <w:i/>
          <w:iCs/>
          <w:color w:val="000000"/>
          <w:sz w:val="24"/>
          <w:szCs w:val="24"/>
        </w:rPr>
        <w:t>]</w:t>
      </w:r>
    </w:p>
    <w:p w:rsidR="005F3D2E" w:rsidRDefault="00004A68" w:rsidP="005F3D2E">
      <w:pPr>
        <w:autoSpaceDE w:val="0"/>
        <w:autoSpaceDN w:val="0"/>
        <w:adjustRightInd w:val="0"/>
        <w:spacing w:after="0" w:line="288" w:lineRule="auto"/>
        <w:textAlignment w:val="center"/>
        <w:rPr>
          <w:rFonts w:ascii="Palatino Linotype" w:hAnsi="Palatino Linotype" w:cs="HelveticaNeueLT Std Lt Cn"/>
          <w:i/>
          <w:iCs/>
          <w:color w:val="000000"/>
          <w:sz w:val="24"/>
          <w:szCs w:val="24"/>
        </w:rPr>
      </w:pPr>
      <w:r>
        <w:rPr>
          <w:rFonts w:ascii="Palatino Linotype" w:hAnsi="Palatino Linotype" w:cs="HelveticaNeueLT Std Lt Cn"/>
          <w:i/>
          <w:iCs/>
          <w:color w:val="000000"/>
          <w:sz w:val="24"/>
          <w:szCs w:val="24"/>
        </w:rPr>
        <w:t>[</w:t>
      </w:r>
      <w:proofErr w:type="gramStart"/>
      <w:r>
        <w:rPr>
          <w:rFonts w:ascii="Palatino Linotype" w:hAnsi="Palatino Linotype" w:cs="HelveticaNeueLT Std Lt Cn"/>
          <w:i/>
          <w:iCs/>
          <w:color w:val="000000"/>
          <w:sz w:val="24"/>
          <w:szCs w:val="24"/>
        </w:rPr>
        <w:t>caption</w:t>
      </w:r>
      <w:proofErr w:type="gramEnd"/>
      <w:r>
        <w:rPr>
          <w:rFonts w:ascii="Palatino Linotype" w:hAnsi="Palatino Linotype" w:cs="HelveticaNeueLT Std Lt Cn"/>
          <w:i/>
          <w:iCs/>
          <w:color w:val="000000"/>
          <w:sz w:val="24"/>
          <w:szCs w:val="24"/>
        </w:rPr>
        <w:t>]</w:t>
      </w:r>
      <w:r w:rsidR="005F3D2E" w:rsidRPr="00B866D9">
        <w:rPr>
          <w:rFonts w:ascii="Palatino Linotype" w:hAnsi="Palatino Linotype" w:cs="HelveticaNeueLT Std Lt Cn"/>
          <w:i/>
          <w:iCs/>
          <w:color w:val="000000"/>
          <w:sz w:val="24"/>
          <w:szCs w:val="24"/>
        </w:rPr>
        <w:t xml:space="preserve">Select scenario results can be viewed iteratively in order to inform the scenario creation process. </w:t>
      </w:r>
    </w:p>
    <w:p w:rsidR="00004A68" w:rsidRPr="00B866D9" w:rsidRDefault="00004A68" w:rsidP="00004A68">
      <w:pPr>
        <w:autoSpaceDE w:val="0"/>
        <w:autoSpaceDN w:val="0"/>
        <w:adjustRightInd w:val="0"/>
        <w:spacing w:after="0" w:line="288" w:lineRule="auto"/>
        <w:textAlignment w:val="center"/>
        <w:rPr>
          <w:rFonts w:ascii="Palatino Linotype" w:hAnsi="Palatino Linotype" w:cs="HelveticaNeueLT Std Lt Cn"/>
          <w:i/>
          <w:iCs/>
          <w:color w:val="000000"/>
          <w:sz w:val="24"/>
          <w:szCs w:val="24"/>
        </w:rPr>
      </w:pPr>
      <w:r>
        <w:rPr>
          <w:rFonts w:ascii="Palatino Linotype" w:hAnsi="Palatino Linotype" w:cs="HelveticaNeueLT Std Lt Cn"/>
          <w:i/>
          <w:iCs/>
          <w:color w:val="000000"/>
          <w:sz w:val="24"/>
          <w:szCs w:val="24"/>
        </w:rPr>
        <w:t>[</w:t>
      </w:r>
      <w:proofErr w:type="gramStart"/>
      <w:r>
        <w:rPr>
          <w:rFonts w:ascii="Palatino Linotype" w:hAnsi="Palatino Linotype" w:cs="HelveticaNeueLT Std Lt Cn"/>
          <w:i/>
          <w:iCs/>
          <w:color w:val="000000"/>
          <w:sz w:val="24"/>
          <w:szCs w:val="24"/>
        </w:rPr>
        <w:t>screenshot</w:t>
      </w:r>
      <w:proofErr w:type="gramEnd"/>
      <w:r>
        <w:rPr>
          <w:rFonts w:ascii="Palatino Linotype" w:hAnsi="Palatino Linotype" w:cs="HelveticaNeueLT Std Lt Cn"/>
          <w:i/>
          <w:iCs/>
          <w:color w:val="000000"/>
          <w:sz w:val="24"/>
          <w:szCs w:val="24"/>
        </w:rPr>
        <w:t>]</w:t>
      </w:r>
    </w:p>
    <w:p w:rsidR="00004A68" w:rsidRPr="00B866D9" w:rsidRDefault="00004A68" w:rsidP="005F3D2E">
      <w:pPr>
        <w:autoSpaceDE w:val="0"/>
        <w:autoSpaceDN w:val="0"/>
        <w:adjustRightInd w:val="0"/>
        <w:spacing w:after="0" w:line="288" w:lineRule="auto"/>
        <w:textAlignment w:val="center"/>
        <w:rPr>
          <w:rFonts w:ascii="Palatino Linotype" w:hAnsi="Palatino Linotype" w:cs="HelveticaNeueLT Std Lt Cn"/>
          <w:i/>
          <w:iCs/>
          <w:color w:val="000000"/>
          <w:sz w:val="24"/>
          <w:szCs w:val="24"/>
        </w:rPr>
      </w:pPr>
    </w:p>
    <w:p w:rsidR="005F3D2E" w:rsidRPr="00B866D9" w:rsidRDefault="005F3D2E">
      <w:pPr>
        <w:rPr>
          <w:rFonts w:ascii="Palatino Linotype" w:hAnsi="Palatino Linotype" w:cs="HelveticaNeueLT Std Lt Cn"/>
          <w:i/>
          <w:iCs/>
          <w:color w:val="000000"/>
          <w:sz w:val="24"/>
          <w:szCs w:val="24"/>
        </w:rPr>
      </w:pPr>
      <w:r w:rsidRPr="00B866D9">
        <w:rPr>
          <w:rFonts w:ascii="Palatino Linotype" w:hAnsi="Palatino Linotype" w:cs="HelveticaNeueLT Std Lt Cn"/>
          <w:i/>
          <w:iCs/>
          <w:color w:val="000000"/>
          <w:sz w:val="24"/>
          <w:szCs w:val="24"/>
        </w:rPr>
        <w:br w:type="page"/>
      </w:r>
    </w:p>
    <w:p w:rsidR="00004A68" w:rsidRDefault="00004A68" w:rsidP="00004A68">
      <w:pPr>
        <w:pStyle w:val="Heading1"/>
      </w:pPr>
      <w:r>
        <w:lastRenderedPageBreak/>
        <w:t>Scenario Analysis</w:t>
      </w:r>
    </w:p>
    <w:p w:rsidR="005F3D2E" w:rsidRDefault="005F3D2E" w:rsidP="005F3D2E">
      <w:pPr>
        <w:autoSpaceDE w:val="0"/>
        <w:autoSpaceDN w:val="0"/>
        <w:adjustRightInd w:val="0"/>
        <w:spacing w:before="90" w:after="90" w:line="220" w:lineRule="atLeast"/>
        <w:jc w:val="both"/>
        <w:textAlignment w:val="center"/>
        <w:rPr>
          <w:rFonts w:ascii="Palatino Linotype" w:hAnsi="Palatino Linotype" w:cs="Georgia"/>
          <w:color w:val="000000"/>
          <w:sz w:val="24"/>
          <w:szCs w:val="24"/>
        </w:rPr>
      </w:pPr>
      <w:r w:rsidRPr="00B866D9">
        <w:rPr>
          <w:rFonts w:ascii="Palatino Linotype" w:hAnsi="Palatino Linotype" w:cs="Georgia"/>
          <w:color w:val="000000"/>
          <w:sz w:val="24"/>
          <w:szCs w:val="24"/>
        </w:rPr>
        <w:t xml:space="preserve">As described in the diagram below, </w:t>
      </w:r>
      <w:proofErr w:type="spellStart"/>
      <w:r w:rsidRPr="00B866D9">
        <w:rPr>
          <w:rFonts w:ascii="Palatino Linotype" w:hAnsi="Palatino Linotype" w:cs="Georgia"/>
          <w:color w:val="000000"/>
          <w:sz w:val="24"/>
          <w:szCs w:val="24"/>
        </w:rPr>
        <w:t>UrbanFootprint’s</w:t>
      </w:r>
      <w:proofErr w:type="spellEnd"/>
      <w:r w:rsidRPr="00B866D9">
        <w:rPr>
          <w:rFonts w:ascii="Palatino Linotype" w:hAnsi="Palatino Linotype" w:cs="Georgia"/>
          <w:color w:val="000000"/>
          <w:sz w:val="24"/>
          <w:szCs w:val="24"/>
        </w:rPr>
        <w:t xml:space="preserve"> scenario development and analytical engines produce a wide range of inter-related metrics that allow for robust, meaningful comparisons of alternative land use + transportation scenarios. A series of scenario ‘core’ processes work to combine the existing physical and demographic environment with change or growth input via existing plans and/or newly painted scenarios. These scenarios are then run through land use, transportation, fiscal impacts, public health, energy and water, household cost, and emissions engines that produce the range of metrics described below and detailed in the following pages.</w:t>
      </w:r>
    </w:p>
    <w:p w:rsidR="00004A68" w:rsidRPr="00004A68" w:rsidRDefault="00004A68" w:rsidP="005F3D2E">
      <w:pPr>
        <w:autoSpaceDE w:val="0"/>
        <w:autoSpaceDN w:val="0"/>
        <w:adjustRightInd w:val="0"/>
        <w:spacing w:before="90" w:after="90" w:line="220" w:lineRule="atLeast"/>
        <w:jc w:val="both"/>
        <w:textAlignment w:val="center"/>
        <w:rPr>
          <w:rFonts w:ascii="Palatino Linotype" w:hAnsi="Palatino Linotype" w:cs="Georgia"/>
          <w:i/>
          <w:color w:val="000000"/>
          <w:sz w:val="24"/>
          <w:szCs w:val="24"/>
        </w:rPr>
      </w:pPr>
      <w:r w:rsidRPr="00004A68">
        <w:rPr>
          <w:rFonts w:ascii="Palatino Linotype" w:hAnsi="Palatino Linotype" w:cs="Georgia"/>
          <w:i/>
          <w:color w:val="000000"/>
          <w:sz w:val="24"/>
          <w:szCs w:val="24"/>
        </w:rPr>
        <w:t>[</w:t>
      </w:r>
      <w:proofErr w:type="gramStart"/>
      <w:r w:rsidRPr="00004A68">
        <w:rPr>
          <w:rFonts w:ascii="Palatino Linotype" w:hAnsi="Palatino Linotype" w:cs="Georgia"/>
          <w:i/>
          <w:color w:val="000000"/>
          <w:sz w:val="24"/>
          <w:szCs w:val="24"/>
        </w:rPr>
        <w:t>diagram</w:t>
      </w:r>
      <w:proofErr w:type="gramEnd"/>
      <w:r w:rsidRPr="00004A68">
        <w:rPr>
          <w:rFonts w:ascii="Palatino Linotype" w:hAnsi="Palatino Linotype" w:cs="Georgia"/>
          <w:i/>
          <w:color w:val="000000"/>
          <w:sz w:val="24"/>
          <w:szCs w:val="24"/>
        </w:rPr>
        <w:t>]</w:t>
      </w:r>
    </w:p>
    <w:p w:rsidR="005F3D2E" w:rsidRPr="00B866D9" w:rsidRDefault="005F3D2E">
      <w:pPr>
        <w:rPr>
          <w:rFonts w:ascii="Palatino Linotype" w:hAnsi="Palatino Linotype" w:cs="HelveticaNeueLT Std Lt Cn"/>
          <w:i/>
          <w:iCs/>
          <w:color w:val="000000"/>
          <w:sz w:val="24"/>
          <w:szCs w:val="24"/>
        </w:rPr>
      </w:pPr>
      <w:r w:rsidRPr="00B866D9">
        <w:rPr>
          <w:rFonts w:ascii="Palatino Linotype" w:hAnsi="Palatino Linotype" w:cs="HelveticaNeueLT Std Lt Cn"/>
          <w:i/>
          <w:iCs/>
          <w:color w:val="000000"/>
          <w:sz w:val="24"/>
          <w:szCs w:val="24"/>
        </w:rPr>
        <w:br w:type="page"/>
      </w:r>
    </w:p>
    <w:p w:rsidR="005F3D2E" w:rsidRPr="00B866D9" w:rsidRDefault="005F3D2E" w:rsidP="005F3D2E">
      <w:pPr>
        <w:rPr>
          <w:rFonts w:ascii="Palatino Linotype" w:hAnsi="Palatino Linotype" w:cs="HelveticaNeueLT Std Lt Cn"/>
          <w:i/>
          <w:iCs/>
          <w:color w:val="000000"/>
          <w:sz w:val="24"/>
          <w:szCs w:val="24"/>
        </w:rPr>
      </w:pPr>
      <w:proofErr w:type="spellStart"/>
      <w:r w:rsidRPr="00B866D9">
        <w:rPr>
          <w:rFonts w:ascii="Palatino Linotype" w:hAnsi="Palatino Linotype" w:cs="HelveticaNeueLT Std Lt Cn"/>
          <w:i/>
          <w:iCs/>
          <w:color w:val="000000"/>
          <w:sz w:val="24"/>
          <w:szCs w:val="24"/>
        </w:rPr>
        <w:lastRenderedPageBreak/>
        <w:t>Pg</w:t>
      </w:r>
      <w:proofErr w:type="spellEnd"/>
      <w:r w:rsidRPr="00B866D9">
        <w:rPr>
          <w:rFonts w:ascii="Palatino Linotype" w:hAnsi="Palatino Linotype" w:cs="HelveticaNeueLT Std Lt Cn"/>
          <w:i/>
          <w:iCs/>
          <w:color w:val="000000"/>
          <w:sz w:val="24"/>
          <w:szCs w:val="24"/>
        </w:rPr>
        <w:t xml:space="preserve"> 21 </w:t>
      </w:r>
    </w:p>
    <w:p w:rsidR="00004A68" w:rsidRPr="00004A68" w:rsidRDefault="00004A68" w:rsidP="00004A68">
      <w:pPr>
        <w:autoSpaceDE w:val="0"/>
        <w:autoSpaceDN w:val="0"/>
        <w:adjustRightInd w:val="0"/>
        <w:spacing w:before="90" w:after="90" w:line="220" w:lineRule="atLeast"/>
        <w:jc w:val="both"/>
        <w:textAlignment w:val="center"/>
        <w:rPr>
          <w:rFonts w:ascii="Palatino Linotype" w:hAnsi="Palatino Linotype" w:cs="Georgia"/>
          <w:i/>
          <w:color w:val="000000"/>
          <w:sz w:val="24"/>
          <w:szCs w:val="24"/>
        </w:rPr>
      </w:pPr>
      <w:r w:rsidRPr="00004A68">
        <w:rPr>
          <w:rFonts w:ascii="Palatino Linotype" w:hAnsi="Palatino Linotype" w:cs="Georgia"/>
          <w:i/>
          <w:color w:val="000000"/>
          <w:sz w:val="24"/>
          <w:szCs w:val="24"/>
        </w:rPr>
        <w:t>[</w:t>
      </w:r>
      <w:proofErr w:type="gramStart"/>
      <w:r w:rsidRPr="00004A68">
        <w:rPr>
          <w:rFonts w:ascii="Palatino Linotype" w:hAnsi="Palatino Linotype" w:cs="Georgia"/>
          <w:i/>
          <w:color w:val="000000"/>
          <w:sz w:val="24"/>
          <w:szCs w:val="24"/>
        </w:rPr>
        <w:t>diagram</w:t>
      </w:r>
      <w:proofErr w:type="gramEnd"/>
      <w:r>
        <w:rPr>
          <w:rFonts w:ascii="Palatino Linotype" w:hAnsi="Palatino Linotype" w:cs="Georgia"/>
          <w:i/>
          <w:color w:val="000000"/>
          <w:sz w:val="24"/>
          <w:szCs w:val="24"/>
        </w:rPr>
        <w:t xml:space="preserve"> cont.</w:t>
      </w:r>
      <w:r w:rsidRPr="00004A68">
        <w:rPr>
          <w:rFonts w:ascii="Palatino Linotype" w:hAnsi="Palatino Linotype" w:cs="Georgia"/>
          <w:i/>
          <w:color w:val="000000"/>
          <w:sz w:val="24"/>
          <w:szCs w:val="24"/>
        </w:rPr>
        <w:t>]</w:t>
      </w:r>
    </w:p>
    <w:p w:rsidR="005F3D2E" w:rsidRPr="00B866D9" w:rsidRDefault="005F3D2E">
      <w:pPr>
        <w:rPr>
          <w:rFonts w:ascii="Palatino Linotype" w:hAnsi="Palatino Linotype" w:cs="HelveticaNeueLT Std Lt Cn"/>
          <w:i/>
          <w:iCs/>
          <w:color w:val="000000"/>
          <w:sz w:val="24"/>
          <w:szCs w:val="24"/>
        </w:rPr>
      </w:pPr>
      <w:r w:rsidRPr="00B866D9">
        <w:rPr>
          <w:rFonts w:ascii="Palatino Linotype" w:hAnsi="Palatino Linotype" w:cs="HelveticaNeueLT Std Lt Cn"/>
          <w:i/>
          <w:iCs/>
          <w:color w:val="000000"/>
          <w:sz w:val="24"/>
          <w:szCs w:val="24"/>
        </w:rPr>
        <w:br w:type="page"/>
      </w:r>
    </w:p>
    <w:p w:rsidR="005F3D2E" w:rsidRPr="00B866D9" w:rsidRDefault="005F3D2E" w:rsidP="00004A68">
      <w:pPr>
        <w:pStyle w:val="Heading1"/>
      </w:pPr>
      <w:r w:rsidRPr="00B866D9">
        <w:lastRenderedPageBreak/>
        <w:t>Land Consumption Analysis</w:t>
      </w:r>
    </w:p>
    <w:p w:rsidR="00031D87" w:rsidRPr="00031D87" w:rsidRDefault="00031D87" w:rsidP="00031D87">
      <w:pPr>
        <w:autoSpaceDE w:val="0"/>
        <w:autoSpaceDN w:val="0"/>
        <w:adjustRightInd w:val="0"/>
        <w:spacing w:before="90" w:after="90" w:line="220" w:lineRule="atLeast"/>
        <w:jc w:val="both"/>
        <w:textAlignment w:val="center"/>
        <w:rPr>
          <w:rFonts w:ascii="Palatino Linotype" w:hAnsi="Palatino Linotype" w:cs="Georgia"/>
          <w:color w:val="000000"/>
          <w:sz w:val="24"/>
          <w:szCs w:val="24"/>
        </w:rPr>
      </w:pPr>
      <w:r w:rsidRPr="00031D87">
        <w:rPr>
          <w:rFonts w:ascii="Palatino Linotype" w:hAnsi="Palatino Linotype" w:cs="Georgia"/>
          <w:color w:val="000000"/>
          <w:sz w:val="24"/>
          <w:szCs w:val="24"/>
        </w:rPr>
        <w:t xml:space="preserve">As a spatial model, </w:t>
      </w:r>
      <w:proofErr w:type="spellStart"/>
      <w:r w:rsidRPr="00031D87">
        <w:rPr>
          <w:rFonts w:ascii="Palatino Linotype" w:hAnsi="Palatino Linotype" w:cs="Georgia"/>
          <w:color w:val="000000"/>
          <w:sz w:val="24"/>
          <w:szCs w:val="24"/>
        </w:rPr>
        <w:t>UrbanFootprint</w:t>
      </w:r>
      <w:proofErr w:type="spellEnd"/>
      <w:r w:rsidRPr="00031D87">
        <w:rPr>
          <w:rFonts w:ascii="Palatino Linotype" w:hAnsi="Palatino Linotype" w:cs="Georgia"/>
          <w:color w:val="000000"/>
          <w:sz w:val="24"/>
          <w:szCs w:val="24"/>
        </w:rPr>
        <w:t xml:space="preserve"> produces fine-grained assessments of how land is developed. In the context of the model, “land consumption” refers to the measurement of land area needed to accommodate new growth. This includes ‘greenfield’ development on previously undeveloped land, as well as infill and redevelopment in existing urban areas. </w:t>
      </w:r>
    </w:p>
    <w:p w:rsidR="00031D87" w:rsidRPr="00031D87" w:rsidRDefault="00031D87" w:rsidP="00031D87">
      <w:pPr>
        <w:autoSpaceDE w:val="0"/>
        <w:autoSpaceDN w:val="0"/>
        <w:adjustRightInd w:val="0"/>
        <w:spacing w:before="90" w:after="90" w:line="220" w:lineRule="atLeast"/>
        <w:jc w:val="both"/>
        <w:textAlignment w:val="center"/>
        <w:rPr>
          <w:rFonts w:ascii="Palatino Linotype" w:hAnsi="Palatino Linotype" w:cs="Georgia"/>
          <w:color w:val="000000"/>
          <w:sz w:val="24"/>
          <w:szCs w:val="24"/>
        </w:rPr>
      </w:pPr>
      <w:r w:rsidRPr="00031D87">
        <w:rPr>
          <w:rFonts w:ascii="Palatino Linotype" w:hAnsi="Palatino Linotype" w:cs="Georgia"/>
          <w:color w:val="000000"/>
          <w:sz w:val="24"/>
          <w:szCs w:val="24"/>
        </w:rPr>
        <w:t xml:space="preserve">Land consumption calculations for future scenarios are built upon an assessment of the base (existing) environment. The base data loading process assigns each grid cell descriptors of its land type conditions – including whether land is developable, </w:t>
      </w:r>
      <w:proofErr w:type="spellStart"/>
      <w:r w:rsidRPr="00031D87">
        <w:rPr>
          <w:rFonts w:ascii="Palatino Linotype" w:hAnsi="Palatino Linotype" w:cs="Georgia"/>
          <w:color w:val="000000"/>
          <w:sz w:val="24"/>
          <w:szCs w:val="24"/>
        </w:rPr>
        <w:t>redevelopable</w:t>
      </w:r>
      <w:proofErr w:type="spellEnd"/>
      <w:r w:rsidRPr="00031D87">
        <w:rPr>
          <w:rFonts w:ascii="Palatino Linotype" w:hAnsi="Palatino Linotype" w:cs="Georgia"/>
          <w:color w:val="000000"/>
          <w:sz w:val="24"/>
          <w:szCs w:val="24"/>
        </w:rPr>
        <w:t xml:space="preserve">, or constrained for environmental or other reasons (see </w:t>
      </w:r>
      <w:r w:rsidRPr="00B866D9">
        <w:rPr>
          <w:rFonts w:ascii="Palatino Linotype" w:hAnsi="Palatino Linotype" w:cs="Georgia"/>
          <w:color w:val="000000"/>
          <w:sz w:val="24"/>
          <w:szCs w:val="24"/>
        </w:rPr>
        <w:t>page 12</w:t>
      </w:r>
      <w:r w:rsidRPr="00031D87">
        <w:rPr>
          <w:rFonts w:ascii="Palatino Linotype" w:hAnsi="Palatino Linotype" w:cs="Georgia"/>
          <w:color w:val="000000"/>
          <w:sz w:val="24"/>
          <w:szCs w:val="24"/>
        </w:rPr>
        <w:t xml:space="preserve"> for a more details about constraints in the base loading process). For a future scenario, </w:t>
      </w:r>
      <w:proofErr w:type="spellStart"/>
      <w:r w:rsidRPr="00031D87">
        <w:rPr>
          <w:rFonts w:ascii="Palatino Linotype" w:hAnsi="Palatino Linotype" w:cs="Georgia"/>
          <w:color w:val="000000"/>
          <w:sz w:val="24"/>
          <w:szCs w:val="24"/>
        </w:rPr>
        <w:t>UrbanFootprint</w:t>
      </w:r>
      <w:proofErr w:type="spellEnd"/>
      <w:r w:rsidRPr="00031D87">
        <w:rPr>
          <w:rFonts w:ascii="Palatino Linotype" w:hAnsi="Palatino Linotype" w:cs="Georgia"/>
          <w:color w:val="000000"/>
          <w:sz w:val="24"/>
          <w:szCs w:val="24"/>
        </w:rPr>
        <w:t xml:space="preserve"> analyzes the </w:t>
      </w:r>
      <w:proofErr w:type="gramStart"/>
      <w:r w:rsidRPr="00031D87">
        <w:rPr>
          <w:rFonts w:ascii="Palatino Linotype" w:hAnsi="Palatino Linotype" w:cs="Georgia"/>
          <w:color w:val="000000"/>
          <w:sz w:val="24"/>
          <w:szCs w:val="24"/>
        </w:rPr>
        <w:t>greenfield</w:t>
      </w:r>
      <w:proofErr w:type="gramEnd"/>
      <w:r w:rsidRPr="00031D87">
        <w:rPr>
          <w:rFonts w:ascii="Palatino Linotype" w:hAnsi="Palatino Linotype" w:cs="Georgia"/>
          <w:color w:val="000000"/>
          <w:sz w:val="24"/>
          <w:szCs w:val="24"/>
        </w:rPr>
        <w:t xml:space="preserve"> land consumed to accommodate new residential and employment growth, as well as the growth that occurs via reuse or intensification on previously urbanized land (refill development). </w:t>
      </w:r>
    </w:p>
    <w:p w:rsidR="00031D87" w:rsidRDefault="00031D87" w:rsidP="00031D87">
      <w:pPr>
        <w:autoSpaceDE w:val="0"/>
        <w:autoSpaceDN w:val="0"/>
        <w:adjustRightInd w:val="0"/>
        <w:spacing w:before="90" w:after="90" w:line="220" w:lineRule="atLeast"/>
        <w:jc w:val="both"/>
        <w:textAlignment w:val="center"/>
        <w:rPr>
          <w:rFonts w:ascii="Palatino Linotype" w:hAnsi="Palatino Linotype" w:cs="Georgia"/>
          <w:color w:val="000000"/>
          <w:sz w:val="24"/>
          <w:szCs w:val="24"/>
        </w:rPr>
      </w:pPr>
      <w:r w:rsidRPr="00031D87">
        <w:rPr>
          <w:rFonts w:ascii="Palatino Linotype" w:hAnsi="Palatino Linotype" w:cs="Georgia"/>
          <w:color w:val="000000"/>
          <w:sz w:val="24"/>
          <w:szCs w:val="24"/>
        </w:rPr>
        <w:t xml:space="preserve">Given that the base environmental data includes sufficient detail, </w:t>
      </w:r>
      <w:proofErr w:type="spellStart"/>
      <w:r w:rsidRPr="00031D87">
        <w:rPr>
          <w:rFonts w:ascii="Palatino Linotype" w:hAnsi="Palatino Linotype" w:cs="Georgia"/>
          <w:color w:val="000000"/>
          <w:sz w:val="24"/>
          <w:szCs w:val="24"/>
        </w:rPr>
        <w:t>UrbanFootprint</w:t>
      </w:r>
      <w:proofErr w:type="spellEnd"/>
      <w:r w:rsidRPr="00031D87">
        <w:rPr>
          <w:rFonts w:ascii="Palatino Linotype" w:hAnsi="Palatino Linotype" w:cs="Georgia"/>
          <w:color w:val="000000"/>
          <w:sz w:val="24"/>
          <w:szCs w:val="24"/>
        </w:rPr>
        <w:t xml:space="preserve"> will report the specific types of land that are consumed to accommodate growth, including types of agricultural lands, habitat lands, aquifers, or other land types. For the Vision California process, using </w:t>
      </w:r>
      <w:proofErr w:type="spellStart"/>
      <w:r w:rsidRPr="00031D87">
        <w:rPr>
          <w:rFonts w:ascii="Palatino Linotype" w:hAnsi="Palatino Linotype" w:cs="Georgia"/>
          <w:color w:val="000000"/>
          <w:sz w:val="24"/>
          <w:szCs w:val="24"/>
        </w:rPr>
        <w:t>UrbanFootprint</w:t>
      </w:r>
      <w:proofErr w:type="spellEnd"/>
      <w:r w:rsidRPr="00031D87">
        <w:rPr>
          <w:rFonts w:ascii="Palatino Linotype" w:hAnsi="Palatino Linotype" w:cs="Georgia"/>
          <w:color w:val="000000"/>
          <w:sz w:val="24"/>
          <w:szCs w:val="24"/>
        </w:rPr>
        <w:t xml:space="preserve"> version 1.0, the model uses California Farmland Mapping and Monitoring Program (FMMP) and California Protected Areas Database (CPAD) data loaded into the base grid to assess </w:t>
      </w:r>
      <w:proofErr w:type="gramStart"/>
      <w:r w:rsidRPr="00031D87">
        <w:rPr>
          <w:rFonts w:ascii="Palatino Linotype" w:hAnsi="Palatino Linotype" w:cs="Georgia"/>
          <w:color w:val="000000"/>
          <w:sz w:val="24"/>
          <w:szCs w:val="24"/>
        </w:rPr>
        <w:t>greenfield</w:t>
      </w:r>
      <w:proofErr w:type="gramEnd"/>
      <w:r w:rsidRPr="00031D87">
        <w:rPr>
          <w:rFonts w:ascii="Palatino Linotype" w:hAnsi="Palatino Linotype" w:cs="Georgia"/>
          <w:color w:val="000000"/>
          <w:sz w:val="24"/>
          <w:szCs w:val="24"/>
        </w:rPr>
        <w:t xml:space="preserve"> land consumption, including specific types of prime agricultural land. Additional base data components would allow the model to provide further detail on land consumption. Near term advancements to the model will include assigning cost and carbon implications to the portfolio of land consumption outputs.</w:t>
      </w:r>
    </w:p>
    <w:p w:rsidR="00004A68" w:rsidRPr="00004A68" w:rsidRDefault="00004A68" w:rsidP="00004A68">
      <w:pPr>
        <w:autoSpaceDE w:val="0"/>
        <w:autoSpaceDN w:val="0"/>
        <w:adjustRightInd w:val="0"/>
        <w:spacing w:before="90" w:after="90" w:line="220" w:lineRule="atLeast"/>
        <w:jc w:val="both"/>
        <w:textAlignment w:val="center"/>
        <w:rPr>
          <w:rFonts w:ascii="Palatino Linotype" w:hAnsi="Palatino Linotype" w:cs="Georgia"/>
          <w:i/>
          <w:color w:val="000000"/>
          <w:sz w:val="24"/>
          <w:szCs w:val="24"/>
        </w:rPr>
      </w:pPr>
      <w:r w:rsidRPr="00004A68">
        <w:rPr>
          <w:rFonts w:ascii="Palatino Linotype" w:hAnsi="Palatino Linotype" w:cs="Georgia"/>
          <w:i/>
          <w:color w:val="000000"/>
          <w:sz w:val="24"/>
          <w:szCs w:val="24"/>
        </w:rPr>
        <w:t>[</w:t>
      </w:r>
      <w:proofErr w:type="gramStart"/>
      <w:r w:rsidRPr="00004A68">
        <w:rPr>
          <w:rFonts w:ascii="Palatino Linotype" w:hAnsi="Palatino Linotype" w:cs="Georgia"/>
          <w:i/>
          <w:color w:val="000000"/>
          <w:sz w:val="24"/>
          <w:szCs w:val="24"/>
        </w:rPr>
        <w:t>diagram</w:t>
      </w:r>
      <w:proofErr w:type="gramEnd"/>
      <w:r w:rsidRPr="00004A68">
        <w:rPr>
          <w:rFonts w:ascii="Palatino Linotype" w:hAnsi="Palatino Linotype" w:cs="Georgia"/>
          <w:i/>
          <w:color w:val="000000"/>
          <w:sz w:val="24"/>
          <w:szCs w:val="24"/>
        </w:rPr>
        <w:t>]</w:t>
      </w:r>
    </w:p>
    <w:p w:rsidR="00004A68" w:rsidRPr="00031D87" w:rsidRDefault="00004A68" w:rsidP="00031D87">
      <w:pPr>
        <w:autoSpaceDE w:val="0"/>
        <w:autoSpaceDN w:val="0"/>
        <w:adjustRightInd w:val="0"/>
        <w:spacing w:before="90" w:after="90" w:line="220" w:lineRule="atLeast"/>
        <w:jc w:val="both"/>
        <w:textAlignment w:val="center"/>
        <w:rPr>
          <w:rFonts w:ascii="Palatino Linotype" w:hAnsi="Palatino Linotype" w:cs="Georgia"/>
          <w:color w:val="000000"/>
          <w:sz w:val="24"/>
          <w:szCs w:val="24"/>
        </w:rPr>
      </w:pPr>
    </w:p>
    <w:p w:rsidR="00031D87" w:rsidRPr="00031D87" w:rsidRDefault="00031D87" w:rsidP="00031D87">
      <w:pPr>
        <w:autoSpaceDE w:val="0"/>
        <w:autoSpaceDN w:val="0"/>
        <w:adjustRightInd w:val="0"/>
        <w:spacing w:before="90" w:after="90" w:line="220" w:lineRule="atLeast"/>
        <w:jc w:val="both"/>
        <w:textAlignment w:val="center"/>
        <w:rPr>
          <w:rFonts w:ascii="Palatino Linotype" w:hAnsi="Palatino Linotype" w:cs="Georgia"/>
          <w:color w:val="000000"/>
          <w:sz w:val="24"/>
          <w:szCs w:val="24"/>
        </w:rPr>
      </w:pPr>
    </w:p>
    <w:p w:rsidR="00031D87" w:rsidRPr="00B866D9" w:rsidRDefault="00031D87">
      <w:pPr>
        <w:rPr>
          <w:rFonts w:ascii="Palatino Linotype" w:hAnsi="Palatino Linotype" w:cs="HelveticaNeueLT Std Lt Cn"/>
          <w:i/>
          <w:iCs/>
          <w:color w:val="000000"/>
          <w:sz w:val="24"/>
          <w:szCs w:val="24"/>
        </w:rPr>
      </w:pPr>
      <w:r w:rsidRPr="00B866D9">
        <w:rPr>
          <w:rFonts w:ascii="Palatino Linotype" w:hAnsi="Palatino Linotype" w:cs="HelveticaNeueLT Std Lt Cn"/>
          <w:i/>
          <w:iCs/>
          <w:color w:val="000000"/>
          <w:sz w:val="24"/>
          <w:szCs w:val="24"/>
        </w:rPr>
        <w:br w:type="page"/>
      </w:r>
    </w:p>
    <w:p w:rsidR="00031D87" w:rsidRPr="00031D87" w:rsidRDefault="00031D87" w:rsidP="00004A68">
      <w:pPr>
        <w:pStyle w:val="Heading1"/>
        <w:rPr>
          <w:w w:val="110"/>
        </w:rPr>
      </w:pPr>
      <w:r w:rsidRPr="00031D87">
        <w:rPr>
          <w:w w:val="110"/>
        </w:rPr>
        <w:lastRenderedPageBreak/>
        <w:t>Fiscal Impact Analysis</w:t>
      </w:r>
    </w:p>
    <w:p w:rsidR="00031D87" w:rsidRPr="00004A68" w:rsidRDefault="00031D87" w:rsidP="00031D87">
      <w:pPr>
        <w:autoSpaceDE w:val="0"/>
        <w:autoSpaceDN w:val="0"/>
        <w:adjustRightInd w:val="0"/>
        <w:spacing w:before="90" w:after="90" w:line="220" w:lineRule="atLeast"/>
        <w:jc w:val="both"/>
        <w:textAlignment w:val="center"/>
        <w:rPr>
          <w:rFonts w:ascii="Palatino Linotype" w:hAnsi="Palatino Linotype" w:cs="Georgia"/>
          <w:color w:val="000000"/>
        </w:rPr>
      </w:pPr>
      <w:proofErr w:type="spellStart"/>
      <w:r w:rsidRPr="00004A68">
        <w:rPr>
          <w:rFonts w:ascii="Palatino Linotype" w:hAnsi="Palatino Linotype" w:cs="Georgia"/>
          <w:color w:val="000000"/>
        </w:rPr>
        <w:t>UrbanFootprint</w:t>
      </w:r>
      <w:proofErr w:type="spellEnd"/>
      <w:r w:rsidRPr="00004A68">
        <w:rPr>
          <w:rFonts w:ascii="Palatino Linotype" w:hAnsi="Palatino Linotype" w:cs="Georgia"/>
          <w:color w:val="000000"/>
        </w:rPr>
        <w:t xml:space="preserve"> calculates three metrics that reflect the fiscal impacts of new residential growth on local jurisdictions: capital infrastructure costs, operations and maintenance (O&amp;M) costs, and revenues. Empirical data from local, regional, state, and utility sources are used to derive the cost and revenue factors, which vary by housing unit type, land development category, and land condition. </w:t>
      </w:r>
    </w:p>
    <w:p w:rsidR="00031D87" w:rsidRPr="00004A68" w:rsidRDefault="00031D87" w:rsidP="00031D87">
      <w:pPr>
        <w:autoSpaceDE w:val="0"/>
        <w:autoSpaceDN w:val="0"/>
        <w:adjustRightInd w:val="0"/>
        <w:spacing w:before="180" w:after="90" w:line="280" w:lineRule="atLeast"/>
        <w:jc w:val="both"/>
        <w:textAlignment w:val="center"/>
        <w:rPr>
          <w:rFonts w:ascii="Palatino Linotype" w:hAnsi="Palatino Linotype" w:cs="HelveticaNeueLT Std Cn"/>
          <w:b/>
          <w:bCs/>
          <w:i/>
          <w:iCs/>
          <w:color w:val="000000"/>
        </w:rPr>
      </w:pPr>
      <w:r w:rsidRPr="00004A68">
        <w:rPr>
          <w:rFonts w:ascii="Palatino Linotype" w:hAnsi="Palatino Linotype" w:cs="HelveticaNeueLT Std Lt Cn"/>
          <w:i/>
          <w:iCs/>
          <w:color w:val="000000"/>
        </w:rPr>
        <w:t>One-time capital costs for the following infrastructure elements are included:</w:t>
      </w:r>
    </w:p>
    <w:p w:rsidR="00031D87" w:rsidRPr="00004A68" w:rsidRDefault="00031D87" w:rsidP="00031D87">
      <w:pPr>
        <w:suppressAutoHyphens/>
        <w:autoSpaceDE w:val="0"/>
        <w:autoSpaceDN w:val="0"/>
        <w:adjustRightInd w:val="0"/>
        <w:spacing w:before="58" w:after="58" w:line="220" w:lineRule="atLeast"/>
        <w:ind w:left="360" w:hanging="360"/>
        <w:textAlignment w:val="center"/>
        <w:rPr>
          <w:rFonts w:ascii="Palatino Linotype" w:hAnsi="Palatino Linotype" w:cs="Georgia"/>
          <w:color w:val="000000"/>
        </w:rPr>
      </w:pPr>
      <w:r w:rsidRPr="00004A68">
        <w:rPr>
          <w:rFonts w:ascii="Palatino Linotype" w:hAnsi="Palatino Linotype" w:cs="Georgia"/>
          <w:color w:val="000000"/>
        </w:rPr>
        <w:t>Local streets and transportation</w:t>
      </w:r>
    </w:p>
    <w:p w:rsidR="00031D87" w:rsidRPr="00004A68" w:rsidRDefault="00031D87" w:rsidP="00031D87">
      <w:pPr>
        <w:suppressAutoHyphens/>
        <w:autoSpaceDE w:val="0"/>
        <w:autoSpaceDN w:val="0"/>
        <w:adjustRightInd w:val="0"/>
        <w:spacing w:before="58" w:after="58" w:line="220" w:lineRule="atLeast"/>
        <w:ind w:left="360" w:hanging="360"/>
        <w:textAlignment w:val="center"/>
        <w:rPr>
          <w:rFonts w:ascii="Palatino Linotype" w:hAnsi="Palatino Linotype" w:cs="Georgia"/>
          <w:color w:val="000000"/>
        </w:rPr>
      </w:pPr>
      <w:r w:rsidRPr="00004A68">
        <w:rPr>
          <w:rFonts w:ascii="Palatino Linotype" w:hAnsi="Palatino Linotype" w:cs="Georgia"/>
          <w:color w:val="000000"/>
        </w:rPr>
        <w:t>Water supply</w:t>
      </w:r>
    </w:p>
    <w:p w:rsidR="00031D87" w:rsidRPr="00004A68" w:rsidRDefault="00031D87" w:rsidP="00031D87">
      <w:pPr>
        <w:suppressAutoHyphens/>
        <w:autoSpaceDE w:val="0"/>
        <w:autoSpaceDN w:val="0"/>
        <w:adjustRightInd w:val="0"/>
        <w:spacing w:before="58" w:after="58" w:line="220" w:lineRule="atLeast"/>
        <w:ind w:left="360" w:hanging="360"/>
        <w:textAlignment w:val="center"/>
        <w:rPr>
          <w:rFonts w:ascii="Palatino Linotype" w:hAnsi="Palatino Linotype" w:cs="Georgia"/>
          <w:color w:val="000000"/>
        </w:rPr>
      </w:pPr>
      <w:r w:rsidRPr="00004A68">
        <w:rPr>
          <w:rFonts w:ascii="Palatino Linotype" w:hAnsi="Palatino Linotype" w:cs="Georgia"/>
          <w:color w:val="000000"/>
        </w:rPr>
        <w:t>Sewage and wastewater</w:t>
      </w:r>
    </w:p>
    <w:p w:rsidR="00031D87" w:rsidRPr="00004A68" w:rsidRDefault="00031D87" w:rsidP="00031D87">
      <w:pPr>
        <w:suppressAutoHyphens/>
        <w:autoSpaceDE w:val="0"/>
        <w:autoSpaceDN w:val="0"/>
        <w:adjustRightInd w:val="0"/>
        <w:spacing w:before="58" w:after="58" w:line="220" w:lineRule="atLeast"/>
        <w:ind w:left="360" w:hanging="360"/>
        <w:textAlignment w:val="center"/>
        <w:rPr>
          <w:rFonts w:ascii="Palatino Linotype" w:hAnsi="Palatino Linotype" w:cs="Georgia"/>
          <w:color w:val="000000"/>
        </w:rPr>
      </w:pPr>
      <w:r w:rsidRPr="00004A68">
        <w:rPr>
          <w:rFonts w:ascii="Palatino Linotype" w:hAnsi="Palatino Linotype" w:cs="Georgia"/>
          <w:color w:val="000000"/>
        </w:rPr>
        <w:t>Local parks</w:t>
      </w:r>
    </w:p>
    <w:p w:rsidR="00031D87" w:rsidRPr="00004A68" w:rsidRDefault="00031D87" w:rsidP="00031D87">
      <w:pPr>
        <w:autoSpaceDE w:val="0"/>
        <w:autoSpaceDN w:val="0"/>
        <w:adjustRightInd w:val="0"/>
        <w:spacing w:before="180" w:after="90" w:line="280" w:lineRule="atLeast"/>
        <w:jc w:val="both"/>
        <w:textAlignment w:val="center"/>
        <w:rPr>
          <w:rFonts w:ascii="Palatino Linotype" w:hAnsi="Palatino Linotype" w:cs="HelveticaNeueLT Std Cn"/>
          <w:b/>
          <w:bCs/>
          <w:i/>
          <w:iCs/>
          <w:color w:val="000000"/>
        </w:rPr>
      </w:pPr>
      <w:r w:rsidRPr="00004A68">
        <w:rPr>
          <w:rFonts w:ascii="Palatino Linotype" w:hAnsi="Palatino Linotype" w:cs="HelveticaNeueLT Std Lt Cn"/>
          <w:i/>
          <w:iCs/>
          <w:color w:val="000000"/>
        </w:rPr>
        <w:t>Annual operations and maintenance (O&amp;M) costs include the following categories of general fund expenditures:</w:t>
      </w:r>
    </w:p>
    <w:p w:rsidR="00031D87" w:rsidRPr="00004A68" w:rsidRDefault="00031D87" w:rsidP="00031D87">
      <w:pPr>
        <w:suppressAutoHyphens/>
        <w:autoSpaceDE w:val="0"/>
        <w:autoSpaceDN w:val="0"/>
        <w:adjustRightInd w:val="0"/>
        <w:spacing w:before="58" w:after="58" w:line="220" w:lineRule="atLeast"/>
        <w:ind w:left="360" w:hanging="360"/>
        <w:textAlignment w:val="center"/>
        <w:rPr>
          <w:rFonts w:ascii="Palatino Linotype" w:hAnsi="Palatino Linotype" w:cs="Georgia"/>
          <w:color w:val="000000"/>
        </w:rPr>
      </w:pPr>
      <w:r w:rsidRPr="00004A68">
        <w:rPr>
          <w:rFonts w:ascii="Palatino Linotype" w:hAnsi="Palatino Linotype" w:cs="Georgia"/>
          <w:color w:val="000000"/>
        </w:rPr>
        <w:t>Public works functions</w:t>
      </w:r>
    </w:p>
    <w:p w:rsidR="00031D87" w:rsidRPr="00004A68" w:rsidRDefault="00031D87" w:rsidP="00031D87">
      <w:pPr>
        <w:suppressAutoHyphens/>
        <w:autoSpaceDE w:val="0"/>
        <w:autoSpaceDN w:val="0"/>
        <w:adjustRightInd w:val="0"/>
        <w:spacing w:before="58" w:after="58" w:line="220" w:lineRule="atLeast"/>
        <w:ind w:left="360" w:hanging="360"/>
        <w:textAlignment w:val="center"/>
        <w:rPr>
          <w:rFonts w:ascii="Palatino Linotype" w:hAnsi="Palatino Linotype" w:cs="Georgia"/>
          <w:color w:val="000000"/>
        </w:rPr>
      </w:pPr>
      <w:r w:rsidRPr="00004A68">
        <w:rPr>
          <w:rFonts w:ascii="Palatino Linotype" w:hAnsi="Palatino Linotype" w:cs="Georgia"/>
          <w:color w:val="000000"/>
        </w:rPr>
        <w:t>General government services</w:t>
      </w:r>
    </w:p>
    <w:p w:rsidR="00031D87" w:rsidRPr="00004A68" w:rsidRDefault="00031D87" w:rsidP="00031D87">
      <w:pPr>
        <w:suppressAutoHyphens/>
        <w:autoSpaceDE w:val="0"/>
        <w:autoSpaceDN w:val="0"/>
        <w:adjustRightInd w:val="0"/>
        <w:spacing w:before="58" w:after="58" w:line="220" w:lineRule="atLeast"/>
        <w:ind w:left="360" w:hanging="360"/>
        <w:textAlignment w:val="center"/>
        <w:rPr>
          <w:rFonts w:ascii="Palatino Linotype" w:hAnsi="Palatino Linotype" w:cs="Georgia"/>
          <w:color w:val="000000"/>
        </w:rPr>
      </w:pPr>
      <w:r w:rsidRPr="00004A68">
        <w:rPr>
          <w:rFonts w:ascii="Palatino Linotype" w:hAnsi="Palatino Linotype" w:cs="Georgia"/>
          <w:color w:val="000000"/>
        </w:rPr>
        <w:t>Public safety (police and fire)</w:t>
      </w:r>
    </w:p>
    <w:p w:rsidR="00031D87" w:rsidRPr="00004A68" w:rsidRDefault="00031D87" w:rsidP="00031D87">
      <w:pPr>
        <w:suppressAutoHyphens/>
        <w:autoSpaceDE w:val="0"/>
        <w:autoSpaceDN w:val="0"/>
        <w:adjustRightInd w:val="0"/>
        <w:spacing w:before="58" w:after="58" w:line="220" w:lineRule="atLeast"/>
        <w:ind w:left="360" w:hanging="360"/>
        <w:textAlignment w:val="center"/>
        <w:rPr>
          <w:rFonts w:ascii="Palatino Linotype" w:hAnsi="Palatino Linotype" w:cs="Georgia"/>
          <w:color w:val="000000"/>
        </w:rPr>
      </w:pPr>
      <w:r w:rsidRPr="00004A68">
        <w:rPr>
          <w:rFonts w:ascii="Palatino Linotype" w:hAnsi="Palatino Linotype" w:cs="Georgia"/>
          <w:color w:val="000000"/>
        </w:rPr>
        <w:t>Community services</w:t>
      </w:r>
    </w:p>
    <w:p w:rsidR="00031D87" w:rsidRPr="00004A68" w:rsidRDefault="00031D87" w:rsidP="00031D87">
      <w:pPr>
        <w:autoSpaceDE w:val="0"/>
        <w:autoSpaceDN w:val="0"/>
        <w:adjustRightInd w:val="0"/>
        <w:spacing w:before="180" w:after="90" w:line="280" w:lineRule="atLeast"/>
        <w:jc w:val="both"/>
        <w:textAlignment w:val="center"/>
        <w:rPr>
          <w:rFonts w:ascii="Palatino Linotype" w:hAnsi="Palatino Linotype" w:cs="HelveticaNeueLT Std Cn"/>
          <w:b/>
          <w:bCs/>
          <w:i/>
          <w:iCs/>
          <w:color w:val="000000"/>
        </w:rPr>
      </w:pPr>
      <w:r w:rsidRPr="00004A68">
        <w:rPr>
          <w:rFonts w:ascii="Palatino Linotype" w:hAnsi="Palatino Linotype" w:cs="HelveticaNeueLT Std Lt Cn"/>
          <w:i/>
          <w:iCs/>
          <w:color w:val="000000"/>
        </w:rPr>
        <w:t>Annual revenues are estimated from the following tax and fee types:</w:t>
      </w:r>
    </w:p>
    <w:p w:rsidR="00031D87" w:rsidRPr="00004A68" w:rsidRDefault="00031D87" w:rsidP="00031D87">
      <w:pPr>
        <w:suppressAutoHyphens/>
        <w:autoSpaceDE w:val="0"/>
        <w:autoSpaceDN w:val="0"/>
        <w:adjustRightInd w:val="0"/>
        <w:spacing w:before="58" w:after="58" w:line="220" w:lineRule="atLeast"/>
        <w:ind w:left="360" w:hanging="360"/>
        <w:textAlignment w:val="center"/>
        <w:rPr>
          <w:rFonts w:ascii="Palatino Linotype" w:hAnsi="Palatino Linotype" w:cs="Georgia"/>
          <w:color w:val="000000"/>
        </w:rPr>
      </w:pPr>
      <w:r w:rsidRPr="00004A68">
        <w:rPr>
          <w:rFonts w:ascii="Palatino Linotype" w:hAnsi="Palatino Linotype" w:cs="Georgia"/>
          <w:color w:val="000000"/>
        </w:rPr>
        <w:t>Property taxes, property transfer taxes</w:t>
      </w:r>
    </w:p>
    <w:p w:rsidR="00031D87" w:rsidRPr="00004A68" w:rsidRDefault="00031D87" w:rsidP="00031D87">
      <w:pPr>
        <w:suppressAutoHyphens/>
        <w:autoSpaceDE w:val="0"/>
        <w:autoSpaceDN w:val="0"/>
        <w:adjustRightInd w:val="0"/>
        <w:spacing w:before="58" w:after="58" w:line="220" w:lineRule="atLeast"/>
        <w:ind w:left="360" w:hanging="360"/>
        <w:textAlignment w:val="center"/>
        <w:rPr>
          <w:rFonts w:ascii="Palatino Linotype" w:hAnsi="Palatino Linotype" w:cs="Georgia"/>
          <w:color w:val="000000"/>
        </w:rPr>
      </w:pPr>
      <w:r w:rsidRPr="00004A68">
        <w:rPr>
          <w:rFonts w:ascii="Palatino Linotype" w:hAnsi="Palatino Linotype" w:cs="Georgia"/>
          <w:color w:val="000000"/>
        </w:rPr>
        <w:t>Vehicle license fees</w:t>
      </w:r>
    </w:p>
    <w:p w:rsidR="00031D87" w:rsidRPr="00004A68" w:rsidRDefault="00031D87" w:rsidP="00031D87">
      <w:pPr>
        <w:autoSpaceDE w:val="0"/>
        <w:autoSpaceDN w:val="0"/>
        <w:adjustRightInd w:val="0"/>
        <w:spacing w:before="90" w:after="90" w:line="220" w:lineRule="atLeast"/>
        <w:jc w:val="both"/>
        <w:textAlignment w:val="center"/>
        <w:rPr>
          <w:rFonts w:ascii="Palatino Linotype" w:hAnsi="Palatino Linotype" w:cs="Georgia"/>
          <w:color w:val="000000"/>
        </w:rPr>
      </w:pPr>
      <w:r w:rsidRPr="00004A68">
        <w:rPr>
          <w:rFonts w:ascii="Palatino Linotype" w:hAnsi="Palatino Linotype" w:cs="Georgia"/>
          <w:color w:val="000000"/>
        </w:rPr>
        <w:t>The per-unit assumptions are applied as factors to counts of new housing units by type. Costs and revenues vary by land condition (</w:t>
      </w:r>
      <w:proofErr w:type="gramStart"/>
      <w:r w:rsidRPr="00004A68">
        <w:rPr>
          <w:rFonts w:ascii="Palatino Linotype" w:hAnsi="Palatino Linotype" w:cs="Georgia"/>
          <w:color w:val="000000"/>
        </w:rPr>
        <w:t>greenfield</w:t>
      </w:r>
      <w:proofErr w:type="gramEnd"/>
      <w:r w:rsidRPr="00004A68">
        <w:rPr>
          <w:rFonts w:ascii="Palatino Linotype" w:hAnsi="Palatino Linotype" w:cs="Georgia"/>
          <w:color w:val="000000"/>
        </w:rPr>
        <w:t xml:space="preserve"> or infill/redevelopment) and general land development category – a classification that categorizes all place types as either urban, compact walkable, or standard suburban. The model’s current cost and revenue assumptions are derived from studies of exemplary places throughout California</w:t>
      </w:r>
      <w:r w:rsidRPr="00004A68">
        <w:rPr>
          <w:rFonts w:ascii="Palatino Linotype" w:hAnsi="Palatino Linotype" w:cs="Georgia"/>
          <w:color w:val="000000"/>
          <w:vertAlign w:val="superscript"/>
        </w:rPr>
        <w:t>1</w:t>
      </w:r>
      <w:r w:rsidRPr="00004A68">
        <w:rPr>
          <w:rFonts w:ascii="Palatino Linotype" w:hAnsi="Palatino Linotype" w:cs="Georgia"/>
          <w:color w:val="000000"/>
        </w:rPr>
        <w:t xml:space="preserve">, though assumptions can be localized for other study areas. Cost and revenue assumptions at a finer scale, generated through other processes or tools (such as the Sacramento Area Council of </w:t>
      </w:r>
      <w:proofErr w:type="spellStart"/>
      <w:r w:rsidRPr="00004A68">
        <w:rPr>
          <w:rFonts w:ascii="Palatino Linotype" w:hAnsi="Palatino Linotype" w:cs="Georgia"/>
          <w:color w:val="000000"/>
        </w:rPr>
        <w:t>Governments’s</w:t>
      </w:r>
      <w:proofErr w:type="spellEnd"/>
      <w:r w:rsidRPr="00004A68">
        <w:rPr>
          <w:rFonts w:ascii="Palatino Linotype" w:hAnsi="Palatino Linotype" w:cs="Georgia"/>
          <w:color w:val="000000"/>
        </w:rPr>
        <w:t xml:space="preserve"> </w:t>
      </w:r>
      <w:proofErr w:type="spellStart"/>
      <w:r w:rsidRPr="00004A68">
        <w:rPr>
          <w:rFonts w:ascii="Palatino Linotype" w:hAnsi="Palatino Linotype" w:cs="Georgia"/>
          <w:color w:val="000000"/>
        </w:rPr>
        <w:t>iMPACS</w:t>
      </w:r>
      <w:proofErr w:type="spellEnd"/>
      <w:r w:rsidRPr="00004A68">
        <w:rPr>
          <w:rFonts w:ascii="Palatino Linotype" w:hAnsi="Palatino Linotype" w:cs="Georgia"/>
          <w:color w:val="000000"/>
        </w:rPr>
        <w:t xml:space="preserve"> infrastructure cost model), can also be integrated. The cost and revenue assumptions are expressed in constant dollars, and are not assumed to change over time. </w:t>
      </w:r>
    </w:p>
    <w:p w:rsidR="00004A68" w:rsidRPr="00004A68" w:rsidRDefault="00031D87" w:rsidP="00004A68">
      <w:pPr>
        <w:autoSpaceDE w:val="0"/>
        <w:autoSpaceDN w:val="0"/>
        <w:adjustRightInd w:val="0"/>
        <w:spacing w:before="90" w:after="90" w:line="220" w:lineRule="atLeast"/>
        <w:jc w:val="both"/>
        <w:textAlignment w:val="center"/>
        <w:rPr>
          <w:rFonts w:ascii="Palatino Linotype" w:hAnsi="Palatino Linotype" w:cs="Georgia"/>
          <w:color w:val="000000"/>
        </w:rPr>
      </w:pPr>
      <w:r w:rsidRPr="00004A68">
        <w:rPr>
          <w:rFonts w:ascii="Palatino Linotype" w:hAnsi="Palatino Linotype" w:cs="Georgia"/>
          <w:color w:val="000000"/>
        </w:rPr>
        <w:t xml:space="preserve">The current version of the model estimates the impacts of variations in residential development unit types and patterns; future versions will incorporate the fiscal impacts due to commercial development variations, as well as other methods for calculating fiscal impacts (i.e. the SACOG </w:t>
      </w:r>
      <w:proofErr w:type="spellStart"/>
      <w:r w:rsidRPr="00004A68">
        <w:rPr>
          <w:rFonts w:ascii="Palatino Linotype" w:hAnsi="Palatino Linotype" w:cs="Georgia"/>
          <w:color w:val="000000"/>
        </w:rPr>
        <w:t>iMPACS</w:t>
      </w:r>
      <w:proofErr w:type="spellEnd"/>
      <w:r w:rsidRPr="00004A68">
        <w:rPr>
          <w:rFonts w:ascii="Palatino Linotype" w:hAnsi="Palatino Linotype" w:cs="Georgia"/>
          <w:color w:val="000000"/>
        </w:rPr>
        <w:t xml:space="preserve"> model). The chart at right summarizes the process of calculating fiscal impacts.</w:t>
      </w:r>
    </w:p>
    <w:p w:rsidR="00004A68" w:rsidRPr="00004A68" w:rsidRDefault="00004A68" w:rsidP="00004A68">
      <w:pPr>
        <w:autoSpaceDE w:val="0"/>
        <w:autoSpaceDN w:val="0"/>
        <w:adjustRightInd w:val="0"/>
        <w:spacing w:before="90" w:after="90" w:line="220" w:lineRule="atLeast"/>
        <w:jc w:val="both"/>
        <w:textAlignment w:val="center"/>
        <w:rPr>
          <w:rFonts w:ascii="Palatino Linotype" w:hAnsi="Palatino Linotype" w:cs="Georgia"/>
          <w:i/>
          <w:color w:val="000000"/>
        </w:rPr>
      </w:pPr>
      <w:r w:rsidRPr="00004A68">
        <w:rPr>
          <w:rFonts w:ascii="Palatino Linotype" w:hAnsi="Palatino Linotype" w:cs="Georgia"/>
          <w:i/>
          <w:color w:val="000000"/>
        </w:rPr>
        <w:t>[</w:t>
      </w:r>
      <w:proofErr w:type="gramStart"/>
      <w:r w:rsidRPr="00004A68">
        <w:rPr>
          <w:rFonts w:ascii="Palatino Linotype" w:hAnsi="Palatino Linotype" w:cs="Georgia"/>
          <w:i/>
          <w:color w:val="000000"/>
        </w:rPr>
        <w:t>diagram</w:t>
      </w:r>
      <w:proofErr w:type="gramEnd"/>
      <w:r w:rsidRPr="00004A68">
        <w:rPr>
          <w:rFonts w:ascii="Palatino Linotype" w:hAnsi="Palatino Linotype" w:cs="Georgia"/>
          <w:i/>
          <w:color w:val="000000"/>
        </w:rPr>
        <w:t>]</w:t>
      </w:r>
    </w:p>
    <w:p w:rsidR="00031D87" w:rsidRPr="00004A68" w:rsidRDefault="00031D87" w:rsidP="00004A68">
      <w:pPr>
        <w:autoSpaceDE w:val="0"/>
        <w:autoSpaceDN w:val="0"/>
        <w:adjustRightInd w:val="0"/>
        <w:spacing w:before="90" w:after="90" w:line="220" w:lineRule="atLeast"/>
        <w:jc w:val="both"/>
        <w:textAlignment w:val="center"/>
        <w:rPr>
          <w:rFonts w:ascii="Palatino Linotype" w:hAnsi="Palatino Linotype" w:cs="Georgia"/>
          <w:color w:val="000000"/>
          <w:sz w:val="24"/>
          <w:szCs w:val="24"/>
        </w:rPr>
      </w:pPr>
      <w:r w:rsidRPr="00B866D9">
        <w:rPr>
          <w:rFonts w:ascii="Palatino Linotype" w:hAnsi="Palatino Linotype" w:cs="HelveticaNeueLT Std Lt Cn"/>
          <w:i/>
          <w:iCs/>
          <w:color w:val="000000"/>
          <w:sz w:val="24"/>
          <w:szCs w:val="24"/>
        </w:rPr>
        <w:br w:type="page"/>
      </w:r>
    </w:p>
    <w:p w:rsidR="00031D87" w:rsidRPr="00031D87" w:rsidRDefault="00031D87" w:rsidP="00004A68">
      <w:pPr>
        <w:pStyle w:val="Heading1"/>
        <w:rPr>
          <w:w w:val="110"/>
        </w:rPr>
      </w:pPr>
      <w:r w:rsidRPr="00031D87">
        <w:rPr>
          <w:w w:val="110"/>
        </w:rPr>
        <w:lastRenderedPageBreak/>
        <w:t>Building Energy Analysis</w:t>
      </w:r>
    </w:p>
    <w:p w:rsidR="00031D87" w:rsidRPr="00031D87" w:rsidRDefault="00031D87" w:rsidP="00031D87">
      <w:pPr>
        <w:autoSpaceDE w:val="0"/>
        <w:autoSpaceDN w:val="0"/>
        <w:adjustRightInd w:val="0"/>
        <w:spacing w:before="90" w:after="90" w:line="220" w:lineRule="atLeast"/>
        <w:jc w:val="both"/>
        <w:textAlignment w:val="center"/>
        <w:rPr>
          <w:rFonts w:ascii="Palatino Linotype" w:hAnsi="Palatino Linotype" w:cs="Georgia"/>
          <w:color w:val="000000"/>
          <w:sz w:val="24"/>
          <w:szCs w:val="24"/>
        </w:rPr>
      </w:pPr>
      <w:proofErr w:type="spellStart"/>
      <w:r w:rsidRPr="00031D87">
        <w:rPr>
          <w:rFonts w:ascii="Palatino Linotype" w:hAnsi="Palatino Linotype" w:cs="Georgia"/>
          <w:color w:val="000000"/>
          <w:sz w:val="24"/>
          <w:szCs w:val="24"/>
        </w:rPr>
        <w:t>UrbanFootprint</w:t>
      </w:r>
      <w:proofErr w:type="spellEnd"/>
      <w:r w:rsidRPr="00031D87">
        <w:rPr>
          <w:rFonts w:ascii="Palatino Linotype" w:hAnsi="Palatino Linotype" w:cs="Georgia"/>
          <w:color w:val="000000"/>
          <w:sz w:val="24"/>
          <w:szCs w:val="24"/>
        </w:rPr>
        <w:t xml:space="preserve"> calculates residential and commercial building energy use, and their related costs and greenhouse gas (GHG) emissions, for both new and existing buildings. Scenarios ultimately vary in their building energy use profiles due to their building program, the location of where new growth occurs, and policy-based assumptions about improvements in energy efficiency.  </w:t>
      </w:r>
    </w:p>
    <w:p w:rsidR="00031D87" w:rsidRPr="00031D87" w:rsidRDefault="00031D87" w:rsidP="00031D87">
      <w:pPr>
        <w:autoSpaceDE w:val="0"/>
        <w:autoSpaceDN w:val="0"/>
        <w:adjustRightInd w:val="0"/>
        <w:spacing w:before="180" w:after="90" w:line="280" w:lineRule="atLeast"/>
        <w:jc w:val="both"/>
        <w:textAlignment w:val="center"/>
        <w:rPr>
          <w:rFonts w:ascii="Palatino Linotype" w:hAnsi="Palatino Linotype" w:cs="HelveticaNeueLT Std Cn"/>
          <w:b/>
          <w:bCs/>
          <w:i/>
          <w:iCs/>
          <w:color w:val="000000"/>
          <w:sz w:val="24"/>
          <w:szCs w:val="24"/>
        </w:rPr>
      </w:pPr>
      <w:r w:rsidRPr="00031D87">
        <w:rPr>
          <w:rFonts w:ascii="Palatino Linotype" w:hAnsi="Palatino Linotype" w:cs="HelveticaNeueLT Std Cn"/>
          <w:b/>
          <w:bCs/>
          <w:i/>
          <w:iCs/>
          <w:color w:val="000000"/>
          <w:sz w:val="24"/>
          <w:szCs w:val="24"/>
        </w:rPr>
        <w:t>Calculating Energy Consumption</w:t>
      </w:r>
    </w:p>
    <w:p w:rsidR="00031D87" w:rsidRPr="00031D87" w:rsidRDefault="00031D87" w:rsidP="00031D87">
      <w:pPr>
        <w:autoSpaceDE w:val="0"/>
        <w:autoSpaceDN w:val="0"/>
        <w:adjustRightInd w:val="0"/>
        <w:spacing w:before="90" w:after="90" w:line="220" w:lineRule="atLeast"/>
        <w:jc w:val="both"/>
        <w:textAlignment w:val="center"/>
        <w:rPr>
          <w:rFonts w:ascii="Palatino Linotype" w:hAnsi="Palatino Linotype" w:cs="Georgia"/>
          <w:color w:val="000000"/>
          <w:sz w:val="24"/>
          <w:szCs w:val="24"/>
        </w:rPr>
      </w:pPr>
      <w:r w:rsidRPr="00031D87">
        <w:rPr>
          <w:rFonts w:ascii="Palatino Linotype" w:hAnsi="Palatino Linotype" w:cs="Georgia"/>
          <w:color w:val="000000"/>
          <w:sz w:val="24"/>
          <w:szCs w:val="24"/>
        </w:rPr>
        <w:t>Residential energy use is calculated as a function of three factors: housing type, location by climate zone, and policy-based assumptions about building efficiency. Base-year energy use for housing units varies by building type, with larger home types requiring more energy, and climate zone, which affects heating and cooling needs. Base-year residential energy use factors for California come from California Energy Commission (CEC) Residential Appliance Saturation Survey data</w:t>
      </w:r>
      <w:r w:rsidRPr="00B866D9">
        <w:rPr>
          <w:rFonts w:ascii="Palatino Linotype" w:hAnsi="Palatino Linotype" w:cs="Georgia"/>
          <w:color w:val="000000"/>
          <w:sz w:val="24"/>
          <w:szCs w:val="24"/>
          <w:vertAlign w:val="superscript"/>
        </w:rPr>
        <w:t>2</w:t>
      </w:r>
      <w:r w:rsidRPr="00031D87">
        <w:rPr>
          <w:rFonts w:ascii="Palatino Linotype" w:hAnsi="Palatino Linotype" w:cs="Georgia"/>
          <w:color w:val="000000"/>
          <w:sz w:val="24"/>
          <w:szCs w:val="24"/>
        </w:rPr>
        <w:t xml:space="preserve">. Energy efficiency policy assumptions lead to reductions in energy use in future years. These assumptions vary for new and existing buildings, with new buildings assumed to meet increasingly stringent standards, and existing buildings assumed to be retrofitted or eventually replaced by new buildings. </w:t>
      </w:r>
      <w:r w:rsidRPr="00B866D9">
        <w:rPr>
          <w:rFonts w:ascii="Palatino Linotype" w:hAnsi="Palatino Linotype" w:cs="Georgia"/>
          <w:color w:val="000000"/>
          <w:sz w:val="24"/>
          <w:szCs w:val="24"/>
        </w:rPr>
        <w:t>The figure at right</w:t>
      </w:r>
      <w:r w:rsidRPr="00031D87">
        <w:rPr>
          <w:rFonts w:ascii="Palatino Linotype" w:hAnsi="Palatino Linotype" w:cs="Georgia"/>
          <w:color w:val="E21A23"/>
          <w:sz w:val="24"/>
          <w:szCs w:val="24"/>
        </w:rPr>
        <w:t xml:space="preserve"> </w:t>
      </w:r>
      <w:r w:rsidRPr="00031D87">
        <w:rPr>
          <w:rFonts w:ascii="Palatino Linotype" w:hAnsi="Palatino Linotype" w:cs="Georgia"/>
          <w:color w:val="000000"/>
          <w:sz w:val="24"/>
          <w:szCs w:val="24"/>
        </w:rPr>
        <w:t>summarizes the process of calculating energy use.</w:t>
      </w:r>
    </w:p>
    <w:p w:rsidR="00031D87" w:rsidRPr="00031D87" w:rsidRDefault="00031D87" w:rsidP="00031D87">
      <w:pPr>
        <w:autoSpaceDE w:val="0"/>
        <w:autoSpaceDN w:val="0"/>
        <w:adjustRightInd w:val="0"/>
        <w:spacing w:before="90" w:after="90" w:line="220" w:lineRule="atLeast"/>
        <w:jc w:val="both"/>
        <w:textAlignment w:val="center"/>
        <w:rPr>
          <w:rFonts w:ascii="Palatino Linotype" w:hAnsi="Palatino Linotype" w:cs="Georgia"/>
          <w:color w:val="000000"/>
          <w:sz w:val="24"/>
          <w:szCs w:val="24"/>
        </w:rPr>
      </w:pPr>
      <w:r w:rsidRPr="00031D87">
        <w:rPr>
          <w:rFonts w:ascii="Palatino Linotype" w:hAnsi="Palatino Linotype" w:cs="Georgia"/>
          <w:color w:val="000000"/>
          <w:sz w:val="24"/>
          <w:szCs w:val="24"/>
        </w:rPr>
        <w:t>Similarly, commercial energy use is calculated using base-year rates and policy-based assumptions about future energy efficiency. Commercial energy intensities (electricity and natural gas use per square foot) vary by building type and climate zone. In California, these rates come from CEC Commercial End-Use Survey data</w:t>
      </w:r>
      <w:r w:rsidRPr="00B866D9">
        <w:rPr>
          <w:rFonts w:ascii="Palatino Linotype" w:hAnsi="Palatino Linotype" w:cs="Georgia"/>
          <w:color w:val="000000"/>
          <w:sz w:val="24"/>
          <w:szCs w:val="24"/>
          <w:vertAlign w:val="superscript"/>
        </w:rPr>
        <w:t>3</w:t>
      </w:r>
      <w:r w:rsidRPr="00031D87">
        <w:rPr>
          <w:rFonts w:ascii="Palatino Linotype" w:hAnsi="Palatino Linotype" w:cs="Georgia"/>
          <w:color w:val="000000"/>
          <w:sz w:val="24"/>
          <w:szCs w:val="24"/>
        </w:rPr>
        <w:t>. Efficiency standards are different for new and existing units, with changes assumed to occur gradually over time as buildings age.</w:t>
      </w:r>
    </w:p>
    <w:p w:rsidR="00031D87" w:rsidRPr="00031D87" w:rsidRDefault="00031D87" w:rsidP="00031D87">
      <w:pPr>
        <w:autoSpaceDE w:val="0"/>
        <w:autoSpaceDN w:val="0"/>
        <w:adjustRightInd w:val="0"/>
        <w:spacing w:before="90" w:after="90" w:line="220" w:lineRule="atLeast"/>
        <w:jc w:val="both"/>
        <w:textAlignment w:val="center"/>
        <w:rPr>
          <w:rFonts w:ascii="Palatino Linotype" w:hAnsi="Palatino Linotype" w:cs="Georgia"/>
          <w:color w:val="000000"/>
          <w:sz w:val="24"/>
          <w:szCs w:val="24"/>
        </w:rPr>
      </w:pPr>
      <w:r w:rsidRPr="00031D87">
        <w:rPr>
          <w:rFonts w:ascii="Palatino Linotype" w:hAnsi="Palatino Linotype" w:cs="Georgia"/>
          <w:color w:val="000000"/>
          <w:sz w:val="24"/>
          <w:szCs w:val="24"/>
        </w:rPr>
        <w:t>All calculations are based on data that resides at the grid-cell level – for instance, building square feet by commercial type. Thus, estimates can be made for user-defined geographies, such as a city within a region.</w:t>
      </w:r>
    </w:p>
    <w:p w:rsidR="00031D87" w:rsidRPr="00031D87" w:rsidRDefault="00031D87" w:rsidP="00031D87">
      <w:pPr>
        <w:suppressAutoHyphens/>
        <w:autoSpaceDE w:val="0"/>
        <w:autoSpaceDN w:val="0"/>
        <w:adjustRightInd w:val="0"/>
        <w:spacing w:before="180" w:after="90" w:line="280" w:lineRule="atLeast"/>
        <w:textAlignment w:val="center"/>
        <w:rPr>
          <w:rFonts w:ascii="Palatino Linotype" w:hAnsi="Palatino Linotype" w:cs="HelveticaNeueLT Std Cn"/>
          <w:b/>
          <w:bCs/>
          <w:i/>
          <w:iCs/>
          <w:color w:val="000000"/>
          <w:sz w:val="24"/>
          <w:szCs w:val="24"/>
        </w:rPr>
      </w:pPr>
      <w:r w:rsidRPr="00031D87">
        <w:rPr>
          <w:rFonts w:ascii="Palatino Linotype" w:hAnsi="Palatino Linotype" w:cs="HelveticaNeueLT Std Cn"/>
          <w:b/>
          <w:bCs/>
          <w:i/>
          <w:iCs/>
          <w:color w:val="000000"/>
          <w:sz w:val="24"/>
          <w:szCs w:val="24"/>
        </w:rPr>
        <w:t>Calculating Energy Cost and Greenhouse Gas Emissions</w:t>
      </w:r>
    </w:p>
    <w:p w:rsidR="00031D87" w:rsidRDefault="00031D87" w:rsidP="00031D87">
      <w:pPr>
        <w:autoSpaceDE w:val="0"/>
        <w:autoSpaceDN w:val="0"/>
        <w:adjustRightInd w:val="0"/>
        <w:spacing w:before="90" w:after="90" w:line="220" w:lineRule="atLeast"/>
        <w:jc w:val="both"/>
        <w:textAlignment w:val="center"/>
        <w:rPr>
          <w:rFonts w:ascii="Palatino Linotype" w:hAnsi="Palatino Linotype" w:cs="Georgia"/>
          <w:color w:val="000000"/>
          <w:sz w:val="24"/>
          <w:szCs w:val="24"/>
        </w:rPr>
      </w:pPr>
      <w:r w:rsidRPr="00031D87">
        <w:rPr>
          <w:rFonts w:ascii="Palatino Linotype" w:hAnsi="Palatino Linotype" w:cs="Georgia"/>
          <w:color w:val="000000"/>
          <w:sz w:val="24"/>
          <w:szCs w:val="24"/>
        </w:rPr>
        <w:t>The costs and GHG emissions associated with residential and commercial building energy use are calculated by applying retail prices and emissions rates to electricity and natural gas use results. Base-year energy prices and emissions rates are derived from state-level data, while future-year prices and rates are dependent upon policy-based assumptions. If necessary, energy prices and emission rates can be localized to the regional, county, or even local scale.</w:t>
      </w:r>
    </w:p>
    <w:p w:rsidR="00004A68" w:rsidRPr="00004A68" w:rsidRDefault="00004A68" w:rsidP="00031D87">
      <w:pPr>
        <w:autoSpaceDE w:val="0"/>
        <w:autoSpaceDN w:val="0"/>
        <w:adjustRightInd w:val="0"/>
        <w:spacing w:before="90" w:after="90" w:line="220" w:lineRule="atLeast"/>
        <w:jc w:val="both"/>
        <w:textAlignment w:val="center"/>
        <w:rPr>
          <w:rFonts w:ascii="Palatino Linotype" w:hAnsi="Palatino Linotype" w:cs="Georgia"/>
          <w:i/>
          <w:color w:val="000000"/>
          <w:sz w:val="24"/>
          <w:szCs w:val="24"/>
        </w:rPr>
      </w:pPr>
      <w:r w:rsidRPr="00004A68">
        <w:rPr>
          <w:rFonts w:ascii="Palatino Linotype" w:hAnsi="Palatino Linotype" w:cs="Georgia"/>
          <w:i/>
          <w:color w:val="000000"/>
          <w:sz w:val="24"/>
          <w:szCs w:val="24"/>
        </w:rPr>
        <w:t>[</w:t>
      </w:r>
      <w:proofErr w:type="gramStart"/>
      <w:r w:rsidRPr="00004A68">
        <w:rPr>
          <w:rFonts w:ascii="Palatino Linotype" w:hAnsi="Palatino Linotype" w:cs="Georgia"/>
          <w:i/>
          <w:color w:val="000000"/>
          <w:sz w:val="24"/>
          <w:szCs w:val="24"/>
        </w:rPr>
        <w:t>diagram</w:t>
      </w:r>
      <w:proofErr w:type="gramEnd"/>
      <w:r w:rsidRPr="00004A68">
        <w:rPr>
          <w:rFonts w:ascii="Palatino Linotype" w:hAnsi="Palatino Linotype" w:cs="Georgia"/>
          <w:i/>
          <w:color w:val="000000"/>
          <w:sz w:val="24"/>
          <w:szCs w:val="24"/>
        </w:rPr>
        <w:t>]</w:t>
      </w:r>
    </w:p>
    <w:p w:rsidR="00031D87" w:rsidRPr="00B866D9" w:rsidRDefault="00031D87">
      <w:pPr>
        <w:rPr>
          <w:rFonts w:ascii="Palatino Linotype" w:hAnsi="Palatino Linotype" w:cs="HelveticaNeueLT Std Lt Cn"/>
          <w:i/>
          <w:iCs/>
          <w:color w:val="000000"/>
          <w:sz w:val="24"/>
          <w:szCs w:val="24"/>
        </w:rPr>
      </w:pPr>
      <w:r w:rsidRPr="00B866D9">
        <w:rPr>
          <w:rFonts w:ascii="Palatino Linotype" w:hAnsi="Palatino Linotype" w:cs="HelveticaNeueLT Std Lt Cn"/>
          <w:i/>
          <w:iCs/>
          <w:color w:val="000000"/>
          <w:sz w:val="24"/>
          <w:szCs w:val="24"/>
        </w:rPr>
        <w:br w:type="page"/>
      </w:r>
    </w:p>
    <w:p w:rsidR="00031D87" w:rsidRPr="00031D87" w:rsidRDefault="00031D87" w:rsidP="00004A68">
      <w:pPr>
        <w:pStyle w:val="Heading1"/>
        <w:rPr>
          <w:w w:val="110"/>
        </w:rPr>
      </w:pPr>
      <w:r w:rsidRPr="00031D87">
        <w:rPr>
          <w:w w:val="110"/>
        </w:rPr>
        <w:lastRenderedPageBreak/>
        <w:t>Water Analysis</w:t>
      </w:r>
    </w:p>
    <w:p w:rsidR="00031D87" w:rsidRPr="00004A68" w:rsidRDefault="00031D87" w:rsidP="00031D87">
      <w:pPr>
        <w:autoSpaceDE w:val="0"/>
        <w:autoSpaceDN w:val="0"/>
        <w:adjustRightInd w:val="0"/>
        <w:spacing w:before="90" w:after="90" w:line="220" w:lineRule="atLeast"/>
        <w:jc w:val="both"/>
        <w:textAlignment w:val="center"/>
        <w:rPr>
          <w:rFonts w:ascii="Palatino Linotype" w:hAnsi="Palatino Linotype" w:cs="Georgia"/>
          <w:color w:val="000000"/>
        </w:rPr>
      </w:pPr>
      <w:proofErr w:type="spellStart"/>
      <w:r w:rsidRPr="00004A68">
        <w:rPr>
          <w:rFonts w:ascii="Palatino Linotype" w:hAnsi="Palatino Linotype" w:cs="Georgia"/>
          <w:color w:val="000000"/>
        </w:rPr>
        <w:t>UrbanFootprint</w:t>
      </w:r>
      <w:proofErr w:type="spellEnd"/>
      <w:r w:rsidRPr="00004A68">
        <w:rPr>
          <w:rFonts w:ascii="Palatino Linotype" w:hAnsi="Palatino Linotype" w:cs="Georgia"/>
          <w:color w:val="000000"/>
        </w:rPr>
        <w:t xml:space="preserve"> calculates indoor and outdoor residential and commercial water use, and their related costs and greenhouse gas (GHG</w:t>
      </w:r>
      <w:proofErr w:type="gramStart"/>
      <w:r w:rsidRPr="00004A68">
        <w:rPr>
          <w:rFonts w:ascii="Palatino Linotype" w:hAnsi="Palatino Linotype" w:cs="Georgia"/>
          <w:color w:val="000000"/>
        </w:rPr>
        <w:t>)  emissions</w:t>
      </w:r>
      <w:proofErr w:type="gramEnd"/>
      <w:r w:rsidRPr="00004A68">
        <w:rPr>
          <w:rFonts w:ascii="Palatino Linotype" w:hAnsi="Palatino Linotype" w:cs="Georgia"/>
          <w:color w:val="000000"/>
        </w:rPr>
        <w:t xml:space="preserve">, for both new and existing buildings. Scenarios ultimately vary in their water use profiles due to their building program, as well as policy-based assumptions about conservation and improvements in efficiency. Water use among scenarios varies most according to irrigation needs, or outdoor water use, which relates strongly to urban form and climate.  </w:t>
      </w:r>
    </w:p>
    <w:p w:rsidR="00031D87" w:rsidRPr="00004A68" w:rsidRDefault="00031D87" w:rsidP="00031D87">
      <w:pPr>
        <w:autoSpaceDE w:val="0"/>
        <w:autoSpaceDN w:val="0"/>
        <w:adjustRightInd w:val="0"/>
        <w:spacing w:before="180" w:after="90" w:line="280" w:lineRule="atLeast"/>
        <w:jc w:val="both"/>
        <w:textAlignment w:val="center"/>
        <w:rPr>
          <w:rFonts w:ascii="Palatino Linotype" w:hAnsi="Palatino Linotype" w:cs="HelveticaNeueLT Std Cn"/>
          <w:b/>
          <w:bCs/>
          <w:i/>
          <w:iCs/>
          <w:color w:val="000000"/>
        </w:rPr>
      </w:pPr>
      <w:r w:rsidRPr="00004A68">
        <w:rPr>
          <w:rFonts w:ascii="Palatino Linotype" w:hAnsi="Palatino Linotype" w:cs="HelveticaNeueLT Std Cn"/>
          <w:b/>
          <w:bCs/>
          <w:i/>
          <w:iCs/>
          <w:color w:val="000000"/>
        </w:rPr>
        <w:t>Calculating Water Consumption</w:t>
      </w:r>
    </w:p>
    <w:p w:rsidR="00031D87" w:rsidRPr="00004A68" w:rsidRDefault="00031D87" w:rsidP="00031D87">
      <w:pPr>
        <w:autoSpaceDE w:val="0"/>
        <w:autoSpaceDN w:val="0"/>
        <w:adjustRightInd w:val="0"/>
        <w:spacing w:before="90" w:after="90" w:line="220" w:lineRule="atLeast"/>
        <w:jc w:val="both"/>
        <w:textAlignment w:val="center"/>
        <w:rPr>
          <w:rFonts w:ascii="Palatino Linotype" w:hAnsi="Palatino Linotype" w:cs="Georgia"/>
          <w:color w:val="000000"/>
        </w:rPr>
      </w:pPr>
      <w:r w:rsidRPr="00004A68">
        <w:rPr>
          <w:rFonts w:ascii="Palatino Linotype" w:hAnsi="Palatino Linotype" w:cs="Georgia"/>
          <w:color w:val="000000"/>
        </w:rPr>
        <w:t>Residential water use is calculated as a function of three basic sets of assumptions: base-year indoor water use per capita, which varies by building type; base-year outdoor water use per household, which varies by building type and location; and policy-based conservation/efficiency assumptions that lead to reductions in water use in future years. Indoor water use factors reflect statewide averages, while outdoor residential water use factors are estimated based on lot size and landscaped area assumptions, and subsequent irrigation needs as determined by evapotranspiration zone</w:t>
      </w:r>
      <w:r w:rsidRPr="00004A68">
        <w:rPr>
          <w:rFonts w:ascii="Palatino Linotype" w:hAnsi="Palatino Linotype" w:cs="Georgia"/>
          <w:color w:val="000000"/>
          <w:vertAlign w:val="superscript"/>
        </w:rPr>
        <w:t>4</w:t>
      </w:r>
      <w:r w:rsidRPr="00004A68">
        <w:rPr>
          <w:rFonts w:ascii="Palatino Linotype" w:hAnsi="Palatino Linotype" w:cs="Georgia"/>
          <w:color w:val="000000"/>
        </w:rPr>
        <w:t xml:space="preserve">, a locational designation related to climate. The water efficiency policy assumptions vary for new and existing buildings, with new buildings assumed to meet increasingly stringent standards, and existing buildings assumed to be retrofitted or eventually replaced by new buildings. The figure at right summarizes the process of calculating water use. </w:t>
      </w:r>
    </w:p>
    <w:p w:rsidR="00031D87" w:rsidRPr="00004A68" w:rsidRDefault="00031D87" w:rsidP="00031D87">
      <w:pPr>
        <w:autoSpaceDE w:val="0"/>
        <w:autoSpaceDN w:val="0"/>
        <w:adjustRightInd w:val="0"/>
        <w:spacing w:before="90" w:after="90" w:line="220" w:lineRule="atLeast"/>
        <w:jc w:val="both"/>
        <w:textAlignment w:val="center"/>
        <w:rPr>
          <w:rFonts w:ascii="Palatino Linotype" w:hAnsi="Palatino Linotype" w:cs="Georgia"/>
          <w:color w:val="000000"/>
        </w:rPr>
      </w:pPr>
      <w:r w:rsidRPr="00004A68">
        <w:rPr>
          <w:rFonts w:ascii="Palatino Linotype" w:hAnsi="Palatino Linotype" w:cs="Georgia"/>
          <w:color w:val="000000"/>
        </w:rPr>
        <w:t xml:space="preserve">Similarly, commercial water use is calculated using base-year rates and policy-based assumptions about future conservation and efficiency policies. Indoor commercial water use is based on per-employee use assumptions, which vary by job category. Outdoor water use is based on landscaped area assumptions, which vary by building </w:t>
      </w:r>
      <w:proofErr w:type="gramStart"/>
      <w:r w:rsidRPr="00004A68">
        <w:rPr>
          <w:rFonts w:ascii="Palatino Linotype" w:hAnsi="Palatino Linotype" w:cs="Georgia"/>
          <w:color w:val="000000"/>
        </w:rPr>
        <w:t>type,</w:t>
      </w:r>
      <w:proofErr w:type="gramEnd"/>
      <w:r w:rsidRPr="00004A68">
        <w:rPr>
          <w:rFonts w:ascii="Palatino Linotype" w:hAnsi="Palatino Linotype" w:cs="Georgia"/>
          <w:color w:val="000000"/>
        </w:rPr>
        <w:t xml:space="preserve"> and irrigation needs as determined by evapotranspiration zone. Efficiency standards are different for new and existing units, with changes assumed to occur gradually over time as standards evolve.</w:t>
      </w:r>
    </w:p>
    <w:p w:rsidR="00031D87" w:rsidRPr="00004A68" w:rsidRDefault="00031D87" w:rsidP="00031D87">
      <w:pPr>
        <w:autoSpaceDE w:val="0"/>
        <w:autoSpaceDN w:val="0"/>
        <w:adjustRightInd w:val="0"/>
        <w:spacing w:before="90" w:after="90" w:line="220" w:lineRule="atLeast"/>
        <w:jc w:val="both"/>
        <w:textAlignment w:val="center"/>
        <w:rPr>
          <w:rFonts w:ascii="Palatino Linotype" w:hAnsi="Palatino Linotype" w:cs="Georgia"/>
          <w:color w:val="000000"/>
        </w:rPr>
      </w:pPr>
      <w:r w:rsidRPr="00004A68">
        <w:rPr>
          <w:rFonts w:ascii="Palatino Linotype" w:hAnsi="Palatino Linotype" w:cs="Georgia"/>
          <w:color w:val="000000"/>
        </w:rPr>
        <w:t xml:space="preserve">All calculations are based on data that resides at the grid-cell level – for instance, jobs by type. Thus, estimates can be made for user-defined geographies, such as a city within a region. </w:t>
      </w:r>
    </w:p>
    <w:p w:rsidR="00031D87" w:rsidRPr="00004A68" w:rsidRDefault="00031D87" w:rsidP="00031D87">
      <w:pPr>
        <w:autoSpaceDE w:val="0"/>
        <w:autoSpaceDN w:val="0"/>
        <w:adjustRightInd w:val="0"/>
        <w:spacing w:before="180" w:after="90" w:line="280" w:lineRule="atLeast"/>
        <w:jc w:val="both"/>
        <w:textAlignment w:val="center"/>
        <w:rPr>
          <w:rFonts w:ascii="Palatino Linotype" w:hAnsi="Palatino Linotype" w:cs="HelveticaNeueLT Std Cn"/>
          <w:b/>
          <w:bCs/>
          <w:i/>
          <w:iCs/>
          <w:color w:val="000000"/>
        </w:rPr>
      </w:pPr>
      <w:r w:rsidRPr="00004A68">
        <w:rPr>
          <w:rFonts w:ascii="Palatino Linotype" w:hAnsi="Palatino Linotype" w:cs="HelveticaNeueLT Std Cn"/>
          <w:b/>
          <w:bCs/>
          <w:i/>
          <w:iCs/>
          <w:color w:val="000000"/>
        </w:rPr>
        <w:t>Calculating Water-Related Costs, Electricity Use, and Greenhouse Gas Emissions</w:t>
      </w:r>
    </w:p>
    <w:p w:rsidR="00031D87" w:rsidRPr="00004A68" w:rsidRDefault="00031D87" w:rsidP="00031D87">
      <w:pPr>
        <w:autoSpaceDE w:val="0"/>
        <w:autoSpaceDN w:val="0"/>
        <w:adjustRightInd w:val="0"/>
        <w:spacing w:before="90" w:after="90" w:line="220" w:lineRule="atLeast"/>
        <w:jc w:val="both"/>
        <w:textAlignment w:val="center"/>
        <w:rPr>
          <w:rFonts w:ascii="Palatino Linotype" w:hAnsi="Palatino Linotype" w:cs="Georgia"/>
          <w:color w:val="000000"/>
        </w:rPr>
      </w:pPr>
      <w:r w:rsidRPr="00004A68">
        <w:rPr>
          <w:rFonts w:ascii="Palatino Linotype" w:hAnsi="Palatino Linotype" w:cs="Georgia"/>
          <w:color w:val="000000"/>
        </w:rPr>
        <w:t>The costs, electricity use, and GHG emissions associated with residential and commercial building water use are calculated by applying retail prices and energy intensities (expressed in kilowatt-hours per acre-foot of water) to water use results. Water-related electricity use refers to the energy required to transport, distribute, and treat water. Water-related GHG emissions are in turn calculated by applying electricity emission rates to the electricity use results. Base-year water prices and energy intensities are derived from state-level data</w:t>
      </w:r>
      <w:r w:rsidRPr="00004A68">
        <w:rPr>
          <w:rFonts w:ascii="Palatino Linotype" w:hAnsi="Palatino Linotype" w:cs="Georgia"/>
          <w:color w:val="000000"/>
          <w:vertAlign w:val="superscript"/>
        </w:rPr>
        <w:t>5</w:t>
      </w:r>
      <w:proofErr w:type="gramStart"/>
      <w:r w:rsidRPr="00004A68">
        <w:rPr>
          <w:rFonts w:ascii="Palatino Linotype" w:hAnsi="Palatino Linotype" w:cs="Georgia"/>
          <w:color w:val="000000"/>
          <w:vertAlign w:val="superscript"/>
        </w:rPr>
        <w:t>,6</w:t>
      </w:r>
      <w:proofErr w:type="gramEnd"/>
      <w:r w:rsidRPr="00004A68">
        <w:rPr>
          <w:rFonts w:ascii="Palatino Linotype" w:hAnsi="Palatino Linotype" w:cs="Georgia"/>
          <w:color w:val="000000"/>
        </w:rPr>
        <w:t>, while future-year prices are dependent upon policy-based assumptions. Energy intensities associated with delivering and treating water are not assumed to change over time. If necessary, water prices can be localized to the regional, county, or even local scale.</w:t>
      </w:r>
    </w:p>
    <w:p w:rsidR="00004A68" w:rsidRPr="00004A68" w:rsidRDefault="00004A68" w:rsidP="00031D87">
      <w:pPr>
        <w:autoSpaceDE w:val="0"/>
        <w:autoSpaceDN w:val="0"/>
        <w:adjustRightInd w:val="0"/>
        <w:spacing w:before="90" w:after="90" w:line="220" w:lineRule="atLeast"/>
        <w:jc w:val="both"/>
        <w:textAlignment w:val="center"/>
        <w:rPr>
          <w:rFonts w:ascii="Palatino Linotype" w:hAnsi="Palatino Linotype" w:cs="Georgia"/>
          <w:i/>
          <w:color w:val="000000"/>
        </w:rPr>
      </w:pPr>
      <w:r w:rsidRPr="00004A68">
        <w:rPr>
          <w:rFonts w:ascii="Palatino Linotype" w:hAnsi="Palatino Linotype" w:cs="Georgia"/>
          <w:i/>
          <w:color w:val="000000"/>
        </w:rPr>
        <w:t>[</w:t>
      </w:r>
      <w:proofErr w:type="gramStart"/>
      <w:r w:rsidRPr="00004A68">
        <w:rPr>
          <w:rFonts w:ascii="Palatino Linotype" w:hAnsi="Palatino Linotype" w:cs="Georgia"/>
          <w:i/>
          <w:color w:val="000000"/>
        </w:rPr>
        <w:t>diagram</w:t>
      </w:r>
      <w:proofErr w:type="gramEnd"/>
      <w:r w:rsidRPr="00004A68">
        <w:rPr>
          <w:rFonts w:ascii="Palatino Linotype" w:hAnsi="Palatino Linotype" w:cs="Georgia"/>
          <w:i/>
          <w:color w:val="000000"/>
        </w:rPr>
        <w:t>]</w:t>
      </w:r>
    </w:p>
    <w:p w:rsidR="003A7507" w:rsidRPr="00B866D9" w:rsidRDefault="003A7507">
      <w:pPr>
        <w:rPr>
          <w:rFonts w:ascii="Palatino Linotype" w:hAnsi="Palatino Linotype" w:cs="HelveticaNeueLT Std Lt Cn"/>
          <w:i/>
          <w:iCs/>
          <w:color w:val="000000"/>
          <w:sz w:val="24"/>
          <w:szCs w:val="24"/>
        </w:rPr>
      </w:pPr>
      <w:r w:rsidRPr="00B866D9">
        <w:rPr>
          <w:rFonts w:ascii="Palatino Linotype" w:hAnsi="Palatino Linotype" w:cs="HelveticaNeueLT Std Lt Cn"/>
          <w:i/>
          <w:iCs/>
          <w:color w:val="000000"/>
          <w:sz w:val="24"/>
          <w:szCs w:val="24"/>
        </w:rPr>
        <w:br w:type="page"/>
      </w:r>
    </w:p>
    <w:p w:rsidR="003A7507" w:rsidRPr="003A7507" w:rsidRDefault="003A7507" w:rsidP="00004A68">
      <w:pPr>
        <w:pStyle w:val="Heading1"/>
        <w:rPr>
          <w:w w:val="110"/>
        </w:rPr>
      </w:pPr>
      <w:r w:rsidRPr="003A7507">
        <w:rPr>
          <w:w w:val="110"/>
        </w:rPr>
        <w:lastRenderedPageBreak/>
        <w:t>Transportation Analysis</w:t>
      </w:r>
    </w:p>
    <w:p w:rsidR="003A7507" w:rsidRPr="00004A68"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20"/>
          <w:szCs w:val="20"/>
        </w:rPr>
      </w:pPr>
      <w:proofErr w:type="spellStart"/>
      <w:r w:rsidRPr="00004A68">
        <w:rPr>
          <w:rFonts w:ascii="Palatino Linotype" w:hAnsi="Palatino Linotype" w:cs="Georgia"/>
          <w:color w:val="000000"/>
          <w:sz w:val="20"/>
          <w:szCs w:val="20"/>
        </w:rPr>
        <w:t>UrbanFootprint</w:t>
      </w:r>
      <w:proofErr w:type="spellEnd"/>
      <w:r w:rsidRPr="00004A68">
        <w:rPr>
          <w:rFonts w:ascii="Palatino Linotype" w:hAnsi="Palatino Linotype" w:cs="Georgia"/>
          <w:color w:val="000000"/>
          <w:sz w:val="20"/>
          <w:szCs w:val="20"/>
        </w:rPr>
        <w:t xml:space="preserve"> incorporates a comprehensive ”sketch” travel model that produces vehicle miles traveled (VMT), mode choice, and congestion estimates for land use + transportation scenarios, as well as transportation-related costs, greenhouse gas (GHG) emissions, and pollutant emissions. The travel forecasting capabilities within </w:t>
      </w:r>
      <w:proofErr w:type="spellStart"/>
      <w:r w:rsidRPr="00004A68">
        <w:rPr>
          <w:rFonts w:ascii="Palatino Linotype" w:hAnsi="Palatino Linotype" w:cs="Georgia"/>
          <w:color w:val="000000"/>
          <w:sz w:val="20"/>
          <w:szCs w:val="20"/>
        </w:rPr>
        <w:t>UrbanFootprint</w:t>
      </w:r>
      <w:proofErr w:type="spellEnd"/>
      <w:r w:rsidRPr="00004A68">
        <w:rPr>
          <w:rFonts w:ascii="Palatino Linotype" w:hAnsi="Palatino Linotype" w:cs="Georgia"/>
          <w:color w:val="000000"/>
          <w:sz w:val="20"/>
          <w:szCs w:val="20"/>
        </w:rPr>
        <w:t xml:space="preserve"> are based on a comprehensive body of research on the relationships between travel generation and the characteristics of the built environment</w:t>
      </w:r>
      <w:r w:rsidRPr="00004A68">
        <w:rPr>
          <w:rFonts w:ascii="Palatino Linotype" w:hAnsi="Palatino Linotype" w:cs="Georgia"/>
          <w:color w:val="000000"/>
          <w:sz w:val="20"/>
          <w:szCs w:val="20"/>
          <w:vertAlign w:val="superscript"/>
        </w:rPr>
        <w:t>7</w:t>
      </w:r>
      <w:r w:rsidRPr="00004A68">
        <w:rPr>
          <w:rFonts w:ascii="Palatino Linotype" w:hAnsi="Palatino Linotype" w:cs="Georgia"/>
          <w:color w:val="000000"/>
          <w:sz w:val="20"/>
          <w:szCs w:val="20"/>
        </w:rPr>
        <w:t xml:space="preserve">. </w:t>
      </w:r>
    </w:p>
    <w:p w:rsidR="003A7507" w:rsidRPr="00004A68"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20"/>
          <w:szCs w:val="20"/>
        </w:rPr>
      </w:pPr>
      <w:r w:rsidRPr="00004A68">
        <w:rPr>
          <w:rFonts w:ascii="Palatino Linotype" w:hAnsi="Palatino Linotype" w:cs="Georgia"/>
          <w:color w:val="000000"/>
          <w:sz w:val="20"/>
          <w:szCs w:val="20"/>
        </w:rPr>
        <w:t>This and other research has found that urban form, transportation supply, and management policies affect VMT, automobile, and transit travel through at least eight mechanisms, referred to as the “8 Ds”:</w:t>
      </w:r>
    </w:p>
    <w:p w:rsidR="003A7507" w:rsidRPr="00004A68" w:rsidRDefault="003A7507" w:rsidP="003A7507">
      <w:pPr>
        <w:suppressAutoHyphens/>
        <w:autoSpaceDE w:val="0"/>
        <w:autoSpaceDN w:val="0"/>
        <w:adjustRightInd w:val="0"/>
        <w:spacing w:before="58" w:after="58" w:line="220" w:lineRule="atLeast"/>
        <w:ind w:left="360" w:hanging="360"/>
        <w:textAlignment w:val="center"/>
        <w:rPr>
          <w:rFonts w:ascii="Palatino Linotype" w:hAnsi="Palatino Linotype" w:cs="Georgia"/>
          <w:color w:val="000000"/>
          <w:sz w:val="20"/>
          <w:szCs w:val="20"/>
        </w:rPr>
      </w:pPr>
      <w:r w:rsidRPr="00004A68">
        <w:rPr>
          <w:rFonts w:ascii="Palatino Linotype" w:hAnsi="Palatino Linotype" w:cs="Georgia"/>
          <w:color w:val="000000"/>
          <w:sz w:val="20"/>
          <w:szCs w:val="20"/>
        </w:rPr>
        <w:t>Density – residential and employment concentrations</w:t>
      </w:r>
    </w:p>
    <w:p w:rsidR="003A7507" w:rsidRPr="00004A68" w:rsidRDefault="003A7507" w:rsidP="003A7507">
      <w:pPr>
        <w:suppressAutoHyphens/>
        <w:autoSpaceDE w:val="0"/>
        <w:autoSpaceDN w:val="0"/>
        <w:adjustRightInd w:val="0"/>
        <w:spacing w:before="58" w:after="58" w:line="220" w:lineRule="atLeast"/>
        <w:ind w:left="360" w:hanging="360"/>
        <w:textAlignment w:val="center"/>
        <w:rPr>
          <w:rFonts w:ascii="Palatino Linotype" w:hAnsi="Palatino Linotype" w:cs="Georgia"/>
          <w:color w:val="000000"/>
          <w:sz w:val="20"/>
          <w:szCs w:val="20"/>
        </w:rPr>
      </w:pPr>
      <w:r w:rsidRPr="00004A68">
        <w:rPr>
          <w:rFonts w:ascii="Palatino Linotype" w:hAnsi="Palatino Linotype" w:cs="Georgia"/>
          <w:color w:val="000000"/>
          <w:sz w:val="20"/>
          <w:szCs w:val="20"/>
        </w:rPr>
        <w:t>Diversity – jobs/housing, jobs mix, retail/housing</w:t>
      </w:r>
    </w:p>
    <w:p w:rsidR="003A7507" w:rsidRPr="00004A68" w:rsidRDefault="003A7507" w:rsidP="003A7507">
      <w:pPr>
        <w:suppressAutoHyphens/>
        <w:autoSpaceDE w:val="0"/>
        <w:autoSpaceDN w:val="0"/>
        <w:adjustRightInd w:val="0"/>
        <w:spacing w:before="58" w:after="58" w:line="220" w:lineRule="atLeast"/>
        <w:ind w:left="360" w:hanging="360"/>
        <w:textAlignment w:val="center"/>
        <w:rPr>
          <w:rFonts w:ascii="Palatino Linotype" w:hAnsi="Palatino Linotype" w:cs="Georgia"/>
          <w:color w:val="000000"/>
          <w:sz w:val="20"/>
          <w:szCs w:val="20"/>
        </w:rPr>
      </w:pPr>
      <w:r w:rsidRPr="00004A68">
        <w:rPr>
          <w:rFonts w:ascii="Palatino Linotype" w:hAnsi="Palatino Linotype" w:cs="Georgia"/>
          <w:color w:val="000000"/>
          <w:sz w:val="20"/>
          <w:szCs w:val="20"/>
        </w:rPr>
        <w:t>Design – connectivity, walkability of local streets, and non-motorized circulation</w:t>
      </w:r>
    </w:p>
    <w:p w:rsidR="003A7507" w:rsidRPr="00004A68" w:rsidRDefault="003A7507" w:rsidP="003A7507">
      <w:pPr>
        <w:suppressAutoHyphens/>
        <w:autoSpaceDE w:val="0"/>
        <w:autoSpaceDN w:val="0"/>
        <w:adjustRightInd w:val="0"/>
        <w:spacing w:before="58" w:after="58" w:line="220" w:lineRule="atLeast"/>
        <w:ind w:left="360" w:hanging="360"/>
        <w:textAlignment w:val="center"/>
        <w:rPr>
          <w:rFonts w:ascii="Palatino Linotype" w:hAnsi="Palatino Linotype" w:cs="Georgia"/>
          <w:color w:val="000000"/>
          <w:sz w:val="20"/>
          <w:szCs w:val="20"/>
        </w:rPr>
      </w:pPr>
      <w:r w:rsidRPr="00004A68">
        <w:rPr>
          <w:rFonts w:ascii="Palatino Linotype" w:hAnsi="Palatino Linotype" w:cs="Georgia"/>
          <w:color w:val="000000"/>
          <w:sz w:val="20"/>
          <w:szCs w:val="20"/>
        </w:rPr>
        <w:t>Destination – accessibility to regional activities</w:t>
      </w:r>
    </w:p>
    <w:p w:rsidR="003A7507" w:rsidRPr="00004A68" w:rsidRDefault="003A7507" w:rsidP="003A7507">
      <w:pPr>
        <w:suppressAutoHyphens/>
        <w:autoSpaceDE w:val="0"/>
        <w:autoSpaceDN w:val="0"/>
        <w:adjustRightInd w:val="0"/>
        <w:spacing w:before="58" w:after="58" w:line="220" w:lineRule="atLeast"/>
        <w:ind w:left="360" w:hanging="360"/>
        <w:textAlignment w:val="center"/>
        <w:rPr>
          <w:rFonts w:ascii="Palatino Linotype" w:hAnsi="Palatino Linotype" w:cs="Georgia"/>
          <w:color w:val="000000"/>
          <w:sz w:val="20"/>
          <w:szCs w:val="20"/>
        </w:rPr>
      </w:pPr>
      <w:r w:rsidRPr="00004A68">
        <w:rPr>
          <w:rFonts w:ascii="Palatino Linotype" w:hAnsi="Palatino Linotype" w:cs="Georgia"/>
          <w:color w:val="000000"/>
          <w:sz w:val="20"/>
          <w:szCs w:val="20"/>
        </w:rPr>
        <w:t>Distance to Transit – proximity to high quality rail or bus service</w:t>
      </w:r>
    </w:p>
    <w:p w:rsidR="003A7507" w:rsidRPr="00004A68" w:rsidRDefault="003A7507" w:rsidP="003A7507">
      <w:pPr>
        <w:suppressAutoHyphens/>
        <w:autoSpaceDE w:val="0"/>
        <w:autoSpaceDN w:val="0"/>
        <w:adjustRightInd w:val="0"/>
        <w:spacing w:before="58" w:after="58" w:line="220" w:lineRule="atLeast"/>
        <w:ind w:left="360" w:hanging="360"/>
        <w:textAlignment w:val="center"/>
        <w:rPr>
          <w:rFonts w:ascii="Palatino Linotype" w:hAnsi="Palatino Linotype" w:cs="Georgia"/>
          <w:color w:val="000000"/>
          <w:sz w:val="20"/>
          <w:szCs w:val="20"/>
        </w:rPr>
      </w:pPr>
      <w:r w:rsidRPr="00004A68">
        <w:rPr>
          <w:rFonts w:ascii="Palatino Linotype" w:hAnsi="Palatino Linotype" w:cs="Georgia"/>
          <w:color w:val="000000"/>
          <w:sz w:val="20"/>
          <w:szCs w:val="20"/>
        </w:rPr>
        <w:t>Development Scale – critical mass and magnitude of compatible uses</w:t>
      </w:r>
    </w:p>
    <w:p w:rsidR="003A7507" w:rsidRPr="00004A68" w:rsidRDefault="003A7507" w:rsidP="003A7507">
      <w:pPr>
        <w:suppressAutoHyphens/>
        <w:autoSpaceDE w:val="0"/>
        <w:autoSpaceDN w:val="0"/>
        <w:adjustRightInd w:val="0"/>
        <w:spacing w:before="58" w:after="58" w:line="220" w:lineRule="atLeast"/>
        <w:ind w:left="360" w:hanging="360"/>
        <w:textAlignment w:val="center"/>
        <w:rPr>
          <w:rFonts w:ascii="Palatino Linotype" w:hAnsi="Palatino Linotype" w:cs="Georgia"/>
          <w:color w:val="000000"/>
          <w:sz w:val="20"/>
          <w:szCs w:val="20"/>
        </w:rPr>
      </w:pPr>
      <w:r w:rsidRPr="00004A68">
        <w:rPr>
          <w:rFonts w:ascii="Palatino Linotype" w:hAnsi="Palatino Linotype" w:cs="Georgia"/>
          <w:color w:val="000000"/>
          <w:sz w:val="20"/>
          <w:szCs w:val="20"/>
        </w:rPr>
        <w:t>Demographics – household size, income level, and auto ownership</w:t>
      </w:r>
    </w:p>
    <w:p w:rsidR="003A7507" w:rsidRPr="00004A68" w:rsidRDefault="003A7507" w:rsidP="003A7507">
      <w:pPr>
        <w:suppressAutoHyphens/>
        <w:autoSpaceDE w:val="0"/>
        <w:autoSpaceDN w:val="0"/>
        <w:adjustRightInd w:val="0"/>
        <w:spacing w:before="58" w:after="58" w:line="220" w:lineRule="atLeast"/>
        <w:ind w:left="360" w:hanging="360"/>
        <w:textAlignment w:val="center"/>
        <w:rPr>
          <w:rFonts w:ascii="Palatino Linotype" w:hAnsi="Palatino Linotype" w:cs="Georgia"/>
          <w:color w:val="000000"/>
          <w:sz w:val="20"/>
          <w:szCs w:val="20"/>
        </w:rPr>
      </w:pPr>
      <w:r w:rsidRPr="00004A68">
        <w:rPr>
          <w:rFonts w:ascii="Palatino Linotype" w:hAnsi="Palatino Linotype" w:cs="Georgia"/>
          <w:color w:val="000000"/>
          <w:sz w:val="20"/>
          <w:szCs w:val="20"/>
        </w:rPr>
        <w:t>Demand Management – pricing and travel disincentives</w:t>
      </w:r>
    </w:p>
    <w:p w:rsidR="003A7507" w:rsidRPr="00004A68"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20"/>
          <w:szCs w:val="20"/>
        </w:rPr>
      </w:pPr>
    </w:p>
    <w:p w:rsidR="003A7507" w:rsidRPr="00004A68"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20"/>
          <w:szCs w:val="20"/>
        </w:rPr>
      </w:pPr>
      <w:proofErr w:type="spellStart"/>
      <w:r w:rsidRPr="00004A68">
        <w:rPr>
          <w:rFonts w:ascii="Palatino Linotype" w:hAnsi="Palatino Linotype" w:cs="Georgia"/>
          <w:color w:val="000000"/>
          <w:sz w:val="20"/>
          <w:szCs w:val="20"/>
        </w:rPr>
        <w:t>UrbanFootprint</w:t>
      </w:r>
      <w:proofErr w:type="spellEnd"/>
      <w:r w:rsidRPr="00004A68">
        <w:rPr>
          <w:rFonts w:ascii="Palatino Linotype" w:hAnsi="Palatino Linotype" w:cs="Georgia"/>
          <w:color w:val="000000"/>
          <w:sz w:val="20"/>
          <w:szCs w:val="20"/>
        </w:rPr>
        <w:t xml:space="preserve"> quantifies these relationships to the first seven “Ds” through a series of equations from the most recent and rigorous statistical study: </w:t>
      </w:r>
      <w:r w:rsidRPr="00004A68">
        <w:rPr>
          <w:rFonts w:ascii="Palatino Linotype" w:hAnsi="Palatino Linotype" w:cs="Georgia"/>
          <w:i/>
          <w:iCs/>
          <w:color w:val="000000"/>
          <w:sz w:val="20"/>
          <w:szCs w:val="20"/>
        </w:rPr>
        <w:t>Traffic Generated by Mixed-Use Developments—Six-Region Study Using Consistent Built Environmental Measures</w:t>
      </w:r>
      <w:r w:rsidRPr="00004A68">
        <w:rPr>
          <w:rFonts w:ascii="Palatino Linotype" w:hAnsi="Palatino Linotype" w:cs="Georgia"/>
          <w:color w:val="000000"/>
          <w:sz w:val="20"/>
          <w:szCs w:val="20"/>
        </w:rPr>
        <w:t>, prepared for the United States Environmental Protection Agency and the American Society of Civil Engineers. The study developed hierarchical models that capture the relationships between the “D” factors and the amount of travel generated by over 230 mixed-use developments in a wide variety of settings and sizes across the US, including developments in the Sacramento and San Diego regions. The predictive accuracy of the methods were validated through field surveys of traffic at almost 30 other development sites including locations in San Diego, Orange County, Sacramento, and the San Francisco Bay Area.</w:t>
      </w:r>
    </w:p>
    <w:p w:rsidR="003A7507" w:rsidRPr="00004A68" w:rsidRDefault="003A7507" w:rsidP="003A7507">
      <w:pPr>
        <w:autoSpaceDE w:val="0"/>
        <w:autoSpaceDN w:val="0"/>
        <w:adjustRightInd w:val="0"/>
        <w:spacing w:before="180" w:after="90" w:line="280" w:lineRule="atLeast"/>
        <w:jc w:val="both"/>
        <w:textAlignment w:val="center"/>
        <w:rPr>
          <w:rFonts w:ascii="Palatino Linotype" w:hAnsi="Palatino Linotype" w:cs="HelveticaNeueLT Std Cn"/>
          <w:b/>
          <w:bCs/>
          <w:i/>
          <w:iCs/>
          <w:color w:val="000000"/>
          <w:sz w:val="20"/>
          <w:szCs w:val="20"/>
        </w:rPr>
      </w:pPr>
      <w:r w:rsidRPr="00004A68">
        <w:rPr>
          <w:rFonts w:ascii="Palatino Linotype" w:hAnsi="Palatino Linotype" w:cs="HelveticaNeueLT Std Cn"/>
          <w:b/>
          <w:bCs/>
          <w:i/>
          <w:iCs/>
          <w:color w:val="000000"/>
          <w:sz w:val="20"/>
          <w:szCs w:val="20"/>
        </w:rPr>
        <w:t>The MXD Method</w:t>
      </w:r>
    </w:p>
    <w:p w:rsidR="003A7507" w:rsidRPr="00004A68"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20"/>
          <w:szCs w:val="20"/>
        </w:rPr>
      </w:pPr>
      <w:r w:rsidRPr="00004A68">
        <w:rPr>
          <w:rFonts w:ascii="Palatino Linotype" w:hAnsi="Palatino Linotype" w:cs="Georgia"/>
          <w:color w:val="000000"/>
          <w:sz w:val="20"/>
          <w:szCs w:val="20"/>
        </w:rPr>
        <w:t xml:space="preserve">The resulting method, known as the MXD method, uses a series of equations to estimate the likely degree to which a development area’s external traffic generation will be reduced due to: a) trip internalization, b) walking, or c) transit use for off-site travel. The MXD method allows differentiation among a broad array of land use Place Types, the building blocks of </w:t>
      </w:r>
      <w:proofErr w:type="spellStart"/>
      <w:r w:rsidRPr="00004A68">
        <w:rPr>
          <w:rFonts w:ascii="Palatino Linotype" w:hAnsi="Palatino Linotype" w:cs="Georgia"/>
          <w:color w:val="000000"/>
          <w:sz w:val="20"/>
          <w:szCs w:val="20"/>
        </w:rPr>
        <w:t>UrbanFootprint</w:t>
      </w:r>
      <w:proofErr w:type="spellEnd"/>
      <w:r w:rsidRPr="00004A68">
        <w:rPr>
          <w:rFonts w:ascii="Palatino Linotype" w:hAnsi="Palatino Linotype" w:cs="Georgia"/>
          <w:color w:val="000000"/>
          <w:sz w:val="20"/>
          <w:szCs w:val="20"/>
        </w:rPr>
        <w:t xml:space="preserve"> future scenarios, calculating the vehicle trip reductions resulting from the specific combination of “D” variables that characterize each Place Type. MXD transportation-demand </w:t>
      </w:r>
    </w:p>
    <w:p w:rsidR="003A7507" w:rsidRPr="00004A68" w:rsidRDefault="003A7507" w:rsidP="005F3D2E">
      <w:pPr>
        <w:rPr>
          <w:rFonts w:ascii="Palatino Linotype" w:hAnsi="Palatino Linotype" w:cs="HelveticaNeueLT Std Lt Cn"/>
          <w:i/>
          <w:iCs/>
          <w:color w:val="000000"/>
          <w:sz w:val="20"/>
          <w:szCs w:val="20"/>
        </w:rPr>
      </w:pPr>
    </w:p>
    <w:p w:rsidR="003A7507" w:rsidRPr="00004A68" w:rsidRDefault="003A7507" w:rsidP="003A7507">
      <w:pPr>
        <w:pStyle w:val="HELCaption"/>
        <w:rPr>
          <w:rFonts w:ascii="Palatino Linotype" w:hAnsi="Palatino Linotype"/>
          <w:sz w:val="20"/>
          <w:szCs w:val="20"/>
        </w:rPr>
      </w:pPr>
      <w:r w:rsidRPr="00004A68">
        <w:rPr>
          <w:rFonts w:ascii="Palatino Linotype" w:hAnsi="Palatino Linotype"/>
          <w:i w:val="0"/>
          <w:iCs w:val="0"/>
          <w:sz w:val="20"/>
          <w:szCs w:val="20"/>
        </w:rPr>
        <w:t>[</w:t>
      </w:r>
      <w:proofErr w:type="gramStart"/>
      <w:r w:rsidRPr="00004A68">
        <w:rPr>
          <w:rFonts w:ascii="Palatino Linotype" w:hAnsi="Palatino Linotype"/>
          <w:i w:val="0"/>
          <w:iCs w:val="0"/>
          <w:sz w:val="20"/>
          <w:szCs w:val="20"/>
        </w:rPr>
        <w:t>caption</w:t>
      </w:r>
      <w:proofErr w:type="gramEnd"/>
      <w:r w:rsidRPr="00004A68">
        <w:rPr>
          <w:rFonts w:ascii="Palatino Linotype" w:hAnsi="Palatino Linotype"/>
          <w:i w:val="0"/>
          <w:iCs w:val="0"/>
          <w:sz w:val="20"/>
          <w:szCs w:val="20"/>
        </w:rPr>
        <w:t xml:space="preserve">] </w:t>
      </w:r>
      <w:r w:rsidRPr="00004A68">
        <w:rPr>
          <w:rFonts w:ascii="Palatino Linotype" w:hAnsi="Palatino Linotype"/>
          <w:sz w:val="20"/>
          <w:szCs w:val="20"/>
        </w:rPr>
        <w:t>The diagrams below illustrate the relationship between land use and travel behavior. A more connected configuration of streets, blocks, and land uses (right diagram) exhibits quantifiable reductions in auto trip generation, lowering social costs related to traffic congestion and air quality and increasing community livability, than a conventional suburban configuration of streets, blocks, and land uses (left diagram).</w:t>
      </w:r>
    </w:p>
    <w:p w:rsidR="00004A68" w:rsidRPr="00004A68" w:rsidRDefault="00004A68" w:rsidP="00004A68">
      <w:pPr>
        <w:autoSpaceDE w:val="0"/>
        <w:autoSpaceDN w:val="0"/>
        <w:adjustRightInd w:val="0"/>
        <w:spacing w:before="90" w:after="90" w:line="220" w:lineRule="atLeast"/>
        <w:jc w:val="both"/>
        <w:textAlignment w:val="center"/>
        <w:rPr>
          <w:rFonts w:ascii="Palatino Linotype" w:hAnsi="Palatino Linotype" w:cs="Georgia"/>
          <w:i/>
          <w:color w:val="000000"/>
          <w:sz w:val="20"/>
          <w:szCs w:val="20"/>
        </w:rPr>
      </w:pPr>
      <w:r w:rsidRPr="00004A68">
        <w:rPr>
          <w:rFonts w:ascii="Palatino Linotype" w:hAnsi="Palatino Linotype" w:cs="Georgia"/>
          <w:i/>
          <w:color w:val="000000"/>
          <w:sz w:val="20"/>
          <w:szCs w:val="20"/>
        </w:rPr>
        <w:t>[</w:t>
      </w:r>
      <w:proofErr w:type="gramStart"/>
      <w:r w:rsidRPr="00004A68">
        <w:rPr>
          <w:rFonts w:ascii="Palatino Linotype" w:hAnsi="Palatino Linotype" w:cs="Georgia"/>
          <w:i/>
          <w:color w:val="000000"/>
          <w:sz w:val="20"/>
          <w:szCs w:val="20"/>
        </w:rPr>
        <w:t>diagram</w:t>
      </w:r>
      <w:proofErr w:type="gramEnd"/>
      <w:r w:rsidRPr="00004A68">
        <w:rPr>
          <w:rFonts w:ascii="Palatino Linotype" w:hAnsi="Palatino Linotype" w:cs="Georgia"/>
          <w:i/>
          <w:color w:val="000000"/>
          <w:sz w:val="20"/>
          <w:szCs w:val="20"/>
        </w:rPr>
        <w:t>]</w:t>
      </w:r>
    </w:p>
    <w:p w:rsidR="003A7507" w:rsidRPr="00B866D9" w:rsidRDefault="003A7507">
      <w:pPr>
        <w:rPr>
          <w:rFonts w:ascii="Palatino Linotype" w:hAnsi="Palatino Linotype" w:cs="HelveticaNeueLT Std Lt Cn"/>
          <w:i/>
          <w:iCs/>
          <w:color w:val="000000"/>
          <w:sz w:val="24"/>
          <w:szCs w:val="24"/>
        </w:rPr>
      </w:pPr>
      <w:r w:rsidRPr="00B866D9">
        <w:rPr>
          <w:rFonts w:ascii="Palatino Linotype" w:hAnsi="Palatino Linotype" w:cs="HelveticaNeueLT Std Lt Cn"/>
          <w:i/>
          <w:iCs/>
          <w:color w:val="000000"/>
          <w:sz w:val="24"/>
          <w:szCs w:val="24"/>
        </w:rPr>
        <w:br w:type="page"/>
      </w:r>
    </w:p>
    <w:p w:rsidR="003A7507" w:rsidRPr="00004A68"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20"/>
          <w:szCs w:val="20"/>
        </w:rPr>
      </w:pPr>
      <w:proofErr w:type="gramStart"/>
      <w:r w:rsidRPr="00004A68">
        <w:rPr>
          <w:rFonts w:ascii="Palatino Linotype" w:hAnsi="Palatino Linotype" w:cs="Georgia"/>
          <w:color w:val="000000"/>
          <w:sz w:val="20"/>
          <w:szCs w:val="20"/>
        </w:rPr>
        <w:lastRenderedPageBreak/>
        <w:t>relationships</w:t>
      </w:r>
      <w:proofErr w:type="gramEnd"/>
      <w:r w:rsidRPr="00004A68">
        <w:rPr>
          <w:rFonts w:ascii="Palatino Linotype" w:hAnsi="Palatino Linotype" w:cs="Georgia"/>
          <w:color w:val="000000"/>
          <w:sz w:val="20"/>
          <w:szCs w:val="20"/>
        </w:rPr>
        <w:t xml:space="preserve"> allow the combination of intrinsic “D” variables for a specific Place Type, coupled with the extrinsic factors that describe a place’s location within the region, to dictate the degree to which the place generates more or less vehicle travel than the regional average. </w:t>
      </w:r>
    </w:p>
    <w:p w:rsidR="003A7507" w:rsidRPr="00004A68"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20"/>
          <w:szCs w:val="20"/>
        </w:rPr>
      </w:pPr>
      <w:r w:rsidRPr="00004A68">
        <w:rPr>
          <w:rFonts w:ascii="Palatino Linotype" w:hAnsi="Palatino Linotype" w:cs="Georgia"/>
          <w:color w:val="000000"/>
          <w:sz w:val="20"/>
          <w:szCs w:val="20"/>
        </w:rPr>
        <w:t xml:space="preserve">The effects of the eighth “D” variable, Demand Management, are quantified in </w:t>
      </w:r>
      <w:proofErr w:type="spellStart"/>
      <w:r w:rsidRPr="00004A68">
        <w:rPr>
          <w:rFonts w:ascii="Palatino Linotype" w:hAnsi="Palatino Linotype" w:cs="Georgia"/>
          <w:color w:val="000000"/>
          <w:sz w:val="20"/>
          <w:szCs w:val="20"/>
        </w:rPr>
        <w:t>UrbanFootprint</w:t>
      </w:r>
      <w:proofErr w:type="spellEnd"/>
      <w:r w:rsidRPr="00004A68">
        <w:rPr>
          <w:rFonts w:ascii="Palatino Linotype" w:hAnsi="Palatino Linotype" w:cs="Georgia"/>
          <w:color w:val="000000"/>
          <w:sz w:val="20"/>
          <w:szCs w:val="20"/>
        </w:rPr>
        <w:t xml:space="preserve"> using relationships reported in Guidelines for Quantifying the GHG Effects of Transportation Mitigation, published by California Air Pollution Control Officers Association (CAPCOA). </w:t>
      </w:r>
      <w:proofErr w:type="spellStart"/>
      <w:r w:rsidRPr="00004A68">
        <w:rPr>
          <w:rFonts w:ascii="Palatino Linotype" w:hAnsi="Palatino Linotype" w:cs="Georgia"/>
          <w:color w:val="000000"/>
          <w:sz w:val="20"/>
          <w:szCs w:val="20"/>
        </w:rPr>
        <w:t>UrbanFootprint</w:t>
      </w:r>
      <w:proofErr w:type="spellEnd"/>
      <w:r w:rsidRPr="00004A68">
        <w:rPr>
          <w:rFonts w:ascii="Palatino Linotype" w:hAnsi="Palatino Linotype" w:cs="Georgia"/>
          <w:color w:val="000000"/>
          <w:sz w:val="20"/>
          <w:szCs w:val="20"/>
        </w:rPr>
        <w:t xml:space="preserve"> considers a set of demand management strategies relevant to regional planning and policy setting: pricing measures applied to automobile travel (through fuel charges, VMT charges, or roadway tolling), transit level of service improvements, parking policies, and employer trip reduction programs.</w:t>
      </w:r>
    </w:p>
    <w:p w:rsidR="003A7507" w:rsidRPr="00004A68"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20"/>
          <w:szCs w:val="20"/>
        </w:rPr>
      </w:pPr>
      <w:r w:rsidRPr="00004A68">
        <w:rPr>
          <w:rFonts w:ascii="Palatino Linotype" w:hAnsi="Palatino Linotype" w:cs="Georgia"/>
          <w:color w:val="000000"/>
          <w:sz w:val="20"/>
          <w:szCs w:val="20"/>
        </w:rPr>
        <w:t xml:space="preserve">The use of “D” factors from the MXD and CAPCOA research allows </w:t>
      </w:r>
      <w:proofErr w:type="spellStart"/>
      <w:r w:rsidRPr="00004A68">
        <w:rPr>
          <w:rFonts w:ascii="Palatino Linotype" w:hAnsi="Palatino Linotype" w:cs="Georgia"/>
          <w:color w:val="000000"/>
          <w:sz w:val="20"/>
          <w:szCs w:val="20"/>
        </w:rPr>
        <w:t>UrbanFootprint</w:t>
      </w:r>
      <w:proofErr w:type="spellEnd"/>
      <w:r w:rsidRPr="00004A68">
        <w:rPr>
          <w:rFonts w:ascii="Palatino Linotype" w:hAnsi="Palatino Linotype" w:cs="Georgia"/>
          <w:color w:val="000000"/>
          <w:sz w:val="20"/>
          <w:szCs w:val="20"/>
        </w:rPr>
        <w:t xml:space="preserve"> to assess the amounts of travel and consequent energy consumption, GHG and pollutant emissions, and travel costs generated by land use types and scenarios for a variety of factors, such as:</w:t>
      </w:r>
    </w:p>
    <w:p w:rsidR="003A7507" w:rsidRPr="00004A68" w:rsidRDefault="003A7507" w:rsidP="003A7507">
      <w:pPr>
        <w:suppressAutoHyphens/>
        <w:autoSpaceDE w:val="0"/>
        <w:autoSpaceDN w:val="0"/>
        <w:adjustRightInd w:val="0"/>
        <w:spacing w:before="58" w:after="58" w:line="220" w:lineRule="atLeast"/>
        <w:ind w:left="360" w:hanging="360"/>
        <w:textAlignment w:val="center"/>
        <w:rPr>
          <w:rFonts w:ascii="Palatino Linotype" w:hAnsi="Palatino Linotype" w:cs="Georgia"/>
          <w:color w:val="000000"/>
          <w:sz w:val="20"/>
          <w:szCs w:val="20"/>
        </w:rPr>
      </w:pPr>
      <w:r w:rsidRPr="00004A68">
        <w:rPr>
          <w:rFonts w:ascii="Palatino Linotype" w:hAnsi="Palatino Linotype" w:cs="Georgia"/>
          <w:color w:val="000000"/>
          <w:sz w:val="20"/>
          <w:szCs w:val="20"/>
        </w:rPr>
        <w:t xml:space="preserve">The effects of transit-oriented development </w:t>
      </w:r>
    </w:p>
    <w:p w:rsidR="003A7507" w:rsidRPr="00004A68" w:rsidRDefault="003A7507" w:rsidP="003A7507">
      <w:pPr>
        <w:suppressAutoHyphens/>
        <w:autoSpaceDE w:val="0"/>
        <w:autoSpaceDN w:val="0"/>
        <w:adjustRightInd w:val="0"/>
        <w:spacing w:before="58" w:after="58" w:line="220" w:lineRule="atLeast"/>
        <w:ind w:left="360" w:hanging="360"/>
        <w:textAlignment w:val="center"/>
        <w:rPr>
          <w:rFonts w:ascii="Palatino Linotype" w:hAnsi="Palatino Linotype" w:cs="Georgia"/>
          <w:color w:val="000000"/>
          <w:sz w:val="20"/>
          <w:szCs w:val="20"/>
        </w:rPr>
      </w:pPr>
      <w:r w:rsidRPr="00004A68">
        <w:rPr>
          <w:rFonts w:ascii="Palatino Linotype" w:hAnsi="Palatino Linotype" w:cs="Georgia"/>
          <w:color w:val="000000"/>
          <w:sz w:val="20"/>
          <w:szCs w:val="20"/>
        </w:rPr>
        <w:t>Sensitivity to pricing schemes</w:t>
      </w:r>
    </w:p>
    <w:p w:rsidR="003A7507" w:rsidRPr="00004A68" w:rsidRDefault="003A7507" w:rsidP="003A7507">
      <w:pPr>
        <w:suppressAutoHyphens/>
        <w:autoSpaceDE w:val="0"/>
        <w:autoSpaceDN w:val="0"/>
        <w:adjustRightInd w:val="0"/>
        <w:spacing w:before="58" w:after="58" w:line="220" w:lineRule="atLeast"/>
        <w:ind w:left="360" w:hanging="360"/>
        <w:textAlignment w:val="center"/>
        <w:rPr>
          <w:rFonts w:ascii="Palatino Linotype" w:hAnsi="Palatino Linotype" w:cs="Georgia"/>
          <w:color w:val="000000"/>
          <w:sz w:val="20"/>
          <w:szCs w:val="20"/>
        </w:rPr>
      </w:pPr>
      <w:r w:rsidRPr="00004A68">
        <w:rPr>
          <w:rFonts w:ascii="Palatino Linotype" w:hAnsi="Palatino Linotype" w:cs="Georgia"/>
          <w:color w:val="000000"/>
          <w:sz w:val="20"/>
          <w:szCs w:val="20"/>
        </w:rPr>
        <w:t>Impact of varying densities and use mixes</w:t>
      </w:r>
    </w:p>
    <w:p w:rsidR="003A7507" w:rsidRDefault="003A7507" w:rsidP="003A7507">
      <w:pPr>
        <w:rPr>
          <w:rFonts w:ascii="Palatino Linotype" w:hAnsi="Palatino Linotype" w:cs="Georgia"/>
          <w:color w:val="000000"/>
          <w:sz w:val="20"/>
          <w:szCs w:val="20"/>
        </w:rPr>
      </w:pPr>
      <w:r w:rsidRPr="00004A68">
        <w:rPr>
          <w:rFonts w:ascii="Palatino Linotype" w:hAnsi="Palatino Linotype" w:cs="Georgia"/>
          <w:color w:val="000000"/>
          <w:sz w:val="20"/>
          <w:szCs w:val="20"/>
        </w:rPr>
        <w:t>Impacts of transit level of service and regional accessibility</w:t>
      </w:r>
    </w:p>
    <w:p w:rsidR="00004A68" w:rsidRPr="00004A68" w:rsidRDefault="00004A68" w:rsidP="00004A68">
      <w:pPr>
        <w:autoSpaceDE w:val="0"/>
        <w:autoSpaceDN w:val="0"/>
        <w:adjustRightInd w:val="0"/>
        <w:spacing w:before="90" w:after="90" w:line="220" w:lineRule="atLeast"/>
        <w:jc w:val="both"/>
        <w:textAlignment w:val="center"/>
        <w:rPr>
          <w:rFonts w:ascii="Palatino Linotype" w:hAnsi="Palatino Linotype" w:cs="Georgia"/>
          <w:i/>
          <w:color w:val="000000"/>
          <w:sz w:val="24"/>
          <w:szCs w:val="24"/>
        </w:rPr>
      </w:pPr>
      <w:r w:rsidRPr="00004A68">
        <w:rPr>
          <w:rFonts w:ascii="Palatino Linotype" w:hAnsi="Palatino Linotype" w:cs="Georgia"/>
          <w:i/>
          <w:color w:val="000000"/>
          <w:sz w:val="24"/>
          <w:szCs w:val="24"/>
        </w:rPr>
        <w:t>[</w:t>
      </w:r>
      <w:proofErr w:type="gramStart"/>
      <w:r w:rsidRPr="00004A68">
        <w:rPr>
          <w:rFonts w:ascii="Palatino Linotype" w:hAnsi="Palatino Linotype" w:cs="Georgia"/>
          <w:i/>
          <w:color w:val="000000"/>
          <w:sz w:val="24"/>
          <w:szCs w:val="24"/>
        </w:rPr>
        <w:t>diagram</w:t>
      </w:r>
      <w:proofErr w:type="gramEnd"/>
      <w:r w:rsidRPr="00004A68">
        <w:rPr>
          <w:rFonts w:ascii="Palatino Linotype" w:hAnsi="Palatino Linotype" w:cs="Georgia"/>
          <w:i/>
          <w:color w:val="000000"/>
          <w:sz w:val="24"/>
          <w:szCs w:val="24"/>
        </w:rPr>
        <w:t>]</w:t>
      </w:r>
    </w:p>
    <w:p w:rsidR="00004A68" w:rsidRPr="00004A68" w:rsidRDefault="00004A68" w:rsidP="003A7507">
      <w:pPr>
        <w:rPr>
          <w:rFonts w:ascii="Palatino Linotype" w:hAnsi="Palatino Linotype" w:cs="Georgia"/>
          <w:color w:val="000000"/>
          <w:sz w:val="20"/>
          <w:szCs w:val="20"/>
        </w:rPr>
      </w:pPr>
    </w:p>
    <w:p w:rsidR="003A7507" w:rsidRPr="00B866D9" w:rsidRDefault="003A7507">
      <w:pPr>
        <w:rPr>
          <w:rFonts w:ascii="Palatino Linotype" w:hAnsi="Palatino Linotype" w:cs="Georgia"/>
          <w:color w:val="000000"/>
          <w:sz w:val="24"/>
          <w:szCs w:val="24"/>
        </w:rPr>
      </w:pPr>
      <w:r w:rsidRPr="00B866D9">
        <w:rPr>
          <w:rFonts w:ascii="Palatino Linotype" w:hAnsi="Palatino Linotype" w:cs="Georgia"/>
          <w:color w:val="000000"/>
          <w:sz w:val="24"/>
          <w:szCs w:val="24"/>
        </w:rPr>
        <w:br w:type="page"/>
      </w:r>
    </w:p>
    <w:p w:rsidR="003A7507" w:rsidRPr="00FF21CE"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18"/>
          <w:szCs w:val="18"/>
        </w:rPr>
      </w:pPr>
      <w:r w:rsidRPr="00FF21CE">
        <w:rPr>
          <w:rFonts w:ascii="Palatino Linotype" w:hAnsi="Palatino Linotype" w:cs="Georgia"/>
          <w:color w:val="000000"/>
          <w:sz w:val="18"/>
          <w:szCs w:val="18"/>
        </w:rPr>
        <w:lastRenderedPageBreak/>
        <w:t xml:space="preserve">Within </w:t>
      </w:r>
      <w:proofErr w:type="spellStart"/>
      <w:r w:rsidRPr="00FF21CE">
        <w:rPr>
          <w:rFonts w:ascii="Palatino Linotype" w:hAnsi="Palatino Linotype" w:cs="Georgia"/>
          <w:color w:val="000000"/>
          <w:sz w:val="18"/>
          <w:szCs w:val="18"/>
        </w:rPr>
        <w:t>UrbanFootprint</w:t>
      </w:r>
      <w:proofErr w:type="spellEnd"/>
      <w:r w:rsidRPr="00FF21CE">
        <w:rPr>
          <w:rFonts w:ascii="Palatino Linotype" w:hAnsi="Palatino Linotype" w:cs="Georgia"/>
          <w:color w:val="000000"/>
          <w:sz w:val="18"/>
          <w:szCs w:val="18"/>
        </w:rPr>
        <w:t>, each Place Type is described in terms of the eight demand-side “D” variables, based on the combination of the intrinsic characteristics of each Place Type and the location of the place within the regional context. Each geographic grid cell or place location is described in terms of its spatial relationship to all other locations within the study area, expressed in terms of travel time and cost by auto, transit, and non-motorized modes. As a result, every area described by a given Place Type and grid-cell location has vehicle, transit and non-motorized trips, and VMT associated with the Place Type’s density, diversity, design, destination accessibility, distance to transit, development scale, demographic, and demand management attributes.</w:t>
      </w:r>
    </w:p>
    <w:p w:rsidR="003A7507" w:rsidRPr="00FF21CE" w:rsidRDefault="003A7507" w:rsidP="003A7507">
      <w:pPr>
        <w:autoSpaceDE w:val="0"/>
        <w:autoSpaceDN w:val="0"/>
        <w:adjustRightInd w:val="0"/>
        <w:spacing w:before="180" w:after="90" w:line="280" w:lineRule="atLeast"/>
        <w:jc w:val="both"/>
        <w:textAlignment w:val="center"/>
        <w:rPr>
          <w:rFonts w:ascii="Palatino Linotype" w:hAnsi="Palatino Linotype" w:cs="HelveticaNeueLT Std Lt Cn"/>
          <w:i/>
          <w:iCs/>
          <w:color w:val="000000"/>
          <w:sz w:val="18"/>
          <w:szCs w:val="18"/>
        </w:rPr>
      </w:pPr>
      <w:r w:rsidRPr="00FF21CE">
        <w:rPr>
          <w:rFonts w:ascii="Palatino Linotype" w:hAnsi="Palatino Linotype" w:cs="HelveticaNeueLT Std Lt Cn"/>
          <w:i/>
          <w:iCs/>
          <w:color w:val="000000"/>
          <w:sz w:val="18"/>
          <w:szCs w:val="18"/>
        </w:rPr>
        <w:t>Regional Travel Inputs</w:t>
      </w:r>
    </w:p>
    <w:p w:rsidR="003A7507" w:rsidRPr="00FF21CE"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18"/>
          <w:szCs w:val="18"/>
        </w:rPr>
      </w:pPr>
      <w:r w:rsidRPr="00FF21CE">
        <w:rPr>
          <w:rFonts w:ascii="Palatino Linotype" w:hAnsi="Palatino Linotype" w:cs="Georgia"/>
          <w:color w:val="000000"/>
          <w:sz w:val="18"/>
          <w:szCs w:val="18"/>
        </w:rPr>
        <w:t xml:space="preserve">In addition to data contained within the Place Type and grid cell description of each region, </w:t>
      </w:r>
      <w:proofErr w:type="spellStart"/>
      <w:r w:rsidRPr="00FF21CE">
        <w:rPr>
          <w:rFonts w:ascii="Palatino Linotype" w:hAnsi="Palatino Linotype" w:cs="Georgia"/>
          <w:color w:val="000000"/>
          <w:sz w:val="18"/>
          <w:szCs w:val="18"/>
        </w:rPr>
        <w:t>UrbanFootprint</w:t>
      </w:r>
      <w:proofErr w:type="spellEnd"/>
      <w:r w:rsidRPr="00FF21CE">
        <w:rPr>
          <w:rFonts w:ascii="Palatino Linotype" w:hAnsi="Palatino Linotype" w:cs="Georgia"/>
          <w:color w:val="000000"/>
          <w:sz w:val="18"/>
          <w:szCs w:val="18"/>
        </w:rPr>
        <w:t xml:space="preserve"> exchanges, with each region’s official travel demand model, data on transportation network characteristics, regional accessibility, and travel distances and times among regional activities. These data, obtained from each Metropolitan Planning Organization’s (MPO) transportation model, include baseline “trip tables,” or matrices of travel origins and destinations for the region’s baseline land use, as well as “skim matrices” that capture travel time, distance, and cost among travel origins and destinations for the MPOs’ existing or planned transportation infrastructure and services. </w:t>
      </w:r>
    </w:p>
    <w:p w:rsidR="003A7507" w:rsidRPr="00FF21CE"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18"/>
          <w:szCs w:val="18"/>
        </w:rPr>
      </w:pPr>
      <w:r w:rsidRPr="00FF21CE">
        <w:rPr>
          <w:rFonts w:ascii="Palatino Linotype" w:hAnsi="Palatino Linotype" w:cs="Georgia"/>
          <w:color w:val="000000"/>
          <w:sz w:val="18"/>
          <w:szCs w:val="18"/>
        </w:rPr>
        <w:t xml:space="preserve">These data allow the “8D” MXD and CAPCOA methods contained in </w:t>
      </w:r>
      <w:proofErr w:type="spellStart"/>
      <w:r w:rsidRPr="00FF21CE">
        <w:rPr>
          <w:rFonts w:ascii="Palatino Linotype" w:hAnsi="Palatino Linotype" w:cs="Georgia"/>
          <w:color w:val="000000"/>
          <w:sz w:val="18"/>
          <w:szCs w:val="18"/>
        </w:rPr>
        <w:t>UrbanFootprint</w:t>
      </w:r>
      <w:proofErr w:type="spellEnd"/>
      <w:r w:rsidRPr="00FF21CE">
        <w:rPr>
          <w:rFonts w:ascii="Palatino Linotype" w:hAnsi="Palatino Linotype" w:cs="Georgia"/>
          <w:color w:val="000000"/>
          <w:sz w:val="18"/>
          <w:szCs w:val="18"/>
        </w:rPr>
        <w:t xml:space="preserve"> to assess key factors related to regional accessibility and to translate vehicle trips between locations in the region into travel distance and VMT and, in the case of initial deployment in the Vision California process, to do so consistently with the transportation system plans and modeling methods of California’s major MPOs: SACOG, MTC, SCAG, SANDAG, and the eight MPOs of the San Joaquin Valley. </w:t>
      </w:r>
    </w:p>
    <w:p w:rsidR="003A7507" w:rsidRPr="00FF21CE"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18"/>
          <w:szCs w:val="18"/>
        </w:rPr>
      </w:pPr>
      <w:proofErr w:type="spellStart"/>
      <w:r w:rsidRPr="00FF21CE">
        <w:rPr>
          <w:rFonts w:ascii="Palatino Linotype" w:hAnsi="Palatino Linotype" w:cs="Georgia"/>
          <w:color w:val="000000"/>
          <w:sz w:val="18"/>
          <w:szCs w:val="18"/>
        </w:rPr>
        <w:t>UrbanFootprint</w:t>
      </w:r>
      <w:proofErr w:type="spellEnd"/>
      <w:r w:rsidRPr="00FF21CE">
        <w:rPr>
          <w:rFonts w:ascii="Palatino Linotype" w:hAnsi="Palatino Linotype" w:cs="Georgia"/>
          <w:color w:val="000000"/>
          <w:sz w:val="18"/>
          <w:szCs w:val="18"/>
        </w:rPr>
        <w:t xml:space="preserve"> also uses the MPO transportation networks to ascertain each region’s transportation network supply, including the number of existing and future lane miles of freeway, arterials and local streets. This information, coupled with </w:t>
      </w:r>
      <w:proofErr w:type="spellStart"/>
      <w:r w:rsidRPr="00FF21CE">
        <w:rPr>
          <w:rFonts w:ascii="Palatino Linotype" w:hAnsi="Palatino Linotype" w:cs="Georgia"/>
          <w:color w:val="000000"/>
          <w:sz w:val="18"/>
          <w:szCs w:val="18"/>
        </w:rPr>
        <w:t>UrbanFootprint</w:t>
      </w:r>
      <w:proofErr w:type="spellEnd"/>
      <w:r w:rsidRPr="00FF21CE">
        <w:rPr>
          <w:rFonts w:ascii="Palatino Linotype" w:hAnsi="Palatino Linotype" w:cs="Georgia"/>
          <w:color w:val="000000"/>
          <w:sz w:val="18"/>
          <w:szCs w:val="18"/>
        </w:rPr>
        <w:t xml:space="preserve"> estimates of regional VMT, is used to estimate average regional travel speeds for purposes of refining the estimate of greenhouse gas and other emissions per VMT. These calculations are based on traffic data collected in over 100 regions across the US over the past 20 years by the Texas Transportation Institute (TTI) and the relationships between the TTI regional congestion indices and regional VMT per lane mile, as computed by the Oregon Department of Transportation for its </w:t>
      </w:r>
      <w:proofErr w:type="spellStart"/>
      <w:r w:rsidRPr="00FF21CE">
        <w:rPr>
          <w:rFonts w:ascii="Palatino Linotype" w:hAnsi="Palatino Linotype" w:cs="Georgia"/>
          <w:color w:val="000000"/>
          <w:sz w:val="18"/>
          <w:szCs w:val="18"/>
        </w:rPr>
        <w:t>GreenSTEP</w:t>
      </w:r>
      <w:proofErr w:type="spellEnd"/>
      <w:r w:rsidRPr="00FF21CE">
        <w:rPr>
          <w:rFonts w:ascii="Palatino Linotype" w:hAnsi="Palatino Linotype" w:cs="Georgia"/>
          <w:color w:val="000000"/>
          <w:sz w:val="18"/>
          <w:szCs w:val="18"/>
        </w:rPr>
        <w:t xml:space="preserve"> model.  </w:t>
      </w:r>
    </w:p>
    <w:p w:rsidR="003A7507" w:rsidRPr="00FF21CE" w:rsidRDefault="003A7507" w:rsidP="003A7507">
      <w:pPr>
        <w:autoSpaceDE w:val="0"/>
        <w:autoSpaceDN w:val="0"/>
        <w:adjustRightInd w:val="0"/>
        <w:spacing w:before="180" w:after="90" w:line="280" w:lineRule="atLeast"/>
        <w:jc w:val="both"/>
        <w:textAlignment w:val="center"/>
        <w:rPr>
          <w:rFonts w:ascii="Palatino Linotype" w:hAnsi="Palatino Linotype" w:cs="HelveticaNeueLT Std Cn"/>
          <w:b/>
          <w:bCs/>
          <w:i/>
          <w:iCs/>
          <w:color w:val="000000"/>
          <w:sz w:val="18"/>
          <w:szCs w:val="18"/>
        </w:rPr>
      </w:pPr>
      <w:r w:rsidRPr="00FF21CE">
        <w:rPr>
          <w:rFonts w:ascii="Palatino Linotype" w:hAnsi="Palatino Linotype" w:cs="HelveticaNeueLT Std Cn"/>
          <w:b/>
          <w:bCs/>
          <w:i/>
          <w:iCs/>
          <w:color w:val="000000"/>
          <w:sz w:val="18"/>
          <w:szCs w:val="18"/>
        </w:rPr>
        <w:t>Travel Model Validation</w:t>
      </w:r>
    </w:p>
    <w:p w:rsidR="003A7507" w:rsidRPr="00FF21CE"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18"/>
          <w:szCs w:val="18"/>
        </w:rPr>
      </w:pPr>
      <w:proofErr w:type="spellStart"/>
      <w:r w:rsidRPr="00FF21CE">
        <w:rPr>
          <w:rFonts w:ascii="Palatino Linotype" w:hAnsi="Palatino Linotype" w:cs="Georgia"/>
          <w:color w:val="000000"/>
          <w:sz w:val="18"/>
          <w:szCs w:val="18"/>
        </w:rPr>
        <w:t>UrbanFootprint</w:t>
      </w:r>
      <w:proofErr w:type="spellEnd"/>
      <w:r w:rsidRPr="00FF21CE">
        <w:rPr>
          <w:rFonts w:ascii="Palatino Linotype" w:hAnsi="Palatino Linotype" w:cs="Georgia"/>
          <w:color w:val="000000"/>
          <w:sz w:val="18"/>
          <w:szCs w:val="18"/>
        </w:rPr>
        <w:t xml:space="preserve"> estimates of VMT, vehicle trips, and transit and non-motorized travel were validated, in the Vision California process, through a series of regional and local tests. The regional testing included comparing the </w:t>
      </w:r>
      <w:proofErr w:type="spellStart"/>
      <w:r w:rsidRPr="00FF21CE">
        <w:rPr>
          <w:rFonts w:ascii="Palatino Linotype" w:hAnsi="Palatino Linotype" w:cs="Georgia"/>
          <w:color w:val="000000"/>
          <w:sz w:val="18"/>
          <w:szCs w:val="18"/>
        </w:rPr>
        <w:t>UrbanFootprint</w:t>
      </w:r>
      <w:proofErr w:type="spellEnd"/>
      <w:r w:rsidRPr="00FF21CE">
        <w:rPr>
          <w:rFonts w:ascii="Palatino Linotype" w:hAnsi="Palatino Linotype" w:cs="Georgia"/>
          <w:color w:val="000000"/>
          <w:sz w:val="18"/>
          <w:szCs w:val="18"/>
        </w:rPr>
        <w:t xml:space="preserve"> travel estimates to those produced by the MPOs’ state-of-practice regional transportation models, which are </w:t>
      </w:r>
      <w:proofErr w:type="gramStart"/>
      <w:r w:rsidRPr="00FF21CE">
        <w:rPr>
          <w:rFonts w:ascii="Palatino Linotype" w:hAnsi="Palatino Linotype" w:cs="Georgia"/>
          <w:color w:val="000000"/>
          <w:sz w:val="18"/>
          <w:szCs w:val="18"/>
        </w:rPr>
        <w:t>themselves</w:t>
      </w:r>
      <w:proofErr w:type="gramEnd"/>
      <w:r w:rsidRPr="00FF21CE">
        <w:rPr>
          <w:rFonts w:ascii="Palatino Linotype" w:hAnsi="Palatino Linotype" w:cs="Georgia"/>
          <w:color w:val="000000"/>
          <w:sz w:val="18"/>
          <w:szCs w:val="18"/>
        </w:rPr>
        <w:t xml:space="preserve"> validated with respect to traffic count data from Caltrans Highway Performance Monitoring System (H PMS), transit ridership data, and household travel surveys. These comparisons were used to verify </w:t>
      </w:r>
      <w:proofErr w:type="spellStart"/>
      <w:r w:rsidRPr="00FF21CE">
        <w:rPr>
          <w:rFonts w:ascii="Palatino Linotype" w:hAnsi="Palatino Linotype" w:cs="Georgia"/>
          <w:color w:val="000000"/>
          <w:sz w:val="18"/>
          <w:szCs w:val="18"/>
        </w:rPr>
        <w:t>UrbanFootprint’s</w:t>
      </w:r>
      <w:proofErr w:type="spellEnd"/>
      <w:r w:rsidRPr="00FF21CE">
        <w:rPr>
          <w:rFonts w:ascii="Palatino Linotype" w:hAnsi="Palatino Linotype" w:cs="Georgia"/>
          <w:color w:val="000000"/>
          <w:sz w:val="18"/>
          <w:szCs w:val="18"/>
        </w:rPr>
        <w:t xml:space="preserve"> ability to replicate currently measured travel conditions in each region and to forecast change for future baseline scenarios in a manner consistent with the calibrated regional travel models developed under California Transportation Commission guidelines</w:t>
      </w:r>
      <w:r w:rsidRPr="00FF21CE">
        <w:rPr>
          <w:rFonts w:ascii="Palatino Linotype" w:hAnsi="Palatino Linotype" w:cs="Georgia"/>
          <w:color w:val="000000"/>
          <w:sz w:val="18"/>
          <w:szCs w:val="18"/>
          <w:vertAlign w:val="superscript"/>
        </w:rPr>
        <w:t>8</w:t>
      </w:r>
      <w:r w:rsidRPr="00FF21CE">
        <w:rPr>
          <w:rFonts w:ascii="Palatino Linotype" w:hAnsi="Palatino Linotype" w:cs="Georgia"/>
          <w:color w:val="000000"/>
          <w:sz w:val="18"/>
          <w:szCs w:val="18"/>
        </w:rPr>
        <w:t xml:space="preserve">.  </w:t>
      </w:r>
    </w:p>
    <w:p w:rsidR="00FF21CE" w:rsidRPr="00FF21CE" w:rsidRDefault="00FF21CE" w:rsidP="00FF21CE">
      <w:pPr>
        <w:autoSpaceDE w:val="0"/>
        <w:autoSpaceDN w:val="0"/>
        <w:adjustRightInd w:val="0"/>
        <w:spacing w:after="0" w:line="288" w:lineRule="auto"/>
        <w:jc w:val="both"/>
        <w:textAlignment w:val="center"/>
        <w:rPr>
          <w:rFonts w:ascii="Palatino Linotype" w:hAnsi="Palatino Linotype" w:cs="HelveticaNeueLT Std Lt Cn"/>
          <w:i/>
          <w:iCs/>
          <w:color w:val="000000"/>
          <w:sz w:val="18"/>
          <w:szCs w:val="18"/>
        </w:rPr>
      </w:pPr>
      <w:r w:rsidRPr="00FF21CE">
        <w:rPr>
          <w:rFonts w:ascii="Palatino Linotype" w:hAnsi="Palatino Linotype" w:cs="HelveticaNeueLT Std Lt Cn"/>
          <w:i/>
          <w:iCs/>
          <w:color w:val="000000"/>
          <w:sz w:val="18"/>
          <w:szCs w:val="18"/>
        </w:rPr>
        <w:t>Base-Year Vehicle Miles Traveled (VMT) Validation Chart</w:t>
      </w:r>
    </w:p>
    <w:p w:rsidR="00FF21CE" w:rsidRPr="00FF21CE" w:rsidRDefault="00FF21CE" w:rsidP="00FF21CE">
      <w:pPr>
        <w:autoSpaceDE w:val="0"/>
        <w:autoSpaceDN w:val="0"/>
        <w:adjustRightInd w:val="0"/>
        <w:spacing w:after="0" w:line="288" w:lineRule="auto"/>
        <w:jc w:val="both"/>
        <w:textAlignment w:val="center"/>
        <w:rPr>
          <w:rFonts w:ascii="Palatino Linotype" w:hAnsi="Palatino Linotype" w:cs="HelveticaNeueLT Std Lt Cn"/>
          <w:i/>
          <w:iCs/>
          <w:color w:val="000000"/>
          <w:sz w:val="18"/>
          <w:szCs w:val="18"/>
        </w:rPr>
      </w:pPr>
      <w:r w:rsidRPr="00FF21CE">
        <w:rPr>
          <w:rFonts w:ascii="Palatino Linotype" w:hAnsi="Palatino Linotype" w:cs="HelveticaNeueLT Std Lt Cn"/>
          <w:i/>
          <w:iCs/>
          <w:color w:val="000000"/>
          <w:sz w:val="18"/>
          <w:szCs w:val="18"/>
        </w:rPr>
        <w:t>[</w:t>
      </w:r>
      <w:proofErr w:type="gramStart"/>
      <w:r w:rsidRPr="00FF21CE">
        <w:rPr>
          <w:rFonts w:ascii="Palatino Linotype" w:hAnsi="Palatino Linotype" w:cs="HelveticaNeueLT Std Lt Cn"/>
          <w:i/>
          <w:iCs/>
          <w:color w:val="000000"/>
          <w:sz w:val="18"/>
          <w:szCs w:val="18"/>
        </w:rPr>
        <w:t>table</w:t>
      </w:r>
      <w:proofErr w:type="gramEnd"/>
      <w:r w:rsidRPr="00FF21CE">
        <w:rPr>
          <w:rFonts w:ascii="Palatino Linotype" w:hAnsi="Palatino Linotype" w:cs="HelveticaNeueLT Std Lt Cn"/>
          <w:i/>
          <w:iCs/>
          <w:color w:val="000000"/>
          <w:sz w:val="18"/>
          <w:szCs w:val="18"/>
        </w:rPr>
        <w:t>]</w:t>
      </w:r>
    </w:p>
    <w:p w:rsidR="00404C64" w:rsidRPr="00FF21CE" w:rsidRDefault="00404C64" w:rsidP="00404C64">
      <w:pPr>
        <w:autoSpaceDE w:val="0"/>
        <w:autoSpaceDN w:val="0"/>
        <w:adjustRightInd w:val="0"/>
        <w:spacing w:after="0" w:line="288" w:lineRule="auto"/>
        <w:jc w:val="both"/>
        <w:textAlignment w:val="center"/>
        <w:rPr>
          <w:rFonts w:ascii="Palatino Linotype" w:hAnsi="Palatino Linotype" w:cs="HelveticaNeueLT Std Lt Cn"/>
          <w:i/>
          <w:iCs/>
          <w:color w:val="000000"/>
          <w:sz w:val="18"/>
          <w:szCs w:val="18"/>
        </w:rPr>
      </w:pPr>
      <w:proofErr w:type="spellStart"/>
      <w:r w:rsidRPr="00FF21CE">
        <w:rPr>
          <w:rFonts w:ascii="Palatino Linotype" w:hAnsi="Palatino Linotype" w:cs="HelveticaNeueLT Std Lt Cn"/>
          <w:i/>
          <w:iCs/>
          <w:color w:val="000000"/>
          <w:sz w:val="18"/>
          <w:szCs w:val="18"/>
        </w:rPr>
        <w:t>UrbanFootprint</w:t>
      </w:r>
      <w:proofErr w:type="spellEnd"/>
      <w:r w:rsidRPr="00FF21CE">
        <w:rPr>
          <w:rFonts w:ascii="Palatino Linotype" w:hAnsi="Palatino Linotype" w:cs="HelveticaNeueLT Std Lt Cn"/>
          <w:i/>
          <w:iCs/>
          <w:color w:val="000000"/>
          <w:sz w:val="18"/>
          <w:szCs w:val="18"/>
        </w:rPr>
        <w:t xml:space="preserve"> travel model validation included comparisons of base/existing environment VMT to model outputs in the major regions of California. This chart shows base year daily VMT as reported by the regions, and VMT as modeled by </w:t>
      </w:r>
      <w:proofErr w:type="spellStart"/>
      <w:r w:rsidRPr="00FF21CE">
        <w:rPr>
          <w:rFonts w:ascii="Palatino Linotype" w:hAnsi="Palatino Linotype" w:cs="HelveticaNeueLT Std Lt Cn"/>
          <w:i/>
          <w:iCs/>
          <w:color w:val="000000"/>
          <w:sz w:val="18"/>
          <w:szCs w:val="18"/>
        </w:rPr>
        <w:t>UrbanFootprint</w:t>
      </w:r>
      <w:proofErr w:type="spellEnd"/>
      <w:r w:rsidRPr="00FF21CE">
        <w:rPr>
          <w:rFonts w:ascii="Palatino Linotype" w:hAnsi="Palatino Linotype" w:cs="HelveticaNeueLT Std Lt Cn"/>
          <w:i/>
          <w:iCs/>
          <w:color w:val="000000"/>
          <w:sz w:val="18"/>
          <w:szCs w:val="18"/>
        </w:rPr>
        <w:t xml:space="preserve">. </w:t>
      </w:r>
    </w:p>
    <w:p w:rsidR="003A7507" w:rsidRPr="00FF21CE"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18"/>
          <w:szCs w:val="18"/>
        </w:rPr>
      </w:pPr>
      <w:r w:rsidRPr="00FF21CE">
        <w:rPr>
          <w:rFonts w:ascii="Palatino Linotype" w:hAnsi="Palatino Linotype" w:cs="Georgia"/>
          <w:color w:val="000000"/>
          <w:sz w:val="18"/>
          <w:szCs w:val="18"/>
        </w:rPr>
        <w:t xml:space="preserve">To assess </w:t>
      </w:r>
      <w:proofErr w:type="spellStart"/>
      <w:r w:rsidRPr="00FF21CE">
        <w:rPr>
          <w:rFonts w:ascii="Palatino Linotype" w:hAnsi="Palatino Linotype" w:cs="Georgia"/>
          <w:color w:val="000000"/>
          <w:sz w:val="18"/>
          <w:szCs w:val="18"/>
        </w:rPr>
        <w:t>UrbanFootprint’s</w:t>
      </w:r>
      <w:proofErr w:type="spellEnd"/>
      <w:r w:rsidRPr="00FF21CE">
        <w:rPr>
          <w:rFonts w:ascii="Palatino Linotype" w:hAnsi="Palatino Linotype" w:cs="Georgia"/>
          <w:color w:val="000000"/>
          <w:sz w:val="18"/>
          <w:szCs w:val="18"/>
        </w:rPr>
        <w:t xml:space="preserve"> ability to capture travel variations associated with regional, community, and local scale urban form, the 8D methods used in the model were validated in the following ways:</w:t>
      </w:r>
    </w:p>
    <w:p w:rsidR="003A7507" w:rsidRPr="00FF21CE" w:rsidRDefault="003A7507" w:rsidP="003A7507">
      <w:pPr>
        <w:suppressAutoHyphens/>
        <w:autoSpaceDE w:val="0"/>
        <w:autoSpaceDN w:val="0"/>
        <w:adjustRightInd w:val="0"/>
        <w:spacing w:before="58" w:after="58" w:line="220" w:lineRule="atLeast"/>
        <w:ind w:left="360" w:hanging="360"/>
        <w:jc w:val="both"/>
        <w:textAlignment w:val="center"/>
        <w:rPr>
          <w:rFonts w:ascii="Palatino Linotype" w:hAnsi="Palatino Linotype" w:cs="Georgia"/>
          <w:color w:val="E21A23"/>
          <w:sz w:val="18"/>
          <w:szCs w:val="18"/>
        </w:rPr>
      </w:pPr>
      <w:r w:rsidRPr="00FF21CE">
        <w:rPr>
          <w:rFonts w:ascii="Palatino Linotype" w:hAnsi="Palatino Linotype" w:cs="HelveticaNeueLT Std Lt Cn"/>
          <w:i/>
          <w:iCs/>
          <w:color w:val="000000"/>
          <w:sz w:val="18"/>
          <w:szCs w:val="18"/>
        </w:rPr>
        <w:t>Mapping of VMT Variations</w:t>
      </w:r>
      <w:r w:rsidRPr="00FF21CE">
        <w:rPr>
          <w:rFonts w:ascii="Palatino Linotype" w:hAnsi="Palatino Linotype" w:cs="Georgia"/>
          <w:color w:val="000000"/>
          <w:sz w:val="18"/>
          <w:szCs w:val="18"/>
        </w:rPr>
        <w:t xml:space="preserve"> – SACOG produces maps of VMT generation for households in all neighborhoods throughout the greater Sacramento region from its sophisticated, validated activity-based travel model. This mapping of variability of VMT generation by neighborhood, or traffic analysis zone, was compared with neighborhood VMT generation estimates produced by </w:t>
      </w:r>
      <w:proofErr w:type="spellStart"/>
      <w:r w:rsidRPr="00FF21CE">
        <w:rPr>
          <w:rFonts w:ascii="Palatino Linotype" w:hAnsi="Palatino Linotype" w:cs="Georgia"/>
          <w:color w:val="000000"/>
          <w:sz w:val="18"/>
          <w:szCs w:val="18"/>
        </w:rPr>
        <w:t>UrbanFootprint</w:t>
      </w:r>
      <w:proofErr w:type="spellEnd"/>
      <w:r w:rsidRPr="00FF21CE">
        <w:rPr>
          <w:rFonts w:ascii="Palatino Linotype" w:hAnsi="Palatino Linotype" w:cs="Georgia"/>
          <w:color w:val="000000"/>
          <w:sz w:val="18"/>
          <w:szCs w:val="18"/>
        </w:rPr>
        <w:t xml:space="preserve"> for the SACOG region.</w:t>
      </w:r>
    </w:p>
    <w:p w:rsidR="003A7507" w:rsidRPr="00FF21CE" w:rsidRDefault="003A7507">
      <w:pPr>
        <w:rPr>
          <w:rFonts w:ascii="Palatino Linotype" w:hAnsi="Palatino Linotype" w:cs="HelveticaNeueLT Std Lt Cn"/>
          <w:i/>
          <w:iCs/>
          <w:color w:val="000000"/>
          <w:sz w:val="20"/>
          <w:szCs w:val="20"/>
        </w:rPr>
      </w:pPr>
      <w:r w:rsidRPr="00FF21CE">
        <w:rPr>
          <w:rFonts w:ascii="Palatino Linotype" w:hAnsi="Palatino Linotype" w:cs="HelveticaNeueLT Std Lt Cn"/>
          <w:i/>
          <w:iCs/>
          <w:color w:val="000000"/>
          <w:sz w:val="20"/>
          <w:szCs w:val="20"/>
        </w:rPr>
        <w:br w:type="page"/>
      </w:r>
    </w:p>
    <w:p w:rsidR="003A7507" w:rsidRPr="00FF21CE" w:rsidRDefault="003A7507" w:rsidP="003A7507">
      <w:pPr>
        <w:suppressAutoHyphens/>
        <w:autoSpaceDE w:val="0"/>
        <w:autoSpaceDN w:val="0"/>
        <w:adjustRightInd w:val="0"/>
        <w:spacing w:before="58" w:after="58" w:line="220" w:lineRule="atLeast"/>
        <w:ind w:left="360" w:hanging="360"/>
        <w:jc w:val="both"/>
        <w:textAlignment w:val="center"/>
        <w:rPr>
          <w:rFonts w:ascii="Palatino Linotype" w:hAnsi="Palatino Linotype" w:cs="Georgia"/>
          <w:color w:val="000000"/>
          <w:sz w:val="20"/>
          <w:szCs w:val="20"/>
        </w:rPr>
      </w:pPr>
      <w:r w:rsidRPr="00FF21CE">
        <w:rPr>
          <w:rFonts w:ascii="Palatino Linotype" w:hAnsi="Palatino Linotype" w:cs="HelveticaNeueLT Std Lt Cn"/>
          <w:i/>
          <w:iCs/>
          <w:color w:val="000000"/>
          <w:sz w:val="20"/>
          <w:szCs w:val="20"/>
        </w:rPr>
        <w:lastRenderedPageBreak/>
        <w:t>Community Types</w:t>
      </w:r>
      <w:r w:rsidRPr="00FF21CE">
        <w:rPr>
          <w:rFonts w:ascii="Palatino Linotype" w:hAnsi="Palatino Linotype" w:cs="Georgia"/>
          <w:color w:val="000000"/>
          <w:sz w:val="20"/>
          <w:szCs w:val="20"/>
        </w:rPr>
        <w:t xml:space="preserve"> – Data developed by John </w:t>
      </w:r>
      <w:proofErr w:type="spellStart"/>
      <w:r w:rsidRPr="00FF21CE">
        <w:rPr>
          <w:rFonts w:ascii="Palatino Linotype" w:hAnsi="Palatino Linotype" w:cs="Georgia"/>
          <w:color w:val="000000"/>
          <w:sz w:val="20"/>
          <w:szCs w:val="20"/>
        </w:rPr>
        <w:t>Holtzclaw</w:t>
      </w:r>
      <w:proofErr w:type="spellEnd"/>
      <w:r w:rsidRPr="00FF21CE">
        <w:rPr>
          <w:rFonts w:ascii="Palatino Linotype" w:hAnsi="Palatino Linotype" w:cs="Georgia"/>
          <w:color w:val="000000"/>
          <w:sz w:val="20"/>
          <w:szCs w:val="20"/>
        </w:rPr>
        <w:t xml:space="preserve"> for his research on location-efficient mortgages includes measures of annual VMT taken from California Department of Motor Vehicles odometer data on vehicles in households within different communities in the Los Angeles and San Francisco regions</w:t>
      </w:r>
      <w:r w:rsidRPr="00FF21CE">
        <w:rPr>
          <w:rFonts w:ascii="Palatino Linotype" w:hAnsi="Palatino Linotype" w:cs="Georgia"/>
          <w:color w:val="000000"/>
          <w:sz w:val="20"/>
          <w:szCs w:val="20"/>
          <w:vertAlign w:val="superscript"/>
        </w:rPr>
        <w:t>9</w:t>
      </w:r>
      <w:r w:rsidRPr="00FF21CE">
        <w:rPr>
          <w:rFonts w:ascii="Palatino Linotype" w:hAnsi="Palatino Linotype" w:cs="Georgia"/>
          <w:color w:val="000000"/>
          <w:sz w:val="20"/>
          <w:szCs w:val="20"/>
        </w:rPr>
        <w:t xml:space="preserve">. </w:t>
      </w:r>
      <w:proofErr w:type="spellStart"/>
      <w:r w:rsidRPr="00FF21CE">
        <w:rPr>
          <w:rFonts w:ascii="Palatino Linotype" w:hAnsi="Palatino Linotype" w:cs="Georgia"/>
          <w:color w:val="000000"/>
          <w:sz w:val="20"/>
          <w:szCs w:val="20"/>
        </w:rPr>
        <w:t>UrbanFootprint</w:t>
      </w:r>
      <w:proofErr w:type="spellEnd"/>
      <w:r w:rsidRPr="00FF21CE">
        <w:rPr>
          <w:rFonts w:ascii="Palatino Linotype" w:hAnsi="Palatino Linotype" w:cs="Georgia"/>
          <w:color w:val="000000"/>
          <w:sz w:val="20"/>
          <w:szCs w:val="20"/>
        </w:rPr>
        <w:t xml:space="preserve"> estimates of household VMT in the same communities or clusters of communities with similar built environment “D” variables were compared against these data. </w:t>
      </w:r>
    </w:p>
    <w:p w:rsidR="003A7507" w:rsidRPr="00FF21CE" w:rsidRDefault="003A7507" w:rsidP="003A7507">
      <w:pPr>
        <w:suppressAutoHyphens/>
        <w:autoSpaceDE w:val="0"/>
        <w:autoSpaceDN w:val="0"/>
        <w:adjustRightInd w:val="0"/>
        <w:spacing w:before="58" w:after="58" w:line="220" w:lineRule="atLeast"/>
        <w:ind w:left="360" w:hanging="360"/>
        <w:jc w:val="both"/>
        <w:textAlignment w:val="center"/>
        <w:rPr>
          <w:rFonts w:ascii="Palatino Linotype" w:hAnsi="Palatino Linotype" w:cs="Georgia"/>
          <w:color w:val="000000"/>
          <w:sz w:val="20"/>
          <w:szCs w:val="20"/>
        </w:rPr>
      </w:pPr>
      <w:r w:rsidRPr="00FF21CE">
        <w:rPr>
          <w:rFonts w:ascii="Palatino Linotype" w:hAnsi="Palatino Linotype" w:cs="HelveticaNeueLT Std Lt Cn"/>
          <w:i/>
          <w:iCs/>
          <w:color w:val="000000"/>
          <w:sz w:val="20"/>
          <w:szCs w:val="20"/>
        </w:rPr>
        <w:t xml:space="preserve">Place Types </w:t>
      </w:r>
      <w:r w:rsidRPr="00FF21CE">
        <w:rPr>
          <w:rFonts w:ascii="Palatino Linotype" w:hAnsi="Palatino Linotype" w:cs="Georgia"/>
          <w:color w:val="000000"/>
          <w:sz w:val="20"/>
          <w:szCs w:val="20"/>
        </w:rPr>
        <w:t xml:space="preserve">– </w:t>
      </w:r>
      <w:proofErr w:type="spellStart"/>
      <w:r w:rsidRPr="00FF21CE">
        <w:rPr>
          <w:rFonts w:ascii="Palatino Linotype" w:hAnsi="Palatino Linotype" w:cs="Georgia"/>
          <w:color w:val="000000"/>
          <w:sz w:val="20"/>
          <w:szCs w:val="20"/>
        </w:rPr>
        <w:t>UrbanFootprint</w:t>
      </w:r>
      <w:proofErr w:type="spellEnd"/>
      <w:r w:rsidRPr="00FF21CE">
        <w:rPr>
          <w:rFonts w:ascii="Palatino Linotype" w:hAnsi="Palatino Linotype" w:cs="Georgia"/>
          <w:color w:val="000000"/>
          <w:sz w:val="20"/>
          <w:szCs w:val="20"/>
        </w:rPr>
        <w:t xml:space="preserve"> estimates of VMT generation for each of its 35 Place Types were compared to household VMT reported in the National Household Travel Survey or most recent California Statewide Travel Survey for households located in settings comparable to each Place Type description. Recognizing that a given Place Type generates different amounts of VMT depending on its location in the region, a range of VMT generation was expressed for each type, representing the difference in generation rates for the Place Type when located in regionally centric versus remote suburban settings. The range of VMT rates from the household survey were compared with the range of rates estimated by </w:t>
      </w:r>
      <w:proofErr w:type="spellStart"/>
      <w:r w:rsidRPr="00FF21CE">
        <w:rPr>
          <w:rFonts w:ascii="Palatino Linotype" w:hAnsi="Palatino Linotype" w:cs="Georgia"/>
          <w:color w:val="000000"/>
          <w:sz w:val="20"/>
          <w:szCs w:val="20"/>
        </w:rPr>
        <w:t>UrbanFootprint</w:t>
      </w:r>
      <w:proofErr w:type="spellEnd"/>
      <w:r w:rsidRPr="00FF21CE">
        <w:rPr>
          <w:rFonts w:ascii="Palatino Linotype" w:hAnsi="Palatino Linotype" w:cs="Georgia"/>
          <w:color w:val="000000"/>
          <w:sz w:val="20"/>
          <w:szCs w:val="20"/>
        </w:rPr>
        <w:t xml:space="preserve">.  </w:t>
      </w:r>
    </w:p>
    <w:p w:rsidR="003A7507" w:rsidRPr="00FF21CE"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20"/>
          <w:szCs w:val="20"/>
        </w:rPr>
      </w:pPr>
      <w:r w:rsidRPr="00FF21CE">
        <w:rPr>
          <w:rFonts w:ascii="Palatino Linotype" w:hAnsi="Palatino Linotype" w:cs="Georgia"/>
          <w:color w:val="000000"/>
          <w:sz w:val="20"/>
          <w:szCs w:val="20"/>
        </w:rPr>
        <w:t xml:space="preserve">In each of these tests, the variation in trip generation throughout the region estimated by </w:t>
      </w:r>
      <w:proofErr w:type="spellStart"/>
      <w:r w:rsidRPr="00FF21CE">
        <w:rPr>
          <w:rFonts w:ascii="Palatino Linotype" w:hAnsi="Palatino Linotype" w:cs="Georgia"/>
          <w:color w:val="000000"/>
          <w:sz w:val="20"/>
          <w:szCs w:val="20"/>
        </w:rPr>
        <w:t>UrbanFootprint</w:t>
      </w:r>
      <w:proofErr w:type="spellEnd"/>
      <w:r w:rsidRPr="00FF21CE">
        <w:rPr>
          <w:rFonts w:ascii="Palatino Linotype" w:hAnsi="Palatino Linotype" w:cs="Georgia"/>
          <w:color w:val="000000"/>
          <w:sz w:val="20"/>
          <w:szCs w:val="20"/>
        </w:rPr>
        <w:t xml:space="preserve"> as a function of the built environment, as represented by Place Types, compared well with the empirical travel data, demonstrating that the transportation model within </w:t>
      </w:r>
      <w:proofErr w:type="spellStart"/>
      <w:r w:rsidRPr="00FF21CE">
        <w:rPr>
          <w:rFonts w:ascii="Palatino Linotype" w:hAnsi="Palatino Linotype" w:cs="Georgia"/>
          <w:color w:val="000000"/>
          <w:sz w:val="20"/>
          <w:szCs w:val="20"/>
        </w:rPr>
        <w:t>UrbanFootprint</w:t>
      </w:r>
      <w:proofErr w:type="spellEnd"/>
      <w:r w:rsidRPr="00FF21CE">
        <w:rPr>
          <w:rFonts w:ascii="Palatino Linotype" w:hAnsi="Palatino Linotype" w:cs="Georgia"/>
          <w:color w:val="000000"/>
          <w:sz w:val="20"/>
          <w:szCs w:val="20"/>
        </w:rPr>
        <w:t xml:space="preserve"> produces reasonable sensitivity to fine-grained land use variations, in addition to matching well at an aggregate level with regional VMT.</w:t>
      </w:r>
    </w:p>
    <w:p w:rsidR="003A7507" w:rsidRPr="00FF21CE" w:rsidRDefault="003A7507" w:rsidP="003A7507">
      <w:pPr>
        <w:autoSpaceDE w:val="0"/>
        <w:autoSpaceDN w:val="0"/>
        <w:adjustRightInd w:val="0"/>
        <w:spacing w:before="180" w:after="90" w:line="280" w:lineRule="atLeast"/>
        <w:jc w:val="both"/>
        <w:textAlignment w:val="center"/>
        <w:rPr>
          <w:rFonts w:ascii="Palatino Linotype" w:hAnsi="Palatino Linotype" w:cs="HelveticaNeueLT Std Cn"/>
          <w:b/>
          <w:bCs/>
          <w:i/>
          <w:iCs/>
          <w:color w:val="000000"/>
          <w:sz w:val="20"/>
          <w:szCs w:val="20"/>
        </w:rPr>
      </w:pPr>
      <w:r w:rsidRPr="00FF21CE">
        <w:rPr>
          <w:rFonts w:ascii="Palatino Linotype" w:hAnsi="Palatino Linotype" w:cs="HelveticaNeueLT Std Cn"/>
          <w:b/>
          <w:bCs/>
          <w:i/>
          <w:iCs/>
          <w:color w:val="000000"/>
          <w:sz w:val="20"/>
          <w:szCs w:val="20"/>
        </w:rPr>
        <w:t xml:space="preserve">Fuel Use, Emissions, and Costs </w:t>
      </w:r>
    </w:p>
    <w:p w:rsidR="003A7507" w:rsidRPr="00FF21CE"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20"/>
          <w:szCs w:val="20"/>
        </w:rPr>
      </w:pPr>
      <w:proofErr w:type="spellStart"/>
      <w:r w:rsidRPr="00FF21CE">
        <w:rPr>
          <w:rFonts w:ascii="Palatino Linotype" w:hAnsi="Palatino Linotype" w:cs="Georgia"/>
          <w:color w:val="000000"/>
          <w:sz w:val="20"/>
          <w:szCs w:val="20"/>
        </w:rPr>
        <w:t>UrbanFootprint</w:t>
      </w:r>
      <w:proofErr w:type="spellEnd"/>
      <w:r w:rsidRPr="00FF21CE">
        <w:rPr>
          <w:rFonts w:ascii="Palatino Linotype" w:hAnsi="Palatino Linotype" w:cs="Georgia"/>
          <w:color w:val="000000"/>
          <w:sz w:val="20"/>
          <w:szCs w:val="20"/>
        </w:rPr>
        <w:t xml:space="preserve"> calculates transportation fuel use, greenhouse gas (GHG) and criteria pollutant emissions, and costs by applying policy-based assumptions to output VMT. Travel model outputs interact with preset or user-defined assumptions for vehicle efficiency, fleet mix, fuel mix, energy generation, and fuel and energy costs.</w:t>
      </w:r>
    </w:p>
    <w:p w:rsidR="003A7507" w:rsidRPr="00FF21CE" w:rsidRDefault="003A7507" w:rsidP="003A7507">
      <w:pPr>
        <w:autoSpaceDE w:val="0"/>
        <w:autoSpaceDN w:val="0"/>
        <w:adjustRightInd w:val="0"/>
        <w:spacing w:before="180" w:after="90" w:line="280" w:lineRule="atLeast"/>
        <w:jc w:val="both"/>
        <w:textAlignment w:val="center"/>
        <w:rPr>
          <w:rFonts w:ascii="Palatino Linotype" w:hAnsi="Palatino Linotype" w:cs="HelveticaNeueLT Std Lt Cn"/>
          <w:i/>
          <w:iCs/>
          <w:color w:val="000000"/>
          <w:sz w:val="20"/>
          <w:szCs w:val="20"/>
        </w:rPr>
      </w:pPr>
      <w:r w:rsidRPr="00FF21CE">
        <w:rPr>
          <w:rFonts w:ascii="Palatino Linotype" w:hAnsi="Palatino Linotype" w:cs="HelveticaNeueLT Std Lt Cn"/>
          <w:i/>
          <w:iCs/>
          <w:color w:val="000000"/>
          <w:sz w:val="20"/>
          <w:szCs w:val="20"/>
        </w:rPr>
        <w:t>Fuel Use</w:t>
      </w:r>
    </w:p>
    <w:p w:rsidR="00FF21CE" w:rsidRDefault="003A7507" w:rsidP="00FF21CE">
      <w:pPr>
        <w:autoSpaceDE w:val="0"/>
        <w:autoSpaceDN w:val="0"/>
        <w:adjustRightInd w:val="0"/>
        <w:spacing w:before="90" w:after="90" w:line="220" w:lineRule="atLeast"/>
        <w:jc w:val="both"/>
        <w:textAlignment w:val="center"/>
        <w:rPr>
          <w:rFonts w:ascii="Palatino Linotype" w:hAnsi="Palatino Linotype" w:cs="Georgia"/>
          <w:color w:val="000000"/>
          <w:sz w:val="20"/>
          <w:szCs w:val="20"/>
        </w:rPr>
      </w:pPr>
      <w:r w:rsidRPr="00FF21CE">
        <w:rPr>
          <w:rFonts w:ascii="Palatino Linotype" w:hAnsi="Palatino Linotype" w:cs="Georgia"/>
          <w:color w:val="000000"/>
          <w:sz w:val="20"/>
          <w:szCs w:val="20"/>
        </w:rPr>
        <w:t xml:space="preserve">Passenger vehicle fuel consumption estimates in </w:t>
      </w:r>
      <w:proofErr w:type="spellStart"/>
      <w:r w:rsidRPr="00FF21CE">
        <w:rPr>
          <w:rFonts w:ascii="Palatino Linotype" w:hAnsi="Palatino Linotype" w:cs="Georgia"/>
          <w:color w:val="000000"/>
          <w:sz w:val="20"/>
          <w:szCs w:val="20"/>
        </w:rPr>
        <w:t>UrbanFootprint</w:t>
      </w:r>
      <w:proofErr w:type="spellEnd"/>
      <w:r w:rsidRPr="00FF21CE">
        <w:rPr>
          <w:rFonts w:ascii="Palatino Linotype" w:hAnsi="Palatino Linotype" w:cs="Georgia"/>
          <w:color w:val="000000"/>
          <w:sz w:val="20"/>
          <w:szCs w:val="20"/>
        </w:rPr>
        <w:t xml:space="preserve"> are a function of VMT and assumptions about the mix of vehicle types in the on-road vehicle fleet (fleet mix), the efficiency of those vehicles, and the types of fuels they consume. Vehicle types include gas and diesel internal combustion engine (ICE) vehicles, battery electric vehicles (BEV), hybrid electric vehicles (HEV), plug-in hybrid electric vehicles (PHEV), and other zero-emission types (fuel cell, </w:t>
      </w:r>
      <w:proofErr w:type="spellStart"/>
      <w:r w:rsidRPr="00FF21CE">
        <w:rPr>
          <w:rFonts w:ascii="Palatino Linotype" w:hAnsi="Palatino Linotype" w:cs="Georgia"/>
          <w:color w:val="000000"/>
          <w:sz w:val="20"/>
          <w:szCs w:val="20"/>
        </w:rPr>
        <w:t>etc</w:t>
      </w:r>
      <w:proofErr w:type="spellEnd"/>
      <w:r w:rsidRPr="00FF21CE">
        <w:rPr>
          <w:rFonts w:ascii="Palatino Linotype" w:hAnsi="Palatino Linotype" w:cs="Georgia"/>
          <w:color w:val="000000"/>
          <w:sz w:val="20"/>
          <w:szCs w:val="20"/>
        </w:rPr>
        <w:t xml:space="preserve">). VMT estimates from the travel modeling engine are assigned to the passenger vehicle fleet by type, and efficiency rates are applied to those types to generate liquid fuel and electricity use. Version 1.0 of the model accepts horizon-year efficiency rates by vehicle type, which are created using the fleet-mix model built into </w:t>
      </w:r>
      <w:proofErr w:type="spellStart"/>
      <w:r w:rsidRPr="00FF21CE">
        <w:rPr>
          <w:rFonts w:ascii="Palatino Linotype" w:hAnsi="Palatino Linotype" w:cs="Georgia"/>
          <w:color w:val="000000"/>
          <w:sz w:val="20"/>
          <w:szCs w:val="20"/>
        </w:rPr>
        <w:t>Calthorpe</w:t>
      </w:r>
      <w:proofErr w:type="spellEnd"/>
      <w:r w:rsidRPr="00FF21CE">
        <w:rPr>
          <w:rFonts w:ascii="Palatino Linotype" w:hAnsi="Palatino Linotype" w:cs="Georgia"/>
          <w:color w:val="000000"/>
          <w:sz w:val="20"/>
          <w:szCs w:val="20"/>
        </w:rPr>
        <w:t xml:space="preserve"> Associates’ RapidFire</w:t>
      </w:r>
      <w:r w:rsidRPr="00FF21CE">
        <w:rPr>
          <w:rFonts w:ascii="Palatino Linotype" w:hAnsi="Palatino Linotype" w:cs="Georgia"/>
          <w:color w:val="000000"/>
          <w:sz w:val="20"/>
          <w:szCs w:val="20"/>
          <w:vertAlign w:val="superscript"/>
        </w:rPr>
        <w:t>10</w:t>
      </w:r>
      <w:r w:rsidRPr="00FF21CE">
        <w:rPr>
          <w:rFonts w:ascii="Palatino Linotype" w:hAnsi="Palatino Linotype" w:cs="Georgia"/>
          <w:color w:val="E21A23"/>
          <w:sz w:val="20"/>
          <w:szCs w:val="20"/>
        </w:rPr>
        <w:t xml:space="preserve"> </w:t>
      </w:r>
      <w:r w:rsidRPr="00FF21CE">
        <w:rPr>
          <w:rFonts w:ascii="Palatino Linotype" w:hAnsi="Palatino Linotype" w:cs="Georgia"/>
          <w:color w:val="000000"/>
          <w:sz w:val="20"/>
          <w:szCs w:val="20"/>
        </w:rPr>
        <w:t xml:space="preserve">model. Near-term advancements to </w:t>
      </w:r>
      <w:proofErr w:type="spellStart"/>
      <w:r w:rsidRPr="00FF21CE">
        <w:rPr>
          <w:rFonts w:ascii="Palatino Linotype" w:hAnsi="Palatino Linotype" w:cs="Georgia"/>
          <w:color w:val="000000"/>
          <w:sz w:val="20"/>
          <w:szCs w:val="20"/>
        </w:rPr>
        <w:t>UrbanFootprint</w:t>
      </w:r>
      <w:proofErr w:type="spellEnd"/>
      <w:r w:rsidRPr="00FF21CE">
        <w:rPr>
          <w:rFonts w:ascii="Palatino Linotype" w:hAnsi="Palatino Linotype" w:cs="Georgia"/>
          <w:color w:val="000000"/>
          <w:sz w:val="20"/>
          <w:szCs w:val="20"/>
        </w:rPr>
        <w:t xml:space="preserve"> will integrate the fleet mix model into </w:t>
      </w:r>
      <w:proofErr w:type="spellStart"/>
      <w:r w:rsidRPr="00FF21CE">
        <w:rPr>
          <w:rFonts w:ascii="Palatino Linotype" w:hAnsi="Palatino Linotype" w:cs="Georgia"/>
          <w:color w:val="000000"/>
          <w:sz w:val="20"/>
          <w:szCs w:val="20"/>
        </w:rPr>
        <w:t>UrbanFootprint’s</w:t>
      </w:r>
      <w:proofErr w:type="spellEnd"/>
      <w:r w:rsidRPr="00FF21CE">
        <w:rPr>
          <w:rFonts w:ascii="Palatino Linotype" w:hAnsi="Palatino Linotype" w:cs="Georgia"/>
          <w:color w:val="000000"/>
          <w:sz w:val="20"/>
          <w:szCs w:val="20"/>
        </w:rPr>
        <w:t xml:space="preserve"> user interface. Vehicle efficiency is applied via a miles-per-gallon (mpg) estimate for the liquid fuels component of VMT, and miles per kilowatt hour (m/kWh) for the portion of VMT driven by electricity. This in turn produces liquid fuel (in gallons) and electricity consumption (in kilowatt hours) for a given scenario.</w:t>
      </w:r>
    </w:p>
    <w:p w:rsidR="003A7507" w:rsidRPr="00FF21CE" w:rsidRDefault="00FF21CE" w:rsidP="00FF21CE">
      <w:pPr>
        <w:autoSpaceDE w:val="0"/>
        <w:autoSpaceDN w:val="0"/>
        <w:adjustRightInd w:val="0"/>
        <w:spacing w:before="90" w:after="90" w:line="220" w:lineRule="atLeast"/>
        <w:jc w:val="both"/>
        <w:textAlignment w:val="center"/>
        <w:rPr>
          <w:rFonts w:ascii="Palatino Linotype" w:hAnsi="Palatino Linotype" w:cs="Georgia"/>
          <w:i/>
          <w:color w:val="000000"/>
        </w:rPr>
      </w:pPr>
      <w:r w:rsidRPr="00FF21CE">
        <w:rPr>
          <w:rFonts w:ascii="Palatino Linotype" w:hAnsi="Palatino Linotype" w:cs="Georgia"/>
          <w:i/>
          <w:color w:val="000000"/>
          <w:sz w:val="20"/>
          <w:szCs w:val="20"/>
        </w:rPr>
        <w:t>[</w:t>
      </w:r>
      <w:proofErr w:type="gramStart"/>
      <w:r w:rsidRPr="00FF21CE">
        <w:rPr>
          <w:rFonts w:ascii="Palatino Linotype" w:hAnsi="Palatino Linotype" w:cs="Georgia"/>
          <w:i/>
          <w:color w:val="000000"/>
          <w:sz w:val="20"/>
          <w:szCs w:val="20"/>
        </w:rPr>
        <w:t>images</w:t>
      </w:r>
      <w:proofErr w:type="gramEnd"/>
      <w:r w:rsidRPr="00FF21CE">
        <w:rPr>
          <w:rFonts w:ascii="Palatino Linotype" w:hAnsi="Palatino Linotype" w:cs="Georgia"/>
          <w:i/>
          <w:color w:val="000000"/>
          <w:sz w:val="20"/>
          <w:szCs w:val="20"/>
        </w:rPr>
        <w:t>]</w:t>
      </w:r>
      <w:r w:rsidR="003A7507" w:rsidRPr="00FF21CE">
        <w:rPr>
          <w:rFonts w:ascii="Palatino Linotype" w:hAnsi="Palatino Linotype" w:cs="HelveticaNeueLT Std Lt Cn"/>
          <w:i/>
          <w:iCs/>
          <w:color w:val="000000"/>
          <w:sz w:val="24"/>
          <w:szCs w:val="24"/>
        </w:rPr>
        <w:br w:type="page"/>
      </w:r>
    </w:p>
    <w:p w:rsidR="00FF21CE" w:rsidRDefault="00FF21CE" w:rsidP="003A7507">
      <w:pPr>
        <w:autoSpaceDE w:val="0"/>
        <w:autoSpaceDN w:val="0"/>
        <w:adjustRightInd w:val="0"/>
        <w:spacing w:before="180" w:after="90" w:line="280" w:lineRule="atLeast"/>
        <w:jc w:val="both"/>
        <w:textAlignment w:val="center"/>
        <w:rPr>
          <w:rFonts w:ascii="Palatino Linotype" w:hAnsi="Palatino Linotype" w:cs="HelveticaNeueLT Std Lt Cn"/>
          <w:i/>
          <w:iCs/>
          <w:color w:val="000000"/>
          <w:sz w:val="24"/>
          <w:szCs w:val="24"/>
        </w:rPr>
      </w:pPr>
      <w:r>
        <w:rPr>
          <w:rFonts w:ascii="Palatino Linotype" w:hAnsi="Palatino Linotype" w:cs="HelveticaNeueLT Std Lt Cn"/>
          <w:i/>
          <w:iCs/>
          <w:color w:val="000000"/>
          <w:sz w:val="24"/>
          <w:szCs w:val="24"/>
        </w:rPr>
        <w:lastRenderedPageBreak/>
        <w:t>[</w:t>
      </w:r>
      <w:proofErr w:type="gramStart"/>
      <w:r>
        <w:rPr>
          <w:rFonts w:ascii="Palatino Linotype" w:hAnsi="Palatino Linotype" w:cs="HelveticaNeueLT Std Lt Cn"/>
          <w:i/>
          <w:iCs/>
          <w:color w:val="000000"/>
          <w:sz w:val="24"/>
          <w:szCs w:val="24"/>
        </w:rPr>
        <w:t>diagram</w:t>
      </w:r>
      <w:proofErr w:type="gramEnd"/>
      <w:r>
        <w:rPr>
          <w:rFonts w:ascii="Palatino Linotype" w:hAnsi="Palatino Linotype" w:cs="HelveticaNeueLT Std Lt Cn"/>
          <w:i/>
          <w:iCs/>
          <w:color w:val="000000"/>
          <w:sz w:val="24"/>
          <w:szCs w:val="24"/>
        </w:rPr>
        <w:t>]</w:t>
      </w:r>
    </w:p>
    <w:p w:rsidR="003A7507" w:rsidRPr="003A7507" w:rsidRDefault="003A7507" w:rsidP="003A7507">
      <w:pPr>
        <w:autoSpaceDE w:val="0"/>
        <w:autoSpaceDN w:val="0"/>
        <w:adjustRightInd w:val="0"/>
        <w:spacing w:before="180" w:after="90" w:line="280" w:lineRule="atLeast"/>
        <w:jc w:val="both"/>
        <w:textAlignment w:val="center"/>
        <w:rPr>
          <w:rFonts w:ascii="Palatino Linotype" w:hAnsi="Palatino Linotype" w:cs="HelveticaNeueLT Std Lt Cn"/>
          <w:i/>
          <w:iCs/>
          <w:color w:val="000000"/>
          <w:sz w:val="24"/>
          <w:szCs w:val="24"/>
        </w:rPr>
      </w:pPr>
      <w:r w:rsidRPr="003A7507">
        <w:rPr>
          <w:rFonts w:ascii="Palatino Linotype" w:hAnsi="Palatino Linotype" w:cs="HelveticaNeueLT Std Lt Cn"/>
          <w:i/>
          <w:iCs/>
          <w:color w:val="000000"/>
          <w:sz w:val="24"/>
          <w:szCs w:val="24"/>
        </w:rPr>
        <w:t>Greenhouse Gas Emissions</w:t>
      </w:r>
    </w:p>
    <w:p w:rsidR="003A7507" w:rsidRPr="003A7507"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24"/>
          <w:szCs w:val="24"/>
        </w:rPr>
      </w:pPr>
      <w:r w:rsidRPr="003A7507">
        <w:rPr>
          <w:rFonts w:ascii="Palatino Linotype" w:hAnsi="Palatino Linotype" w:cs="Georgia"/>
          <w:color w:val="000000"/>
          <w:sz w:val="24"/>
          <w:szCs w:val="24"/>
        </w:rPr>
        <w:t>Transportation GHG emissions are calculated by applying carbon intensity assumptions, expressed in pounds of carbon dioxide equivalent (CO</w:t>
      </w:r>
      <w:r w:rsidRPr="003A7507">
        <w:rPr>
          <w:rFonts w:ascii="Palatino Linotype" w:hAnsi="Palatino Linotype" w:cs="Georgia"/>
          <w:color w:val="000000"/>
          <w:sz w:val="24"/>
          <w:szCs w:val="24"/>
          <w:vertAlign w:val="subscript"/>
        </w:rPr>
        <w:t>2</w:t>
      </w:r>
      <w:r w:rsidRPr="003A7507">
        <w:rPr>
          <w:rFonts w:ascii="Palatino Linotype" w:hAnsi="Palatino Linotype" w:cs="Georgia"/>
          <w:color w:val="000000"/>
          <w:sz w:val="24"/>
          <w:szCs w:val="24"/>
        </w:rPr>
        <w:t xml:space="preserve">e) per gallon or per kilowatt hour, to fuel consumption. The carbon intensity of liquid fuel is a product of the fuel mix in a given model year, and can be adjusted by the user. The carbon intensity of electricity is derived from user-defined assumptions about the overall power generation mix (which also impacts electricity generated by buildings and other non-transport sectors). </w:t>
      </w:r>
    </w:p>
    <w:p w:rsidR="003A7507" w:rsidRPr="003A7507"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24"/>
          <w:szCs w:val="24"/>
        </w:rPr>
      </w:pPr>
      <w:proofErr w:type="spellStart"/>
      <w:r w:rsidRPr="003A7507">
        <w:rPr>
          <w:rFonts w:ascii="Palatino Linotype" w:hAnsi="Palatino Linotype" w:cs="Georgia"/>
          <w:color w:val="000000"/>
          <w:sz w:val="24"/>
          <w:szCs w:val="24"/>
        </w:rPr>
        <w:t>UrbanFootprint</w:t>
      </w:r>
      <w:proofErr w:type="spellEnd"/>
      <w:r w:rsidRPr="003A7507">
        <w:rPr>
          <w:rFonts w:ascii="Palatino Linotype" w:hAnsi="Palatino Linotype" w:cs="Georgia"/>
          <w:color w:val="000000"/>
          <w:sz w:val="24"/>
          <w:szCs w:val="24"/>
        </w:rPr>
        <w:t xml:space="preserve"> was designed to calculate emissions that occur upon fuel combustion (“tank-to-wheel” emissions), as well as those emitted during the full fuel lifecycle, from extraction and processing to transport and storage (“well-to-wheel” emissions). Users can look to either or both; typically, emission inventories compare tank-to-wheel emissions, although full well-to-wheel assessments are critical to developing climate change mitigation strategies. </w:t>
      </w:r>
      <w:proofErr w:type="spellStart"/>
      <w:r w:rsidRPr="003A7507">
        <w:rPr>
          <w:rFonts w:ascii="Palatino Linotype" w:hAnsi="Palatino Linotype" w:cs="Georgia"/>
          <w:color w:val="000000"/>
          <w:sz w:val="24"/>
          <w:szCs w:val="24"/>
        </w:rPr>
        <w:t>UrbanFootprint</w:t>
      </w:r>
      <w:proofErr w:type="spellEnd"/>
      <w:r w:rsidRPr="003A7507">
        <w:rPr>
          <w:rFonts w:ascii="Palatino Linotype" w:hAnsi="Palatino Linotype" w:cs="Georgia"/>
          <w:color w:val="000000"/>
          <w:sz w:val="24"/>
          <w:szCs w:val="24"/>
        </w:rPr>
        <w:t xml:space="preserve"> has the capacity to calculate both types of emission rates based on fuel mix assumptions, enabling an analysis of the role of fuel carbon intensity standards in meeting GHG reduction goals. </w:t>
      </w:r>
    </w:p>
    <w:p w:rsidR="003A7507" w:rsidRPr="003A7507" w:rsidRDefault="003A7507" w:rsidP="003A7507">
      <w:pPr>
        <w:autoSpaceDE w:val="0"/>
        <w:autoSpaceDN w:val="0"/>
        <w:adjustRightInd w:val="0"/>
        <w:spacing w:before="180" w:after="90" w:line="280" w:lineRule="atLeast"/>
        <w:jc w:val="both"/>
        <w:textAlignment w:val="center"/>
        <w:rPr>
          <w:rFonts w:ascii="Palatino Linotype" w:hAnsi="Palatino Linotype" w:cs="HelveticaNeueLT Std Lt Cn"/>
          <w:i/>
          <w:iCs/>
          <w:color w:val="000000"/>
          <w:sz w:val="24"/>
          <w:szCs w:val="24"/>
        </w:rPr>
      </w:pPr>
    </w:p>
    <w:p w:rsidR="003A7507" w:rsidRPr="003A7507" w:rsidRDefault="003A7507" w:rsidP="003A7507">
      <w:pPr>
        <w:autoSpaceDE w:val="0"/>
        <w:autoSpaceDN w:val="0"/>
        <w:adjustRightInd w:val="0"/>
        <w:spacing w:before="180" w:after="90" w:line="280" w:lineRule="atLeast"/>
        <w:jc w:val="both"/>
        <w:textAlignment w:val="center"/>
        <w:rPr>
          <w:rFonts w:ascii="Palatino Linotype" w:hAnsi="Palatino Linotype" w:cs="HelveticaNeueLT Std Lt Cn"/>
          <w:i/>
          <w:iCs/>
          <w:color w:val="000000"/>
          <w:sz w:val="24"/>
          <w:szCs w:val="24"/>
        </w:rPr>
      </w:pPr>
      <w:r w:rsidRPr="003A7507">
        <w:rPr>
          <w:rFonts w:ascii="Palatino Linotype" w:hAnsi="Palatino Linotype" w:cs="HelveticaNeueLT Std Lt Cn"/>
          <w:i/>
          <w:iCs/>
          <w:color w:val="000000"/>
          <w:sz w:val="24"/>
          <w:szCs w:val="24"/>
        </w:rPr>
        <w:t xml:space="preserve">Criteria Pollutant Emissions </w:t>
      </w:r>
    </w:p>
    <w:p w:rsidR="003A7507" w:rsidRPr="003A7507"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24"/>
          <w:szCs w:val="24"/>
        </w:rPr>
      </w:pPr>
      <w:r w:rsidRPr="003A7507">
        <w:rPr>
          <w:rFonts w:ascii="Palatino Linotype" w:hAnsi="Palatino Linotype" w:cs="Georgia"/>
          <w:color w:val="000000"/>
          <w:sz w:val="24"/>
          <w:szCs w:val="24"/>
        </w:rPr>
        <w:t>Transportation criteria pollutant emissions include Nitrogen Oxides (</w:t>
      </w:r>
      <w:proofErr w:type="spellStart"/>
      <w:r w:rsidRPr="003A7507">
        <w:rPr>
          <w:rFonts w:ascii="Palatino Linotype" w:hAnsi="Palatino Linotype" w:cs="Georgia"/>
          <w:color w:val="000000"/>
          <w:sz w:val="24"/>
          <w:szCs w:val="24"/>
        </w:rPr>
        <w:t>NO</w:t>
      </w:r>
      <w:r w:rsidRPr="003A7507">
        <w:rPr>
          <w:rFonts w:ascii="Palatino Linotype" w:hAnsi="Palatino Linotype" w:cs="Georgia"/>
          <w:color w:val="000000"/>
          <w:sz w:val="24"/>
          <w:szCs w:val="24"/>
          <w:vertAlign w:val="subscript"/>
        </w:rPr>
        <w:t>x</w:t>
      </w:r>
      <w:proofErr w:type="spellEnd"/>
      <w:r w:rsidRPr="003A7507">
        <w:rPr>
          <w:rFonts w:ascii="Palatino Linotype" w:hAnsi="Palatino Linotype" w:cs="Georgia"/>
          <w:color w:val="000000"/>
          <w:sz w:val="24"/>
          <w:szCs w:val="24"/>
        </w:rPr>
        <w:t>), Particulate Matter (PM2.5 and PM10), Sulfur Oxides (</w:t>
      </w:r>
      <w:proofErr w:type="spellStart"/>
      <w:r w:rsidRPr="003A7507">
        <w:rPr>
          <w:rFonts w:ascii="Palatino Linotype" w:hAnsi="Palatino Linotype" w:cs="Georgia"/>
          <w:color w:val="000000"/>
          <w:sz w:val="24"/>
          <w:szCs w:val="24"/>
        </w:rPr>
        <w:t>SO</w:t>
      </w:r>
      <w:r w:rsidRPr="003A7507">
        <w:rPr>
          <w:rFonts w:ascii="Palatino Linotype" w:hAnsi="Palatino Linotype" w:cs="Georgia"/>
          <w:color w:val="000000"/>
          <w:sz w:val="24"/>
          <w:szCs w:val="24"/>
          <w:vertAlign w:val="subscript"/>
        </w:rPr>
        <w:t>x</w:t>
      </w:r>
      <w:proofErr w:type="spellEnd"/>
      <w:r w:rsidRPr="003A7507">
        <w:rPr>
          <w:rFonts w:ascii="Palatino Linotype" w:hAnsi="Palatino Linotype" w:cs="Georgia"/>
          <w:color w:val="000000"/>
          <w:sz w:val="24"/>
          <w:szCs w:val="24"/>
        </w:rPr>
        <w:t xml:space="preserve">), Carbon Monoxide (CO), and Reactive Organic Gases/Volatile Organic Chemicals (ROG/VOC). To calculate transportation criteria pollutant emissions, </w:t>
      </w:r>
      <w:proofErr w:type="spellStart"/>
      <w:r w:rsidRPr="003A7507">
        <w:rPr>
          <w:rFonts w:ascii="Palatino Linotype" w:hAnsi="Palatino Linotype" w:cs="Georgia"/>
          <w:color w:val="000000"/>
          <w:sz w:val="24"/>
          <w:szCs w:val="24"/>
        </w:rPr>
        <w:t>UrbanFootprint</w:t>
      </w:r>
      <w:proofErr w:type="spellEnd"/>
      <w:r w:rsidRPr="003A7507">
        <w:rPr>
          <w:rFonts w:ascii="Palatino Linotype" w:hAnsi="Palatino Linotype" w:cs="Georgia"/>
          <w:color w:val="000000"/>
          <w:sz w:val="24"/>
          <w:szCs w:val="24"/>
        </w:rPr>
        <w:t xml:space="preserve"> is loaded with default assumptions that are calculated using the California Air Resources Board’s latest Emissions Factors model (EMFAC 2011). EMFAC was run using default assumptions to determine regional-average criteria pollutant emissions for passenger vehicles (light-duty vehicles and motorcycles) for the years 2005, 2010, 2020, and 2035; 2035 rates (the last year for which EMFAC 2011 produces projections) were used for 2050. Emissions factors should be localized for different study areas. </w:t>
      </w:r>
    </w:p>
    <w:p w:rsidR="003A7507" w:rsidRPr="003A7507" w:rsidRDefault="003A7507" w:rsidP="003A7507">
      <w:pPr>
        <w:autoSpaceDE w:val="0"/>
        <w:autoSpaceDN w:val="0"/>
        <w:adjustRightInd w:val="0"/>
        <w:spacing w:before="180" w:after="90" w:line="280" w:lineRule="atLeast"/>
        <w:jc w:val="both"/>
        <w:textAlignment w:val="center"/>
        <w:rPr>
          <w:rFonts w:ascii="Palatino Linotype" w:hAnsi="Palatino Linotype" w:cs="HelveticaNeueLT Std Lt Cn"/>
          <w:i/>
          <w:iCs/>
          <w:color w:val="000000"/>
          <w:sz w:val="24"/>
          <w:szCs w:val="24"/>
        </w:rPr>
      </w:pPr>
      <w:r w:rsidRPr="003A7507">
        <w:rPr>
          <w:rFonts w:ascii="Palatino Linotype" w:hAnsi="Palatino Linotype" w:cs="HelveticaNeueLT Std Lt Cn"/>
          <w:i/>
          <w:iCs/>
          <w:color w:val="000000"/>
          <w:sz w:val="24"/>
          <w:szCs w:val="24"/>
        </w:rPr>
        <w:t>Fuel and Other Driving Costs</w:t>
      </w:r>
    </w:p>
    <w:p w:rsidR="003A7507" w:rsidRPr="00FF21CE" w:rsidRDefault="003A7507" w:rsidP="00FF21CE">
      <w:pPr>
        <w:autoSpaceDE w:val="0"/>
        <w:autoSpaceDN w:val="0"/>
        <w:adjustRightInd w:val="0"/>
        <w:spacing w:before="90" w:after="90" w:line="220" w:lineRule="atLeast"/>
        <w:jc w:val="both"/>
        <w:textAlignment w:val="center"/>
        <w:rPr>
          <w:rFonts w:ascii="Palatino Linotype" w:hAnsi="Palatino Linotype" w:cs="Georgia"/>
          <w:color w:val="000000"/>
          <w:sz w:val="24"/>
          <w:szCs w:val="24"/>
        </w:rPr>
      </w:pPr>
      <w:proofErr w:type="spellStart"/>
      <w:r w:rsidRPr="003A7507">
        <w:rPr>
          <w:rFonts w:ascii="Palatino Linotype" w:hAnsi="Palatino Linotype" w:cs="Georgia"/>
          <w:color w:val="000000"/>
          <w:sz w:val="24"/>
          <w:szCs w:val="24"/>
        </w:rPr>
        <w:t>UrbanFootprint</w:t>
      </w:r>
      <w:proofErr w:type="spellEnd"/>
      <w:r w:rsidRPr="003A7507">
        <w:rPr>
          <w:rFonts w:ascii="Palatino Linotype" w:hAnsi="Palatino Linotype" w:cs="Georgia"/>
          <w:color w:val="000000"/>
          <w:sz w:val="24"/>
          <w:szCs w:val="24"/>
        </w:rPr>
        <w:t xml:space="preserve"> estimates three components of transportation costs, including fuel, auto ownership, and maintenance. These costs are calculated separately using different assumptions. Fuel costs are calculated by multiplying fuel consumed by fuel price per gallon or per kilowatt hour. Auto ownership </w:t>
      </w:r>
      <w:proofErr w:type="gramStart"/>
      <w:r w:rsidRPr="003A7507">
        <w:rPr>
          <w:rFonts w:ascii="Palatino Linotype" w:hAnsi="Palatino Linotype" w:cs="Georgia"/>
          <w:color w:val="000000"/>
          <w:sz w:val="24"/>
          <w:szCs w:val="24"/>
        </w:rPr>
        <w:t>and  maintenance</w:t>
      </w:r>
      <w:proofErr w:type="gramEnd"/>
      <w:r w:rsidRPr="003A7507">
        <w:rPr>
          <w:rFonts w:ascii="Palatino Linotype" w:hAnsi="Palatino Linotype" w:cs="Georgia"/>
          <w:color w:val="000000"/>
          <w:sz w:val="24"/>
          <w:szCs w:val="24"/>
        </w:rPr>
        <w:t xml:space="preserve"> costs are calculated by multiplying VMT by average price-per-mile factors. All per-gallon and per-mile prices change year upon year according to horizon-year projections. </w:t>
      </w:r>
      <w:r w:rsidRPr="00B866D9">
        <w:rPr>
          <w:rFonts w:ascii="Palatino Linotype" w:hAnsi="Palatino Linotype" w:cs="HelveticaNeueLT Std Lt Cn"/>
          <w:i/>
          <w:iCs/>
          <w:color w:val="000000"/>
          <w:sz w:val="24"/>
          <w:szCs w:val="24"/>
        </w:rPr>
        <w:br w:type="page"/>
      </w:r>
    </w:p>
    <w:p w:rsidR="003A7507" w:rsidRPr="003A7507"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24"/>
          <w:szCs w:val="24"/>
        </w:rPr>
      </w:pPr>
      <w:proofErr w:type="spellStart"/>
      <w:r w:rsidRPr="003A7507">
        <w:rPr>
          <w:rFonts w:ascii="Palatino Linotype" w:hAnsi="Palatino Linotype" w:cs="Georgia"/>
          <w:color w:val="000000"/>
          <w:sz w:val="24"/>
          <w:szCs w:val="24"/>
        </w:rPr>
        <w:lastRenderedPageBreak/>
        <w:t>UrbanFootprint</w:t>
      </w:r>
      <w:proofErr w:type="spellEnd"/>
      <w:r w:rsidRPr="003A7507">
        <w:rPr>
          <w:rFonts w:ascii="Palatino Linotype" w:hAnsi="Palatino Linotype" w:cs="Georgia"/>
          <w:color w:val="000000"/>
          <w:sz w:val="24"/>
          <w:szCs w:val="24"/>
        </w:rPr>
        <w:t xml:space="preserve"> measures the impact of land use patterns and urban form on a range of health-related indicators. Public health metrics include physical activity-related weight and disease incidences, pedestrian safety measures, and respiratory impacts. In all cases, costs are applied to health impacts to highlight the fiscal implications of comparative land use + transportation scenarios.</w:t>
      </w:r>
    </w:p>
    <w:p w:rsidR="003A7507" w:rsidRPr="003A7507" w:rsidRDefault="003A7507" w:rsidP="003A7507">
      <w:pPr>
        <w:autoSpaceDE w:val="0"/>
        <w:autoSpaceDN w:val="0"/>
        <w:adjustRightInd w:val="0"/>
        <w:spacing w:before="180" w:after="90" w:line="280" w:lineRule="atLeast"/>
        <w:jc w:val="both"/>
        <w:textAlignment w:val="center"/>
        <w:rPr>
          <w:rFonts w:ascii="Palatino Linotype" w:hAnsi="Palatino Linotype" w:cs="HelveticaNeueLT Std Cn"/>
          <w:b/>
          <w:bCs/>
          <w:i/>
          <w:iCs/>
          <w:color w:val="000000"/>
          <w:sz w:val="24"/>
          <w:szCs w:val="24"/>
        </w:rPr>
      </w:pPr>
      <w:r w:rsidRPr="003A7507">
        <w:rPr>
          <w:rFonts w:ascii="Palatino Linotype" w:hAnsi="Palatino Linotype" w:cs="HelveticaNeueLT Std Cn"/>
          <w:b/>
          <w:bCs/>
          <w:i/>
          <w:iCs/>
          <w:color w:val="000000"/>
          <w:sz w:val="24"/>
          <w:szCs w:val="24"/>
        </w:rPr>
        <w:t xml:space="preserve">Weight and Activity-Related Metrics </w:t>
      </w:r>
    </w:p>
    <w:p w:rsidR="003A7507" w:rsidRPr="003A7507"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24"/>
          <w:szCs w:val="24"/>
        </w:rPr>
      </w:pPr>
      <w:r w:rsidRPr="003A7507">
        <w:rPr>
          <w:rFonts w:ascii="Palatino Linotype" w:hAnsi="Palatino Linotype" w:cs="Georgia"/>
          <w:color w:val="000000"/>
          <w:sz w:val="24"/>
          <w:szCs w:val="24"/>
        </w:rPr>
        <w:t xml:space="preserve">The public health engine models five primary weight and physical activity metrics for the adult population: minutes per day of moderate and vigorous physical activity, daily time spent in cars, the percent of the adult population that is overweight and obese, and average BMI (body mass index). These indicators are all correlated with BMI, though each is estimated independently in </w:t>
      </w:r>
      <w:proofErr w:type="spellStart"/>
      <w:r w:rsidRPr="003A7507">
        <w:rPr>
          <w:rFonts w:ascii="Palatino Linotype" w:hAnsi="Palatino Linotype" w:cs="Georgia"/>
          <w:color w:val="000000"/>
          <w:sz w:val="24"/>
          <w:szCs w:val="24"/>
        </w:rPr>
        <w:t>UrbanFootprint</w:t>
      </w:r>
      <w:proofErr w:type="spellEnd"/>
      <w:r w:rsidRPr="003A7507">
        <w:rPr>
          <w:rFonts w:ascii="Palatino Linotype" w:hAnsi="Palatino Linotype" w:cs="Georgia"/>
          <w:color w:val="000000"/>
          <w:sz w:val="24"/>
          <w:szCs w:val="24"/>
        </w:rPr>
        <w:t>.</w:t>
      </w:r>
    </w:p>
    <w:p w:rsidR="003A7507" w:rsidRDefault="003A7507" w:rsidP="003A7507">
      <w:pPr>
        <w:rPr>
          <w:rFonts w:ascii="Palatino Linotype" w:hAnsi="Palatino Linotype" w:cs="Georgia"/>
          <w:color w:val="000000"/>
          <w:sz w:val="24"/>
          <w:szCs w:val="24"/>
        </w:rPr>
      </w:pPr>
      <w:r w:rsidRPr="00B866D9">
        <w:rPr>
          <w:rFonts w:ascii="Palatino Linotype" w:hAnsi="Palatino Linotype" w:cs="Georgia"/>
          <w:color w:val="000000"/>
          <w:sz w:val="24"/>
          <w:szCs w:val="24"/>
        </w:rPr>
        <w:t xml:space="preserve">These health outcome metrics are calculated by </w:t>
      </w:r>
      <w:proofErr w:type="spellStart"/>
      <w:r w:rsidRPr="00B866D9">
        <w:rPr>
          <w:rFonts w:ascii="Palatino Linotype" w:hAnsi="Palatino Linotype" w:cs="Georgia"/>
          <w:color w:val="000000"/>
          <w:sz w:val="24"/>
          <w:szCs w:val="24"/>
        </w:rPr>
        <w:t>UrbanFootprint</w:t>
      </w:r>
      <w:proofErr w:type="spellEnd"/>
      <w:r w:rsidRPr="00B866D9">
        <w:rPr>
          <w:rFonts w:ascii="Palatino Linotype" w:hAnsi="Palatino Linotype" w:cs="Georgia"/>
          <w:color w:val="000000"/>
          <w:sz w:val="24"/>
          <w:szCs w:val="24"/>
        </w:rPr>
        <w:t xml:space="preserve"> at the grid-cell geography using a series of regression models developed based on primary research conducted by Urban Design 4 Health (UD4H). The model predicting time spent in cars was built from a regional transportation study conducted</w:t>
      </w:r>
    </w:p>
    <w:p w:rsidR="00FF21CE" w:rsidRPr="00FF21CE" w:rsidRDefault="00FF21CE" w:rsidP="003A7507">
      <w:pPr>
        <w:rPr>
          <w:rFonts w:ascii="Palatino Linotype" w:hAnsi="Palatino Linotype" w:cs="Georgia"/>
          <w:i/>
          <w:color w:val="000000"/>
          <w:sz w:val="24"/>
          <w:szCs w:val="24"/>
        </w:rPr>
      </w:pPr>
      <w:r w:rsidRPr="00FF21CE">
        <w:rPr>
          <w:rFonts w:ascii="Palatino Linotype" w:hAnsi="Palatino Linotype" w:cs="Georgia"/>
          <w:i/>
          <w:color w:val="000000"/>
          <w:sz w:val="24"/>
          <w:szCs w:val="24"/>
        </w:rPr>
        <w:t>[</w:t>
      </w:r>
      <w:proofErr w:type="gramStart"/>
      <w:r w:rsidRPr="00FF21CE">
        <w:rPr>
          <w:rFonts w:ascii="Palatino Linotype" w:hAnsi="Palatino Linotype" w:cs="Georgia"/>
          <w:i/>
          <w:color w:val="000000"/>
          <w:sz w:val="24"/>
          <w:szCs w:val="24"/>
        </w:rPr>
        <w:t>diagram</w:t>
      </w:r>
      <w:proofErr w:type="gramEnd"/>
      <w:r w:rsidRPr="00FF21CE">
        <w:rPr>
          <w:rFonts w:ascii="Palatino Linotype" w:hAnsi="Palatino Linotype" w:cs="Georgia"/>
          <w:i/>
          <w:color w:val="000000"/>
          <w:sz w:val="24"/>
          <w:szCs w:val="24"/>
        </w:rPr>
        <w:t>]</w:t>
      </w:r>
    </w:p>
    <w:p w:rsidR="003A7507" w:rsidRPr="00B866D9" w:rsidRDefault="003A7507">
      <w:pPr>
        <w:rPr>
          <w:rFonts w:ascii="Palatino Linotype" w:hAnsi="Palatino Linotype" w:cs="Georgia"/>
          <w:color w:val="000000"/>
          <w:sz w:val="24"/>
          <w:szCs w:val="24"/>
        </w:rPr>
      </w:pPr>
      <w:r w:rsidRPr="00B866D9">
        <w:rPr>
          <w:rFonts w:ascii="Palatino Linotype" w:hAnsi="Palatino Linotype" w:cs="Georgia"/>
          <w:color w:val="000000"/>
          <w:sz w:val="24"/>
          <w:szCs w:val="24"/>
        </w:rPr>
        <w:br w:type="page"/>
      </w:r>
    </w:p>
    <w:p w:rsidR="00FF21CE" w:rsidRDefault="00FF21CE" w:rsidP="003A7507">
      <w:pPr>
        <w:autoSpaceDE w:val="0"/>
        <w:autoSpaceDN w:val="0"/>
        <w:adjustRightInd w:val="0"/>
        <w:spacing w:before="90" w:after="90" w:line="220" w:lineRule="atLeast"/>
        <w:jc w:val="both"/>
        <w:textAlignment w:val="center"/>
        <w:rPr>
          <w:rFonts w:ascii="Palatino Linotype" w:hAnsi="Palatino Linotype" w:cs="Georgia"/>
          <w:color w:val="000000"/>
          <w:sz w:val="24"/>
          <w:szCs w:val="24"/>
        </w:rPr>
        <w:sectPr w:rsidR="00FF21CE" w:rsidSect="000248A3">
          <w:type w:val="continuous"/>
          <w:pgSz w:w="12240" w:h="15840"/>
          <w:pgMar w:top="1440" w:right="1440" w:bottom="1440" w:left="1440" w:header="720" w:footer="720" w:gutter="0"/>
          <w:cols w:space="720"/>
          <w:docGrid w:linePitch="360"/>
        </w:sectPr>
      </w:pPr>
    </w:p>
    <w:p w:rsidR="003A7507" w:rsidRPr="00FF21CE"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18"/>
          <w:szCs w:val="18"/>
        </w:rPr>
      </w:pPr>
      <w:proofErr w:type="gramStart"/>
      <w:r w:rsidRPr="00FF21CE">
        <w:rPr>
          <w:rFonts w:ascii="Palatino Linotype" w:hAnsi="Palatino Linotype" w:cs="Georgia"/>
          <w:color w:val="000000"/>
          <w:sz w:val="18"/>
          <w:szCs w:val="18"/>
        </w:rPr>
        <w:lastRenderedPageBreak/>
        <w:t>as</w:t>
      </w:r>
      <w:proofErr w:type="gramEnd"/>
      <w:r w:rsidRPr="00FF21CE">
        <w:rPr>
          <w:rFonts w:ascii="Palatino Linotype" w:hAnsi="Palatino Linotype" w:cs="Georgia"/>
          <w:color w:val="000000"/>
          <w:sz w:val="18"/>
          <w:szCs w:val="18"/>
        </w:rPr>
        <w:t xml:space="preserve"> part of the Atlanta Regional Commission’s Household Travel Survey</w:t>
      </w:r>
      <w:r w:rsidRPr="00FF21CE">
        <w:rPr>
          <w:rFonts w:ascii="Palatino Linotype" w:hAnsi="Palatino Linotype" w:cs="Georgia"/>
          <w:color w:val="000000"/>
          <w:sz w:val="18"/>
          <w:szCs w:val="18"/>
          <w:vertAlign w:val="superscript"/>
        </w:rPr>
        <w:t>11</w:t>
      </w:r>
      <w:r w:rsidRPr="00FF21CE">
        <w:rPr>
          <w:rFonts w:ascii="Palatino Linotype" w:hAnsi="Palatino Linotype" w:cs="Georgia"/>
          <w:color w:val="000000"/>
          <w:sz w:val="18"/>
          <w:szCs w:val="18"/>
        </w:rPr>
        <w:t>, and the weight and physical activity models came out of the Neighborhood Quality of Life Study in Seattle and King County, Washington</w:t>
      </w:r>
      <w:r w:rsidRPr="00FF21CE">
        <w:rPr>
          <w:rFonts w:ascii="Palatino Linotype" w:hAnsi="Palatino Linotype" w:cs="Georgia"/>
          <w:color w:val="000000"/>
          <w:sz w:val="18"/>
          <w:szCs w:val="18"/>
          <w:vertAlign w:val="superscript"/>
        </w:rPr>
        <w:t>12</w:t>
      </w:r>
      <w:r w:rsidRPr="00FF21CE">
        <w:rPr>
          <w:rFonts w:ascii="Palatino Linotype" w:hAnsi="Palatino Linotype" w:cs="Georgia"/>
          <w:color w:val="000000"/>
          <w:sz w:val="18"/>
          <w:szCs w:val="18"/>
        </w:rPr>
        <w:t>. Where possible, data from California Health Interview Survey (CHIS</w:t>
      </w:r>
      <w:proofErr w:type="gramStart"/>
      <w:r w:rsidRPr="00FF21CE">
        <w:rPr>
          <w:rFonts w:ascii="Palatino Linotype" w:hAnsi="Palatino Linotype" w:cs="Georgia"/>
          <w:color w:val="000000"/>
          <w:sz w:val="18"/>
          <w:szCs w:val="18"/>
        </w:rPr>
        <w:t>)</w:t>
      </w:r>
      <w:r w:rsidRPr="00FF21CE">
        <w:rPr>
          <w:rFonts w:ascii="Palatino Linotype" w:hAnsi="Palatino Linotype" w:cs="Georgia"/>
          <w:color w:val="000000"/>
          <w:sz w:val="18"/>
          <w:szCs w:val="18"/>
          <w:vertAlign w:val="superscript"/>
        </w:rPr>
        <w:t>13</w:t>
      </w:r>
      <w:proofErr w:type="gramEnd"/>
      <w:r w:rsidRPr="00FF21CE">
        <w:rPr>
          <w:rFonts w:ascii="Palatino Linotype" w:hAnsi="Palatino Linotype" w:cs="Georgia"/>
          <w:color w:val="000000"/>
          <w:sz w:val="18"/>
          <w:szCs w:val="18"/>
        </w:rPr>
        <w:t xml:space="preserve"> and the San Diego Council of Governments (SANDAG)</w:t>
      </w:r>
      <w:r w:rsidRPr="00FF21CE">
        <w:rPr>
          <w:rFonts w:ascii="Palatino Linotype" w:hAnsi="Palatino Linotype" w:cs="Georgia"/>
          <w:color w:val="000000"/>
          <w:sz w:val="18"/>
          <w:szCs w:val="18"/>
          <w:vertAlign w:val="superscript"/>
        </w:rPr>
        <w:t>14</w:t>
      </w:r>
      <w:r w:rsidRPr="00FF21CE">
        <w:rPr>
          <w:rFonts w:ascii="Palatino Linotype" w:hAnsi="Palatino Linotype" w:cs="Georgia"/>
          <w:color w:val="E21A23"/>
          <w:sz w:val="18"/>
          <w:szCs w:val="18"/>
        </w:rPr>
        <w:t xml:space="preserve"> </w:t>
      </w:r>
      <w:r w:rsidRPr="00FF21CE">
        <w:rPr>
          <w:rFonts w:ascii="Palatino Linotype" w:hAnsi="Palatino Linotype" w:cs="Georgia"/>
          <w:color w:val="000000"/>
          <w:sz w:val="18"/>
          <w:szCs w:val="18"/>
        </w:rPr>
        <w:t>was used to validate the use of the public health models in California.</w:t>
      </w:r>
    </w:p>
    <w:p w:rsidR="003A7507" w:rsidRPr="00FF21CE"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18"/>
          <w:szCs w:val="18"/>
        </w:rPr>
      </w:pPr>
      <w:r w:rsidRPr="00FF21CE">
        <w:rPr>
          <w:rFonts w:ascii="Palatino Linotype" w:hAnsi="Palatino Linotype" w:cs="Georgia"/>
          <w:color w:val="000000"/>
          <w:sz w:val="18"/>
          <w:szCs w:val="18"/>
        </w:rPr>
        <w:t>Primary data inputs for these five models include both measures of the built environment (intersection, retail floor area, and dwelling unit densities as well as building use mix) and demographics (gender, age, household income and auto ownership, and level of educational attainment). For public health modeling, future demographic variables were held constant with the base/existing conditions year data, calculated using US Census 2010 rates; this has the effect of isolating the effect of land use on public health.</w:t>
      </w:r>
    </w:p>
    <w:p w:rsidR="003A7507" w:rsidRPr="00FF21CE"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18"/>
          <w:szCs w:val="18"/>
        </w:rPr>
      </w:pPr>
      <w:r w:rsidRPr="00FF21CE">
        <w:rPr>
          <w:rFonts w:ascii="Palatino Linotype" w:hAnsi="Palatino Linotype" w:cs="Georgia"/>
          <w:color w:val="000000"/>
          <w:sz w:val="18"/>
          <w:szCs w:val="18"/>
        </w:rPr>
        <w:t>A series of intermediate variables are calculated at the grid-cell level to allow the weight and activity-related models to run, including:</w:t>
      </w:r>
    </w:p>
    <w:p w:rsidR="003A7507" w:rsidRPr="00FF21CE" w:rsidRDefault="003A7507" w:rsidP="003A7507">
      <w:pPr>
        <w:autoSpaceDE w:val="0"/>
        <w:autoSpaceDN w:val="0"/>
        <w:adjustRightInd w:val="0"/>
        <w:spacing w:before="58" w:after="58" w:line="220" w:lineRule="atLeast"/>
        <w:ind w:left="360" w:hanging="360"/>
        <w:jc w:val="both"/>
        <w:textAlignment w:val="center"/>
        <w:rPr>
          <w:rFonts w:ascii="Palatino Linotype" w:hAnsi="Palatino Linotype" w:cs="Georgia"/>
          <w:color w:val="000000"/>
          <w:sz w:val="18"/>
          <w:szCs w:val="18"/>
        </w:rPr>
      </w:pPr>
      <w:proofErr w:type="gramStart"/>
      <w:r w:rsidRPr="00FF21CE">
        <w:rPr>
          <w:rFonts w:ascii="Palatino Linotype" w:hAnsi="Palatino Linotype" w:cs="HelveticaNeueLT Std Lt Cn"/>
          <w:i/>
          <w:iCs/>
          <w:color w:val="000000"/>
          <w:sz w:val="18"/>
          <w:szCs w:val="18"/>
        </w:rPr>
        <w:t>Walkability Index.</w:t>
      </w:r>
      <w:proofErr w:type="gramEnd"/>
      <w:r w:rsidRPr="00FF21CE">
        <w:rPr>
          <w:rFonts w:ascii="Palatino Linotype" w:hAnsi="Palatino Linotype" w:cs="HelveticaNeueLT Std Lt Cn"/>
          <w:i/>
          <w:iCs/>
          <w:color w:val="000000"/>
          <w:sz w:val="18"/>
          <w:szCs w:val="18"/>
        </w:rPr>
        <w:t xml:space="preserve"> </w:t>
      </w:r>
      <w:proofErr w:type="gramStart"/>
      <w:r w:rsidRPr="00FF21CE">
        <w:rPr>
          <w:rFonts w:ascii="Palatino Linotype" w:hAnsi="Palatino Linotype" w:cs="Georgia"/>
          <w:color w:val="000000"/>
          <w:sz w:val="18"/>
          <w:szCs w:val="18"/>
        </w:rPr>
        <w:t>Produces a walkability rating via calculations of dwelling unit density, retail floor area ratio, and intersection density - all measured in a one-kilometer grid-cell buffer.</w:t>
      </w:r>
      <w:proofErr w:type="gramEnd"/>
    </w:p>
    <w:p w:rsidR="003A7507" w:rsidRPr="00FF21CE" w:rsidRDefault="003A7507" w:rsidP="003A7507">
      <w:pPr>
        <w:autoSpaceDE w:val="0"/>
        <w:autoSpaceDN w:val="0"/>
        <w:adjustRightInd w:val="0"/>
        <w:spacing w:before="58" w:after="58" w:line="220" w:lineRule="atLeast"/>
        <w:ind w:left="360" w:hanging="360"/>
        <w:jc w:val="both"/>
        <w:textAlignment w:val="center"/>
        <w:rPr>
          <w:rFonts w:ascii="Palatino Linotype" w:hAnsi="Palatino Linotype" w:cs="Georgia"/>
          <w:color w:val="000000"/>
          <w:sz w:val="18"/>
          <w:szCs w:val="18"/>
        </w:rPr>
      </w:pPr>
      <w:proofErr w:type="gramStart"/>
      <w:r w:rsidRPr="00FF21CE">
        <w:rPr>
          <w:rFonts w:ascii="Palatino Linotype" w:hAnsi="Palatino Linotype" w:cs="HelveticaNeueLT Std Lt Cn"/>
          <w:i/>
          <w:iCs/>
          <w:color w:val="000000"/>
          <w:sz w:val="18"/>
          <w:szCs w:val="18"/>
        </w:rPr>
        <w:t>Building Use Mix.</w:t>
      </w:r>
      <w:proofErr w:type="gramEnd"/>
      <w:r w:rsidRPr="00FF21CE">
        <w:rPr>
          <w:rFonts w:ascii="Palatino Linotype" w:hAnsi="Palatino Linotype" w:cs="HelveticaNeueLT Std Lt Cn"/>
          <w:i/>
          <w:iCs/>
          <w:color w:val="000000"/>
          <w:sz w:val="18"/>
          <w:szCs w:val="18"/>
        </w:rPr>
        <w:t xml:space="preserve"> </w:t>
      </w:r>
      <w:proofErr w:type="gramStart"/>
      <w:r w:rsidRPr="00FF21CE">
        <w:rPr>
          <w:rFonts w:ascii="Palatino Linotype" w:hAnsi="Palatino Linotype" w:cs="Georgia"/>
          <w:color w:val="000000"/>
          <w:sz w:val="18"/>
          <w:szCs w:val="18"/>
        </w:rPr>
        <w:t>Measures the distribution of residential, retail, office, and service sector building square feet within a one-kilometer grid-cell buffer.</w:t>
      </w:r>
      <w:proofErr w:type="gramEnd"/>
      <w:r w:rsidRPr="00FF21CE">
        <w:rPr>
          <w:rFonts w:ascii="Palatino Linotype" w:hAnsi="Palatino Linotype" w:cs="Georgia"/>
          <w:color w:val="000000"/>
          <w:sz w:val="18"/>
          <w:szCs w:val="18"/>
        </w:rPr>
        <w:t xml:space="preserve"> </w:t>
      </w:r>
    </w:p>
    <w:p w:rsidR="003A7507" w:rsidRPr="00FF21CE" w:rsidRDefault="003A7507" w:rsidP="003A7507">
      <w:pPr>
        <w:autoSpaceDE w:val="0"/>
        <w:autoSpaceDN w:val="0"/>
        <w:adjustRightInd w:val="0"/>
        <w:spacing w:before="58" w:after="58" w:line="220" w:lineRule="atLeast"/>
        <w:ind w:left="360" w:hanging="360"/>
        <w:jc w:val="both"/>
        <w:textAlignment w:val="center"/>
        <w:rPr>
          <w:rFonts w:ascii="Palatino Linotype" w:hAnsi="Palatino Linotype" w:cs="Georgia"/>
          <w:color w:val="000000"/>
          <w:sz w:val="18"/>
          <w:szCs w:val="18"/>
        </w:rPr>
      </w:pPr>
      <w:proofErr w:type="gramStart"/>
      <w:r w:rsidRPr="00FF21CE">
        <w:rPr>
          <w:rFonts w:ascii="Palatino Linotype" w:hAnsi="Palatino Linotype" w:cs="HelveticaNeueLT Std Lt Cn"/>
          <w:i/>
          <w:iCs/>
          <w:color w:val="000000"/>
          <w:sz w:val="18"/>
          <w:szCs w:val="18"/>
        </w:rPr>
        <w:t>Dwelling Unit Density.</w:t>
      </w:r>
      <w:proofErr w:type="gramEnd"/>
      <w:r w:rsidRPr="00FF21CE">
        <w:rPr>
          <w:rFonts w:ascii="Palatino Linotype" w:hAnsi="Palatino Linotype" w:cs="Georgia"/>
          <w:color w:val="000000"/>
          <w:sz w:val="18"/>
          <w:szCs w:val="18"/>
        </w:rPr>
        <w:t xml:space="preserve"> </w:t>
      </w:r>
      <w:proofErr w:type="gramStart"/>
      <w:r w:rsidRPr="00FF21CE">
        <w:rPr>
          <w:rFonts w:ascii="Palatino Linotype" w:hAnsi="Palatino Linotype" w:cs="Georgia"/>
          <w:color w:val="000000"/>
          <w:sz w:val="18"/>
          <w:szCs w:val="18"/>
        </w:rPr>
        <w:t>A measure of housing density within a one-kilometer grid-cell buffer.</w:t>
      </w:r>
      <w:proofErr w:type="gramEnd"/>
      <w:r w:rsidRPr="00FF21CE">
        <w:rPr>
          <w:rFonts w:ascii="Palatino Linotype" w:hAnsi="Palatino Linotype" w:cs="Georgia"/>
          <w:color w:val="000000"/>
          <w:sz w:val="18"/>
          <w:szCs w:val="18"/>
        </w:rPr>
        <w:t xml:space="preserve"> </w:t>
      </w:r>
    </w:p>
    <w:p w:rsidR="003A7507" w:rsidRPr="00FF21CE" w:rsidRDefault="003A7507" w:rsidP="003A7507">
      <w:pPr>
        <w:autoSpaceDE w:val="0"/>
        <w:autoSpaceDN w:val="0"/>
        <w:adjustRightInd w:val="0"/>
        <w:spacing w:before="58" w:after="58" w:line="220" w:lineRule="atLeast"/>
        <w:ind w:left="360" w:hanging="360"/>
        <w:jc w:val="both"/>
        <w:textAlignment w:val="center"/>
        <w:rPr>
          <w:rFonts w:ascii="Palatino Linotype" w:hAnsi="Palatino Linotype" w:cs="Georgia"/>
          <w:color w:val="000000"/>
          <w:sz w:val="18"/>
          <w:szCs w:val="18"/>
        </w:rPr>
      </w:pPr>
      <w:proofErr w:type="gramStart"/>
      <w:r w:rsidRPr="00FF21CE">
        <w:rPr>
          <w:rFonts w:ascii="Palatino Linotype" w:hAnsi="Palatino Linotype" w:cs="HelveticaNeueLT Std Lt Cn"/>
          <w:i/>
          <w:iCs/>
          <w:color w:val="000000"/>
          <w:sz w:val="18"/>
          <w:szCs w:val="18"/>
        </w:rPr>
        <w:t>Network-Based Street Intersection Count and Density.</w:t>
      </w:r>
      <w:proofErr w:type="gramEnd"/>
      <w:r w:rsidRPr="00FF21CE">
        <w:rPr>
          <w:rFonts w:ascii="Palatino Linotype" w:hAnsi="Palatino Linotype" w:cs="HelveticaNeueLT Std Lt Cn"/>
          <w:i/>
          <w:iCs/>
          <w:color w:val="000000"/>
          <w:sz w:val="18"/>
          <w:szCs w:val="18"/>
        </w:rPr>
        <w:t xml:space="preserve"> </w:t>
      </w:r>
      <w:proofErr w:type="gramStart"/>
      <w:r w:rsidRPr="00FF21CE">
        <w:rPr>
          <w:rFonts w:ascii="Palatino Linotype" w:hAnsi="Palatino Linotype" w:cs="Georgia"/>
          <w:color w:val="000000"/>
          <w:sz w:val="18"/>
          <w:szCs w:val="18"/>
        </w:rPr>
        <w:t>An estimate of network-based street connectivity within a one kilometer grid-cell buffer.</w:t>
      </w:r>
      <w:proofErr w:type="gramEnd"/>
      <w:r w:rsidRPr="00FF21CE">
        <w:rPr>
          <w:rFonts w:ascii="Palatino Linotype" w:hAnsi="Palatino Linotype" w:cs="Georgia"/>
          <w:color w:val="000000"/>
          <w:sz w:val="18"/>
          <w:szCs w:val="18"/>
        </w:rPr>
        <w:t xml:space="preserve"> </w:t>
      </w:r>
    </w:p>
    <w:p w:rsidR="003A7507" w:rsidRPr="00FF21CE" w:rsidRDefault="003A7507" w:rsidP="003A7507">
      <w:pPr>
        <w:autoSpaceDE w:val="0"/>
        <w:autoSpaceDN w:val="0"/>
        <w:adjustRightInd w:val="0"/>
        <w:spacing w:before="58" w:after="58" w:line="220" w:lineRule="atLeast"/>
        <w:ind w:left="360" w:hanging="360"/>
        <w:jc w:val="both"/>
        <w:textAlignment w:val="center"/>
        <w:rPr>
          <w:rFonts w:ascii="Palatino Linotype" w:hAnsi="Palatino Linotype" w:cs="Georgia"/>
          <w:color w:val="000000"/>
          <w:sz w:val="18"/>
          <w:szCs w:val="18"/>
        </w:rPr>
      </w:pPr>
      <w:r w:rsidRPr="00FF21CE">
        <w:rPr>
          <w:rFonts w:ascii="Palatino Linotype" w:hAnsi="Palatino Linotype" w:cs="HelveticaNeueLT Std Lt Cn"/>
          <w:i/>
          <w:iCs/>
          <w:color w:val="000000"/>
          <w:sz w:val="18"/>
          <w:szCs w:val="18"/>
        </w:rPr>
        <w:t>Household Income Categories Ranking Mean.</w:t>
      </w:r>
      <w:r w:rsidRPr="00FF21CE">
        <w:rPr>
          <w:rFonts w:ascii="Palatino Linotype" w:hAnsi="Palatino Linotype" w:cs="Georgia"/>
          <w:color w:val="000000"/>
          <w:sz w:val="18"/>
          <w:szCs w:val="18"/>
        </w:rPr>
        <w:t xml:space="preserve"> A weighted count of households in various income groups in each grid cell. </w:t>
      </w:r>
    </w:p>
    <w:p w:rsidR="003A7507" w:rsidRPr="00FF21CE" w:rsidRDefault="003A7507" w:rsidP="003A7507">
      <w:pPr>
        <w:autoSpaceDE w:val="0"/>
        <w:autoSpaceDN w:val="0"/>
        <w:adjustRightInd w:val="0"/>
        <w:spacing w:before="58" w:after="58" w:line="220" w:lineRule="atLeast"/>
        <w:ind w:left="360" w:hanging="360"/>
        <w:jc w:val="both"/>
        <w:textAlignment w:val="center"/>
        <w:rPr>
          <w:rFonts w:ascii="Palatino Linotype" w:hAnsi="Palatino Linotype" w:cs="Georgia"/>
          <w:color w:val="000000"/>
          <w:sz w:val="18"/>
          <w:szCs w:val="18"/>
        </w:rPr>
      </w:pPr>
      <w:r w:rsidRPr="00FF21CE">
        <w:rPr>
          <w:rFonts w:ascii="Palatino Linotype" w:hAnsi="Palatino Linotype" w:cs="HelveticaNeueLT Std Lt Cn"/>
          <w:i/>
          <w:iCs/>
          <w:color w:val="000000"/>
          <w:sz w:val="18"/>
          <w:szCs w:val="18"/>
        </w:rPr>
        <w:t xml:space="preserve">Educational Attainment Categories Ranking Mean. </w:t>
      </w:r>
      <w:proofErr w:type="gramStart"/>
      <w:r w:rsidRPr="00FF21CE">
        <w:rPr>
          <w:rFonts w:ascii="Palatino Linotype" w:hAnsi="Palatino Linotype" w:cs="Georgia"/>
          <w:color w:val="000000"/>
          <w:sz w:val="18"/>
          <w:szCs w:val="18"/>
        </w:rPr>
        <w:t>A weighted count of population by educational attainment in each grid cell.</w:t>
      </w:r>
      <w:proofErr w:type="gramEnd"/>
      <w:r w:rsidRPr="00FF21CE">
        <w:rPr>
          <w:rFonts w:ascii="Palatino Linotype" w:hAnsi="Palatino Linotype" w:cs="Georgia"/>
          <w:color w:val="000000"/>
          <w:sz w:val="18"/>
          <w:szCs w:val="18"/>
        </w:rPr>
        <w:t xml:space="preserve"> </w:t>
      </w:r>
    </w:p>
    <w:p w:rsidR="003A7507" w:rsidRPr="00FF21CE"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18"/>
          <w:szCs w:val="18"/>
        </w:rPr>
      </w:pPr>
      <w:r w:rsidRPr="00FF21CE">
        <w:rPr>
          <w:rFonts w:ascii="Palatino Linotype" w:hAnsi="Palatino Linotype" w:cs="Georgia"/>
          <w:color w:val="000000"/>
          <w:sz w:val="18"/>
          <w:szCs w:val="18"/>
        </w:rPr>
        <w:lastRenderedPageBreak/>
        <w:t>A series of coefficients, unique to each model, was applied to these intermediate variables as a part of a regression analysis to estimate final metrics.</w:t>
      </w:r>
    </w:p>
    <w:p w:rsidR="003A7507" w:rsidRPr="00FF21CE"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18"/>
          <w:szCs w:val="18"/>
        </w:rPr>
      </w:pPr>
      <w:r w:rsidRPr="00FF21CE">
        <w:rPr>
          <w:rFonts w:ascii="Palatino Linotype" w:hAnsi="Palatino Linotype" w:cs="Georgia"/>
          <w:color w:val="000000"/>
          <w:sz w:val="18"/>
          <w:szCs w:val="18"/>
        </w:rPr>
        <w:t xml:space="preserve">As overweight and obesity rates are associated with numerous co-morbid health conditions, these weight metrics formed the basis for a series of post-process models predicting the adult incidence of type II diabetes, hypertension, coronary artery disease, osteoarthritis, chronic back pain, and colorectal and kidney cancer. Coefficients for these models were adapted from a range of published studies and validated and calibrated using CHIS data. </w:t>
      </w:r>
    </w:p>
    <w:p w:rsidR="003A7507" w:rsidRPr="00FF21CE"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18"/>
          <w:szCs w:val="18"/>
        </w:rPr>
      </w:pPr>
      <w:r w:rsidRPr="00FF21CE">
        <w:rPr>
          <w:rFonts w:ascii="Palatino Linotype" w:hAnsi="Palatino Linotype" w:cs="Georgia"/>
          <w:color w:val="000000"/>
          <w:sz w:val="18"/>
          <w:szCs w:val="18"/>
        </w:rPr>
        <w:t xml:space="preserve">Relationships derived from published studies were used to calculate three classes of per capita fiscal impacts of estimated weight and activity-based health conditions. These costs are expressed in constant dollars, and include: </w:t>
      </w:r>
    </w:p>
    <w:p w:rsidR="003A7507" w:rsidRPr="00FF21CE" w:rsidRDefault="003A7507" w:rsidP="003A7507">
      <w:pPr>
        <w:suppressAutoHyphens/>
        <w:autoSpaceDE w:val="0"/>
        <w:autoSpaceDN w:val="0"/>
        <w:adjustRightInd w:val="0"/>
        <w:spacing w:before="58" w:after="58" w:line="220" w:lineRule="atLeast"/>
        <w:ind w:left="360" w:hanging="360"/>
        <w:textAlignment w:val="center"/>
        <w:rPr>
          <w:rFonts w:ascii="Palatino Linotype" w:hAnsi="Palatino Linotype" w:cs="Georgia"/>
          <w:color w:val="000000"/>
          <w:sz w:val="18"/>
          <w:szCs w:val="18"/>
        </w:rPr>
      </w:pPr>
      <w:r w:rsidRPr="00FF21CE">
        <w:rPr>
          <w:rFonts w:ascii="Palatino Linotype" w:hAnsi="Palatino Linotype" w:cs="Georgia"/>
          <w:color w:val="000000"/>
          <w:sz w:val="18"/>
          <w:szCs w:val="18"/>
        </w:rPr>
        <w:t>Medical costs: direct capital expenses related to a medical condition, such as doctor and hospital visits, prescription medicine, emergency services, etc.</w:t>
      </w:r>
    </w:p>
    <w:p w:rsidR="003A7507" w:rsidRPr="00FF21CE" w:rsidRDefault="003A7507" w:rsidP="003A7507">
      <w:pPr>
        <w:suppressAutoHyphens/>
        <w:autoSpaceDE w:val="0"/>
        <w:autoSpaceDN w:val="0"/>
        <w:adjustRightInd w:val="0"/>
        <w:spacing w:before="58" w:after="58" w:line="220" w:lineRule="atLeast"/>
        <w:ind w:left="360" w:hanging="360"/>
        <w:textAlignment w:val="center"/>
        <w:rPr>
          <w:rFonts w:ascii="Palatino Linotype" w:hAnsi="Palatino Linotype" w:cs="Georgia"/>
          <w:color w:val="000000"/>
          <w:sz w:val="18"/>
          <w:szCs w:val="18"/>
        </w:rPr>
      </w:pPr>
      <w:r w:rsidRPr="00FF21CE">
        <w:rPr>
          <w:rFonts w:ascii="Palatino Linotype" w:hAnsi="Palatino Linotype" w:cs="Georgia"/>
          <w:color w:val="000000"/>
          <w:sz w:val="18"/>
          <w:szCs w:val="18"/>
        </w:rPr>
        <w:t>Productivity costs: indirect costs related to lost or reduced work productivity as a result of a medical condition.</w:t>
      </w:r>
    </w:p>
    <w:p w:rsidR="003A7507" w:rsidRPr="00FF21CE" w:rsidRDefault="003A7507" w:rsidP="003A7507">
      <w:pPr>
        <w:suppressAutoHyphens/>
        <w:autoSpaceDE w:val="0"/>
        <w:autoSpaceDN w:val="0"/>
        <w:adjustRightInd w:val="0"/>
        <w:spacing w:before="58" w:after="58" w:line="220" w:lineRule="atLeast"/>
        <w:ind w:left="360" w:hanging="360"/>
        <w:textAlignment w:val="center"/>
        <w:rPr>
          <w:rFonts w:ascii="Palatino Linotype" w:hAnsi="Palatino Linotype" w:cs="Georgia"/>
          <w:color w:val="000000"/>
          <w:sz w:val="18"/>
          <w:szCs w:val="18"/>
        </w:rPr>
      </w:pPr>
      <w:r w:rsidRPr="00FF21CE">
        <w:rPr>
          <w:rFonts w:ascii="Palatino Linotype" w:hAnsi="Palatino Linotype" w:cs="Georgia"/>
          <w:color w:val="000000"/>
          <w:sz w:val="18"/>
          <w:szCs w:val="18"/>
        </w:rPr>
        <w:t>Quality-adjusted life years (QALYs) lost: an estimate of the economic value of a reduction in quality-of-life years lost as a result of a medical condition.</w:t>
      </w:r>
    </w:p>
    <w:p w:rsidR="003A7507" w:rsidRPr="00FF21CE"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18"/>
          <w:szCs w:val="18"/>
        </w:rPr>
      </w:pPr>
      <w:r w:rsidRPr="00FF21CE">
        <w:rPr>
          <w:rFonts w:ascii="Palatino Linotype" w:hAnsi="Palatino Linotype" w:cs="Georgia"/>
          <w:color w:val="000000"/>
          <w:sz w:val="18"/>
          <w:szCs w:val="18"/>
        </w:rPr>
        <w:t>All public health models produce predictions that enable comparison not only across the range of future scenarios, but between base year and future states.</w:t>
      </w:r>
    </w:p>
    <w:p w:rsidR="003A7507" w:rsidRPr="00FF21CE" w:rsidRDefault="003A7507" w:rsidP="003A7507">
      <w:pPr>
        <w:autoSpaceDE w:val="0"/>
        <w:autoSpaceDN w:val="0"/>
        <w:adjustRightInd w:val="0"/>
        <w:spacing w:before="180" w:after="90" w:line="280" w:lineRule="atLeast"/>
        <w:jc w:val="both"/>
        <w:textAlignment w:val="center"/>
        <w:rPr>
          <w:rFonts w:ascii="Palatino Linotype" w:hAnsi="Palatino Linotype" w:cs="HelveticaNeueLT Std Cn"/>
          <w:b/>
          <w:bCs/>
          <w:i/>
          <w:iCs/>
          <w:color w:val="000000"/>
          <w:sz w:val="18"/>
          <w:szCs w:val="18"/>
        </w:rPr>
      </w:pPr>
      <w:r w:rsidRPr="00FF21CE">
        <w:rPr>
          <w:rFonts w:ascii="Palatino Linotype" w:hAnsi="Palatino Linotype" w:cs="HelveticaNeueLT Std Cn"/>
          <w:b/>
          <w:bCs/>
          <w:i/>
          <w:iCs/>
          <w:color w:val="000000"/>
          <w:sz w:val="18"/>
          <w:szCs w:val="18"/>
        </w:rPr>
        <w:t>Pedestrian Safety</w:t>
      </w:r>
    </w:p>
    <w:p w:rsidR="003A7507" w:rsidRPr="00FF21CE" w:rsidRDefault="003A7507" w:rsidP="00FF21CE">
      <w:pPr>
        <w:autoSpaceDE w:val="0"/>
        <w:autoSpaceDN w:val="0"/>
        <w:adjustRightInd w:val="0"/>
        <w:spacing w:before="90" w:after="90" w:line="220" w:lineRule="atLeast"/>
        <w:jc w:val="both"/>
        <w:textAlignment w:val="center"/>
        <w:rPr>
          <w:rFonts w:ascii="Palatino Linotype" w:hAnsi="Palatino Linotype" w:cs="Georgia"/>
          <w:color w:val="000000"/>
          <w:sz w:val="18"/>
          <w:szCs w:val="18"/>
        </w:rPr>
      </w:pPr>
      <w:proofErr w:type="spellStart"/>
      <w:r w:rsidRPr="00FF21CE">
        <w:rPr>
          <w:rFonts w:ascii="Palatino Linotype" w:hAnsi="Palatino Linotype" w:cs="Georgia"/>
          <w:color w:val="000000"/>
          <w:sz w:val="18"/>
          <w:szCs w:val="18"/>
        </w:rPr>
        <w:t>UrbanFootprint’s</w:t>
      </w:r>
      <w:proofErr w:type="spellEnd"/>
      <w:r w:rsidRPr="00FF21CE">
        <w:rPr>
          <w:rFonts w:ascii="Palatino Linotype" w:hAnsi="Palatino Linotype" w:cs="Georgia"/>
          <w:color w:val="000000"/>
          <w:sz w:val="18"/>
          <w:szCs w:val="18"/>
        </w:rPr>
        <w:t xml:space="preserve"> estimates of pedestrian-vehicle collisions are informed by data that associates per capita vehicle miles traveled (VMT) and pedestrian-auto collisions</w:t>
      </w:r>
      <w:r w:rsidRPr="00FF21CE">
        <w:rPr>
          <w:rFonts w:ascii="Palatino Linotype" w:hAnsi="Palatino Linotype" w:cs="Georgia"/>
          <w:color w:val="000000"/>
          <w:sz w:val="18"/>
          <w:szCs w:val="18"/>
          <w:vertAlign w:val="superscript"/>
        </w:rPr>
        <w:t>15</w:t>
      </w:r>
      <w:r w:rsidRPr="00FF21CE">
        <w:rPr>
          <w:rFonts w:ascii="Palatino Linotype" w:hAnsi="Palatino Linotype" w:cs="Georgia"/>
          <w:color w:val="000000"/>
          <w:sz w:val="18"/>
          <w:szCs w:val="18"/>
        </w:rPr>
        <w:t>. This data demonstrates a strong relationship between changes in per capita VMT and ch</w:t>
      </w:r>
      <w:r w:rsidR="00FF21CE" w:rsidRPr="00FF21CE">
        <w:rPr>
          <w:rFonts w:ascii="Palatino Linotype" w:hAnsi="Palatino Linotype" w:cs="Georgia"/>
          <w:color w:val="000000"/>
          <w:sz w:val="18"/>
          <w:szCs w:val="18"/>
        </w:rPr>
        <w:t>anges in per capita collisions.</w:t>
      </w:r>
    </w:p>
    <w:p w:rsidR="003A7507" w:rsidRPr="00FF21CE" w:rsidRDefault="003A7507" w:rsidP="003A7507">
      <w:pPr>
        <w:pStyle w:val="HELCaption"/>
        <w:suppressAutoHyphens/>
        <w:rPr>
          <w:rFonts w:ascii="Palatino Linotype" w:hAnsi="Palatino Linotype"/>
          <w:sz w:val="18"/>
          <w:szCs w:val="18"/>
        </w:rPr>
      </w:pPr>
      <w:r w:rsidRPr="00FF21CE">
        <w:rPr>
          <w:rFonts w:ascii="Palatino Linotype" w:hAnsi="Palatino Linotype"/>
          <w:i w:val="0"/>
          <w:iCs w:val="0"/>
          <w:sz w:val="18"/>
          <w:szCs w:val="18"/>
        </w:rPr>
        <w:t>[</w:t>
      </w:r>
      <w:proofErr w:type="gramStart"/>
      <w:r w:rsidRPr="00FF21CE">
        <w:rPr>
          <w:rFonts w:ascii="Palatino Linotype" w:hAnsi="Palatino Linotype"/>
          <w:i w:val="0"/>
          <w:iCs w:val="0"/>
          <w:sz w:val="18"/>
          <w:szCs w:val="18"/>
        </w:rPr>
        <w:t>caption</w:t>
      </w:r>
      <w:proofErr w:type="gramEnd"/>
      <w:r w:rsidRPr="00FF21CE">
        <w:rPr>
          <w:rFonts w:ascii="Palatino Linotype" w:hAnsi="Palatino Linotype"/>
          <w:i w:val="0"/>
          <w:iCs w:val="0"/>
          <w:sz w:val="18"/>
          <w:szCs w:val="18"/>
        </w:rPr>
        <w:t xml:space="preserve">] </w:t>
      </w:r>
      <w:proofErr w:type="spellStart"/>
      <w:r w:rsidRPr="00FF21CE">
        <w:rPr>
          <w:rFonts w:ascii="Palatino Linotype" w:hAnsi="Palatino Linotype"/>
          <w:sz w:val="18"/>
          <w:szCs w:val="18"/>
        </w:rPr>
        <w:t>UrbanFootprint</w:t>
      </w:r>
      <w:proofErr w:type="spellEnd"/>
      <w:r w:rsidRPr="00FF21CE">
        <w:rPr>
          <w:rFonts w:ascii="Palatino Linotype" w:hAnsi="Palatino Linotype"/>
          <w:sz w:val="18"/>
          <w:szCs w:val="18"/>
        </w:rPr>
        <w:t xml:space="preserve"> measures physical activity levels based on the urban form and demographic characteristics of scenarios.</w:t>
      </w:r>
    </w:p>
    <w:p w:rsidR="00FF21CE" w:rsidRPr="00FF21CE" w:rsidRDefault="00FF21CE">
      <w:pPr>
        <w:rPr>
          <w:rFonts w:ascii="Palatino Linotype" w:hAnsi="Palatino Linotype" w:cs="HelveticaNeueLT Std Lt Cn"/>
          <w:i/>
          <w:iCs/>
          <w:color w:val="000000"/>
          <w:sz w:val="20"/>
          <w:szCs w:val="20"/>
        </w:rPr>
        <w:sectPr w:rsidR="00FF21CE" w:rsidRPr="00FF21CE" w:rsidSect="00FF21CE">
          <w:type w:val="continuous"/>
          <w:pgSz w:w="12240" w:h="15840"/>
          <w:pgMar w:top="1440" w:right="1440" w:bottom="1440" w:left="1440" w:header="720" w:footer="720" w:gutter="0"/>
          <w:cols w:num="2" w:space="720"/>
          <w:docGrid w:linePitch="360"/>
        </w:sectPr>
      </w:pPr>
    </w:p>
    <w:p w:rsidR="003A7507" w:rsidRPr="00FF21CE" w:rsidRDefault="003A7507">
      <w:pPr>
        <w:rPr>
          <w:rFonts w:ascii="Palatino Linotype" w:hAnsi="Palatino Linotype" w:cs="HelveticaNeueLT Std Lt Cn"/>
          <w:i/>
          <w:iCs/>
          <w:color w:val="000000"/>
          <w:sz w:val="20"/>
          <w:szCs w:val="20"/>
        </w:rPr>
      </w:pPr>
      <w:r w:rsidRPr="00FF21CE">
        <w:rPr>
          <w:rFonts w:ascii="Palatino Linotype" w:hAnsi="Palatino Linotype" w:cs="HelveticaNeueLT Std Lt Cn"/>
          <w:i/>
          <w:iCs/>
          <w:color w:val="000000"/>
          <w:sz w:val="20"/>
          <w:szCs w:val="20"/>
        </w:rPr>
        <w:lastRenderedPageBreak/>
        <w:br w:type="page"/>
      </w:r>
    </w:p>
    <w:p w:rsidR="003A7507" w:rsidRPr="003A7507"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24"/>
          <w:szCs w:val="24"/>
        </w:rPr>
      </w:pPr>
      <w:proofErr w:type="spellStart"/>
      <w:r w:rsidRPr="003A7507">
        <w:rPr>
          <w:rFonts w:ascii="Palatino Linotype" w:hAnsi="Palatino Linotype" w:cs="Georgia"/>
          <w:color w:val="000000"/>
          <w:sz w:val="24"/>
          <w:szCs w:val="24"/>
        </w:rPr>
        <w:lastRenderedPageBreak/>
        <w:t>UrbanFootprint’s</w:t>
      </w:r>
      <w:proofErr w:type="spellEnd"/>
      <w:r w:rsidRPr="003A7507">
        <w:rPr>
          <w:rFonts w:ascii="Palatino Linotype" w:hAnsi="Palatino Linotype" w:cs="Georgia"/>
          <w:color w:val="000000"/>
          <w:sz w:val="24"/>
          <w:szCs w:val="24"/>
        </w:rPr>
        <w:t xml:space="preserve"> public health engine produces future scenario-wide estimates of pedestrian-auto collisions based on a predicted collision rate. A per capita collision rate is calculated by multiplying change in daily per capita VMT over time, as estimated by the </w:t>
      </w:r>
      <w:proofErr w:type="spellStart"/>
      <w:r w:rsidRPr="003A7507">
        <w:rPr>
          <w:rFonts w:ascii="Palatino Linotype" w:hAnsi="Palatino Linotype" w:cs="Georgia"/>
          <w:color w:val="000000"/>
          <w:sz w:val="24"/>
          <w:szCs w:val="24"/>
        </w:rPr>
        <w:t>UrbanFootprint</w:t>
      </w:r>
      <w:proofErr w:type="spellEnd"/>
      <w:r w:rsidRPr="003A7507">
        <w:rPr>
          <w:rFonts w:ascii="Palatino Linotype" w:hAnsi="Palatino Linotype" w:cs="Georgia"/>
          <w:color w:val="000000"/>
          <w:sz w:val="24"/>
          <w:szCs w:val="24"/>
        </w:rPr>
        <w:t xml:space="preserve"> travel engine, by the 2009 per capita California pedestrian-vehicle collision rate, as documented by California Highway Patrol data</w:t>
      </w:r>
      <w:r w:rsidRPr="00B866D9">
        <w:rPr>
          <w:rFonts w:ascii="Palatino Linotype" w:hAnsi="Palatino Linotype" w:cs="Georgia"/>
          <w:color w:val="000000"/>
          <w:sz w:val="24"/>
          <w:szCs w:val="24"/>
          <w:vertAlign w:val="superscript"/>
        </w:rPr>
        <w:t>16</w:t>
      </w:r>
      <w:r w:rsidRPr="003A7507">
        <w:rPr>
          <w:rFonts w:ascii="Palatino Linotype" w:hAnsi="Palatino Linotype" w:cs="Georgia"/>
          <w:color w:val="000000"/>
          <w:sz w:val="24"/>
          <w:szCs w:val="24"/>
        </w:rPr>
        <w:t>. A scenario’s collision incidence is calculated by multiplying this rate by future population.</w:t>
      </w:r>
    </w:p>
    <w:p w:rsidR="003A7507" w:rsidRPr="003A7507"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24"/>
          <w:szCs w:val="24"/>
        </w:rPr>
      </w:pPr>
      <w:r w:rsidRPr="003A7507">
        <w:rPr>
          <w:rFonts w:ascii="Palatino Linotype" w:hAnsi="Palatino Linotype" w:cs="Georgia"/>
          <w:color w:val="000000"/>
          <w:sz w:val="24"/>
          <w:szCs w:val="24"/>
        </w:rPr>
        <w:t>As with weight and activity-related conditions, cost factors for medical costs, productivity costs, and QUALYs lost are applied to pedestrian-vehicle collisions to produce estimates of the fiscal impacts of a scenario’s pedestrian-vehicle collisions estimates.</w:t>
      </w:r>
    </w:p>
    <w:p w:rsidR="003A7507" w:rsidRPr="003A7507"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24"/>
          <w:szCs w:val="24"/>
        </w:rPr>
      </w:pPr>
    </w:p>
    <w:p w:rsidR="003A7507" w:rsidRPr="003A7507" w:rsidRDefault="003A7507" w:rsidP="003A7507">
      <w:pPr>
        <w:autoSpaceDE w:val="0"/>
        <w:autoSpaceDN w:val="0"/>
        <w:adjustRightInd w:val="0"/>
        <w:spacing w:before="180" w:after="90" w:line="280" w:lineRule="atLeast"/>
        <w:jc w:val="both"/>
        <w:textAlignment w:val="center"/>
        <w:rPr>
          <w:rFonts w:ascii="Palatino Linotype" w:hAnsi="Palatino Linotype" w:cs="HelveticaNeueLT Std Cn"/>
          <w:b/>
          <w:bCs/>
          <w:i/>
          <w:iCs/>
          <w:color w:val="000000"/>
          <w:sz w:val="24"/>
          <w:szCs w:val="24"/>
        </w:rPr>
      </w:pPr>
      <w:r w:rsidRPr="003A7507">
        <w:rPr>
          <w:rFonts w:ascii="Palatino Linotype" w:hAnsi="Palatino Linotype" w:cs="HelveticaNeueLT Std Cn"/>
          <w:b/>
          <w:bCs/>
          <w:i/>
          <w:iCs/>
          <w:color w:val="000000"/>
          <w:sz w:val="24"/>
          <w:szCs w:val="24"/>
        </w:rPr>
        <w:t>Respiratory Impacts</w:t>
      </w:r>
    </w:p>
    <w:p w:rsidR="003A7507" w:rsidRPr="003A7507"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24"/>
          <w:szCs w:val="24"/>
        </w:rPr>
      </w:pPr>
      <w:proofErr w:type="spellStart"/>
      <w:r w:rsidRPr="003A7507">
        <w:rPr>
          <w:rFonts w:ascii="Palatino Linotype" w:hAnsi="Palatino Linotype" w:cs="Georgia"/>
          <w:color w:val="000000"/>
          <w:sz w:val="24"/>
          <w:szCs w:val="24"/>
        </w:rPr>
        <w:t>UrbanFootprint</w:t>
      </w:r>
      <w:proofErr w:type="spellEnd"/>
      <w:r w:rsidRPr="003A7507">
        <w:rPr>
          <w:rFonts w:ascii="Palatino Linotype" w:hAnsi="Palatino Linotype" w:cs="Georgia"/>
          <w:color w:val="000000"/>
          <w:sz w:val="24"/>
          <w:szCs w:val="24"/>
        </w:rPr>
        <w:t xml:space="preserve"> calculates the public health impacts of automobile transportation-related air pollution. The number of health incidences, and their related costs, are calculated on the basis of criteria air pollutant emissions (measured in tons). Note that these metrics express differences among scenarios, rather than measurements of total health incidences or costs.</w:t>
      </w:r>
    </w:p>
    <w:p w:rsidR="003A7507" w:rsidRPr="003A7507"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24"/>
          <w:szCs w:val="24"/>
        </w:rPr>
      </w:pPr>
      <w:proofErr w:type="spellStart"/>
      <w:r w:rsidRPr="003A7507">
        <w:rPr>
          <w:rFonts w:ascii="Palatino Linotype" w:hAnsi="Palatino Linotype" w:cs="Georgia"/>
          <w:color w:val="000000"/>
          <w:sz w:val="24"/>
          <w:szCs w:val="24"/>
        </w:rPr>
        <w:t>UrbanFootprint’s</w:t>
      </w:r>
      <w:proofErr w:type="spellEnd"/>
      <w:r w:rsidRPr="003A7507">
        <w:rPr>
          <w:rFonts w:ascii="Palatino Linotype" w:hAnsi="Palatino Linotype" w:cs="Georgia"/>
          <w:color w:val="000000"/>
          <w:sz w:val="24"/>
          <w:szCs w:val="24"/>
        </w:rPr>
        <w:t xml:space="preserve"> respiratory health assumptions were initially developed by TIAX LLC for the American Lung Association. Health incidence and valuation assumptions are based on research and national data from the EPA, Office of Air Quality Planning &amp; Standards, Air Benefit and Cost Group</w:t>
      </w:r>
      <w:r w:rsidRPr="00B866D9">
        <w:rPr>
          <w:rFonts w:ascii="Palatino Linotype" w:hAnsi="Palatino Linotype" w:cs="Georgia"/>
          <w:color w:val="000000"/>
          <w:sz w:val="24"/>
          <w:szCs w:val="24"/>
          <w:vertAlign w:val="superscript"/>
        </w:rPr>
        <w:t>17, 18</w:t>
      </w:r>
      <w:r w:rsidRPr="003A7507">
        <w:rPr>
          <w:rFonts w:ascii="Palatino Linotype" w:hAnsi="Palatino Linotype" w:cs="Georgia"/>
          <w:color w:val="000000"/>
          <w:sz w:val="24"/>
          <w:szCs w:val="24"/>
        </w:rPr>
        <w:t xml:space="preserve">. Version 1.0 of the model includes system-wide respiratory impacts. That is, it examines the respiratory impacts and costs associated with changes in overall VMT and pollutant emissions. Model advancements will allow for additional measurements of geographically-specific emissions and their associated health impacts. </w:t>
      </w:r>
    </w:p>
    <w:p w:rsidR="003A7507" w:rsidRPr="003A7507"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24"/>
          <w:szCs w:val="24"/>
        </w:rPr>
      </w:pPr>
      <w:r w:rsidRPr="003A7507">
        <w:rPr>
          <w:rFonts w:ascii="Palatino Linotype" w:hAnsi="Palatino Linotype" w:cs="Georgia"/>
          <w:color w:val="000000"/>
          <w:sz w:val="24"/>
          <w:szCs w:val="24"/>
        </w:rPr>
        <w:t>Respiratory health incidences include cases of: premature mortality; chronic bronchitis; acute myocardial infarction; respiratory and cardiovascular hospitalizations; respiratory-related ER visits; acute bronchitis; work loss days; asthma exacerbation; and acute, lower, and upper respiratory symptoms. Per-ton assumptions for each of these incidences are individually applied to emissions of the following criteria pollutants: PM</w:t>
      </w:r>
      <w:r w:rsidRPr="003A7507">
        <w:rPr>
          <w:rFonts w:ascii="Palatino Linotype" w:hAnsi="Palatino Linotype" w:cs="Georgia"/>
          <w:color w:val="000000"/>
          <w:sz w:val="24"/>
          <w:szCs w:val="24"/>
          <w:vertAlign w:val="subscript"/>
        </w:rPr>
        <w:t>2.5</w:t>
      </w:r>
      <w:r w:rsidRPr="003A7507">
        <w:rPr>
          <w:rFonts w:ascii="Palatino Linotype" w:hAnsi="Palatino Linotype" w:cs="Georgia"/>
          <w:color w:val="000000"/>
          <w:sz w:val="24"/>
          <w:szCs w:val="24"/>
        </w:rPr>
        <w:t xml:space="preserve">, </w:t>
      </w:r>
      <w:proofErr w:type="spellStart"/>
      <w:r w:rsidRPr="003A7507">
        <w:rPr>
          <w:rFonts w:ascii="Palatino Linotype" w:hAnsi="Palatino Linotype" w:cs="Georgia"/>
          <w:color w:val="000000"/>
          <w:sz w:val="24"/>
          <w:szCs w:val="24"/>
        </w:rPr>
        <w:t>SO</w:t>
      </w:r>
      <w:r w:rsidRPr="003A7507">
        <w:rPr>
          <w:rFonts w:ascii="Palatino Linotype" w:hAnsi="Palatino Linotype" w:cs="Georgia"/>
          <w:color w:val="000000"/>
          <w:sz w:val="24"/>
          <w:szCs w:val="24"/>
          <w:vertAlign w:val="subscript"/>
        </w:rPr>
        <w:t>x</w:t>
      </w:r>
      <w:proofErr w:type="spellEnd"/>
      <w:r w:rsidRPr="003A7507">
        <w:rPr>
          <w:rFonts w:ascii="Palatino Linotype" w:hAnsi="Palatino Linotype" w:cs="Georgia"/>
          <w:color w:val="000000"/>
          <w:sz w:val="24"/>
          <w:szCs w:val="24"/>
        </w:rPr>
        <w:t xml:space="preserve">, </w:t>
      </w:r>
      <w:proofErr w:type="spellStart"/>
      <w:r w:rsidRPr="003A7507">
        <w:rPr>
          <w:rFonts w:ascii="Palatino Linotype" w:hAnsi="Palatino Linotype" w:cs="Georgia"/>
          <w:color w:val="000000"/>
          <w:sz w:val="24"/>
          <w:szCs w:val="24"/>
        </w:rPr>
        <w:t>NO</w:t>
      </w:r>
      <w:r w:rsidRPr="003A7507">
        <w:rPr>
          <w:rFonts w:ascii="Palatino Linotype" w:hAnsi="Palatino Linotype" w:cs="Georgia"/>
          <w:color w:val="000000"/>
          <w:sz w:val="24"/>
          <w:szCs w:val="24"/>
          <w:vertAlign w:val="subscript"/>
        </w:rPr>
        <w:t>x</w:t>
      </w:r>
      <w:proofErr w:type="spellEnd"/>
      <w:r w:rsidRPr="003A7507">
        <w:rPr>
          <w:rFonts w:ascii="Palatino Linotype" w:hAnsi="Palatino Linotype" w:cs="Georgia"/>
          <w:color w:val="000000"/>
          <w:sz w:val="24"/>
          <w:szCs w:val="24"/>
        </w:rPr>
        <w:t xml:space="preserve">, and VOC. The incidences are then totaled. </w:t>
      </w:r>
    </w:p>
    <w:p w:rsidR="003A7507" w:rsidRPr="003A7507"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24"/>
          <w:szCs w:val="24"/>
        </w:rPr>
      </w:pPr>
      <w:r w:rsidRPr="003A7507">
        <w:rPr>
          <w:rFonts w:ascii="Palatino Linotype" w:hAnsi="Palatino Linotype" w:cs="Georgia"/>
          <w:color w:val="000000"/>
          <w:sz w:val="24"/>
          <w:szCs w:val="24"/>
        </w:rPr>
        <w:t>Respiratory health costs are based on per-ton valuations of emissions of the following pollutants: PM</w:t>
      </w:r>
      <w:r w:rsidRPr="003A7507">
        <w:rPr>
          <w:rFonts w:ascii="Palatino Linotype" w:hAnsi="Palatino Linotype" w:cs="Georgia"/>
          <w:color w:val="000000"/>
          <w:sz w:val="24"/>
          <w:szCs w:val="24"/>
          <w:vertAlign w:val="subscript"/>
        </w:rPr>
        <w:t>2.5</w:t>
      </w:r>
      <w:r w:rsidRPr="003A7507">
        <w:rPr>
          <w:rFonts w:ascii="Palatino Linotype" w:hAnsi="Palatino Linotype" w:cs="Georgia"/>
          <w:color w:val="000000"/>
          <w:sz w:val="24"/>
          <w:szCs w:val="24"/>
        </w:rPr>
        <w:t xml:space="preserve">, </w:t>
      </w:r>
      <w:proofErr w:type="spellStart"/>
      <w:r w:rsidRPr="003A7507">
        <w:rPr>
          <w:rFonts w:ascii="Palatino Linotype" w:hAnsi="Palatino Linotype" w:cs="Georgia"/>
          <w:color w:val="000000"/>
          <w:sz w:val="24"/>
          <w:szCs w:val="24"/>
        </w:rPr>
        <w:t>SO</w:t>
      </w:r>
      <w:r w:rsidRPr="003A7507">
        <w:rPr>
          <w:rFonts w:ascii="Palatino Linotype" w:hAnsi="Palatino Linotype" w:cs="Georgia"/>
          <w:color w:val="000000"/>
          <w:sz w:val="24"/>
          <w:szCs w:val="24"/>
          <w:vertAlign w:val="subscript"/>
        </w:rPr>
        <w:t>x</w:t>
      </w:r>
      <w:proofErr w:type="spellEnd"/>
      <w:r w:rsidRPr="003A7507">
        <w:rPr>
          <w:rFonts w:ascii="Palatino Linotype" w:hAnsi="Palatino Linotype" w:cs="Georgia"/>
          <w:color w:val="000000"/>
          <w:sz w:val="24"/>
          <w:szCs w:val="24"/>
        </w:rPr>
        <w:t xml:space="preserve">, </w:t>
      </w:r>
      <w:proofErr w:type="spellStart"/>
      <w:r w:rsidRPr="003A7507">
        <w:rPr>
          <w:rFonts w:ascii="Palatino Linotype" w:hAnsi="Palatino Linotype" w:cs="Georgia"/>
          <w:color w:val="000000"/>
          <w:sz w:val="24"/>
          <w:szCs w:val="24"/>
        </w:rPr>
        <w:t>NO</w:t>
      </w:r>
      <w:r w:rsidRPr="003A7507">
        <w:rPr>
          <w:rFonts w:ascii="Palatino Linotype" w:hAnsi="Palatino Linotype" w:cs="Georgia"/>
          <w:color w:val="000000"/>
          <w:sz w:val="24"/>
          <w:szCs w:val="24"/>
          <w:vertAlign w:val="subscript"/>
        </w:rPr>
        <w:t>x</w:t>
      </w:r>
      <w:proofErr w:type="spellEnd"/>
      <w:r w:rsidRPr="003A7507">
        <w:rPr>
          <w:rFonts w:ascii="Palatino Linotype" w:hAnsi="Palatino Linotype" w:cs="Georgia"/>
          <w:color w:val="000000"/>
          <w:sz w:val="24"/>
          <w:szCs w:val="24"/>
        </w:rPr>
        <w:t xml:space="preserve">, CO, VOC, and indirect PM from </w:t>
      </w:r>
      <w:proofErr w:type="spellStart"/>
      <w:r w:rsidRPr="003A7507">
        <w:rPr>
          <w:rFonts w:ascii="Palatino Linotype" w:hAnsi="Palatino Linotype" w:cs="Georgia"/>
          <w:color w:val="000000"/>
          <w:sz w:val="24"/>
          <w:szCs w:val="24"/>
        </w:rPr>
        <w:t>NO</w:t>
      </w:r>
      <w:r w:rsidRPr="003A7507">
        <w:rPr>
          <w:rFonts w:ascii="Palatino Linotype" w:hAnsi="Palatino Linotype" w:cs="Georgia"/>
          <w:color w:val="000000"/>
          <w:sz w:val="24"/>
          <w:szCs w:val="24"/>
          <w:vertAlign w:val="subscript"/>
        </w:rPr>
        <w:t>x</w:t>
      </w:r>
      <w:proofErr w:type="spellEnd"/>
      <w:r w:rsidRPr="003A7507">
        <w:rPr>
          <w:rFonts w:ascii="Palatino Linotype" w:hAnsi="Palatino Linotype" w:cs="Georgia"/>
          <w:color w:val="000000"/>
          <w:sz w:val="24"/>
          <w:szCs w:val="24"/>
        </w:rPr>
        <w:t xml:space="preserve">, </w:t>
      </w:r>
      <w:proofErr w:type="spellStart"/>
      <w:r w:rsidRPr="003A7507">
        <w:rPr>
          <w:rFonts w:ascii="Palatino Linotype" w:hAnsi="Palatino Linotype" w:cs="Georgia"/>
          <w:color w:val="000000"/>
          <w:sz w:val="24"/>
          <w:szCs w:val="24"/>
        </w:rPr>
        <w:t>SO</w:t>
      </w:r>
      <w:r w:rsidRPr="003A7507">
        <w:rPr>
          <w:rFonts w:ascii="Palatino Linotype" w:hAnsi="Palatino Linotype" w:cs="Georgia"/>
          <w:color w:val="000000"/>
          <w:sz w:val="24"/>
          <w:szCs w:val="24"/>
          <w:vertAlign w:val="subscript"/>
        </w:rPr>
        <w:t>x</w:t>
      </w:r>
      <w:proofErr w:type="spellEnd"/>
      <w:r w:rsidRPr="003A7507">
        <w:rPr>
          <w:rFonts w:ascii="Palatino Linotype" w:hAnsi="Palatino Linotype" w:cs="Georgia"/>
          <w:color w:val="000000"/>
          <w:sz w:val="24"/>
          <w:szCs w:val="24"/>
        </w:rPr>
        <w:t>, and VOC. As for health incidences, these valuations are applied to emissions of individual pollutants, and then totaled.</w:t>
      </w:r>
    </w:p>
    <w:p w:rsidR="003A7507" w:rsidRPr="003A7507" w:rsidRDefault="003A7507" w:rsidP="003A7507">
      <w:pPr>
        <w:autoSpaceDE w:val="0"/>
        <w:autoSpaceDN w:val="0"/>
        <w:adjustRightInd w:val="0"/>
        <w:spacing w:before="90" w:after="90" w:line="220" w:lineRule="atLeast"/>
        <w:jc w:val="both"/>
        <w:textAlignment w:val="center"/>
        <w:rPr>
          <w:rFonts w:ascii="Palatino Linotype" w:hAnsi="Palatino Linotype" w:cs="Georgia"/>
          <w:color w:val="000000"/>
          <w:sz w:val="24"/>
          <w:szCs w:val="24"/>
        </w:rPr>
      </w:pPr>
    </w:p>
    <w:p w:rsidR="003A7507" w:rsidRPr="00B866D9" w:rsidRDefault="003A7507">
      <w:pPr>
        <w:rPr>
          <w:rFonts w:ascii="Palatino Linotype" w:hAnsi="Palatino Linotype" w:cs="HelveticaNeueLT Std Lt Cn"/>
          <w:i/>
          <w:iCs/>
          <w:color w:val="000000"/>
          <w:sz w:val="24"/>
          <w:szCs w:val="24"/>
        </w:rPr>
      </w:pPr>
      <w:r w:rsidRPr="00B866D9">
        <w:rPr>
          <w:rFonts w:ascii="Palatino Linotype" w:hAnsi="Palatino Linotype" w:cs="HelveticaNeueLT Std Lt Cn"/>
          <w:i/>
          <w:iCs/>
          <w:color w:val="000000"/>
          <w:sz w:val="24"/>
          <w:szCs w:val="24"/>
        </w:rPr>
        <w:br w:type="page"/>
      </w:r>
    </w:p>
    <w:p w:rsidR="003A7507" w:rsidRPr="00B866D9" w:rsidRDefault="003A7507" w:rsidP="00DE3163">
      <w:pPr>
        <w:pStyle w:val="Heading1"/>
      </w:pPr>
      <w:r w:rsidRPr="00B866D9">
        <w:lastRenderedPageBreak/>
        <w:t>Endnotes and References</w:t>
      </w:r>
    </w:p>
    <w:p w:rsidR="00DE3163" w:rsidRDefault="00DE3163" w:rsidP="003A7507">
      <w:pPr>
        <w:pStyle w:val="Referencelist-Georgia"/>
        <w:rPr>
          <w:rFonts w:ascii="Palatino Linotype" w:hAnsi="Palatino Linotype"/>
          <w:sz w:val="24"/>
          <w:szCs w:val="24"/>
        </w:rPr>
        <w:sectPr w:rsidR="00DE3163" w:rsidSect="000248A3">
          <w:type w:val="continuous"/>
          <w:pgSz w:w="12240" w:h="15840"/>
          <w:pgMar w:top="1440" w:right="1440" w:bottom="1440" w:left="1440" w:header="720" w:footer="720" w:gutter="0"/>
          <w:cols w:space="720"/>
          <w:docGrid w:linePitch="360"/>
        </w:sectPr>
      </w:pPr>
    </w:p>
    <w:p w:rsidR="003A7507" w:rsidRPr="00DE3163" w:rsidRDefault="003A7507" w:rsidP="003A7507">
      <w:pPr>
        <w:pStyle w:val="Referencelist-Georgia"/>
        <w:rPr>
          <w:rFonts w:ascii="Palatino Linotype" w:hAnsi="Palatino Linotype"/>
        </w:rPr>
      </w:pPr>
      <w:r w:rsidRPr="00DE3163">
        <w:rPr>
          <w:rFonts w:ascii="Palatino Linotype" w:hAnsi="Palatino Linotype"/>
        </w:rPr>
        <w:lastRenderedPageBreak/>
        <w:t xml:space="preserve">Berkeley-based firm Strategic Economics gathered data from representative cities throughout California to develop </w:t>
      </w:r>
      <w:proofErr w:type="gramStart"/>
      <w:r w:rsidRPr="00DE3163">
        <w:rPr>
          <w:rFonts w:ascii="Palatino Linotype" w:hAnsi="Palatino Linotype"/>
        </w:rPr>
        <w:t>a statewide fiscal impacts assumptions</w:t>
      </w:r>
      <w:proofErr w:type="gramEnd"/>
      <w:r w:rsidRPr="00DE3163">
        <w:rPr>
          <w:rFonts w:ascii="Palatino Linotype" w:hAnsi="Palatino Linotype"/>
        </w:rPr>
        <w:t xml:space="preserve"> set. Regional assumptions were also developed for the Southern California Association of Governments (SCAG) region.</w:t>
      </w:r>
    </w:p>
    <w:p w:rsidR="003A7507" w:rsidRPr="00DE3163" w:rsidRDefault="003A7507" w:rsidP="003A7507">
      <w:pPr>
        <w:pStyle w:val="Referencelist-Georgia"/>
        <w:rPr>
          <w:rFonts w:ascii="Palatino Linotype" w:hAnsi="Palatino Linotype"/>
        </w:rPr>
      </w:pPr>
      <w:proofErr w:type="gramStart"/>
      <w:r w:rsidRPr="00DE3163">
        <w:rPr>
          <w:rFonts w:ascii="Palatino Linotype" w:hAnsi="Palatino Linotype"/>
        </w:rPr>
        <w:t>California Energy Commission.</w:t>
      </w:r>
      <w:proofErr w:type="gramEnd"/>
      <w:r w:rsidRPr="00DE3163">
        <w:rPr>
          <w:rFonts w:ascii="Palatino Linotype" w:hAnsi="Palatino Linotype"/>
        </w:rPr>
        <w:t xml:space="preserve"> California Statewide Residential Appliance Saturation Survey (RASS). Sacramento: CEC. 2010.</w:t>
      </w:r>
    </w:p>
    <w:p w:rsidR="003A7507" w:rsidRPr="00DE3163" w:rsidRDefault="003A7507" w:rsidP="003A7507">
      <w:pPr>
        <w:pStyle w:val="Referencelist-Georgia"/>
        <w:rPr>
          <w:rFonts w:ascii="Palatino Linotype" w:hAnsi="Palatino Linotype"/>
        </w:rPr>
      </w:pPr>
      <w:proofErr w:type="gramStart"/>
      <w:r w:rsidRPr="00DE3163">
        <w:rPr>
          <w:rFonts w:ascii="Palatino Linotype" w:hAnsi="Palatino Linotype"/>
        </w:rPr>
        <w:t>California Energy Commission.</w:t>
      </w:r>
      <w:proofErr w:type="gramEnd"/>
      <w:r w:rsidRPr="00DE3163">
        <w:rPr>
          <w:rFonts w:ascii="Palatino Linotype" w:hAnsi="Palatino Linotype"/>
        </w:rPr>
        <w:t xml:space="preserve"> California Commercial End-Use Survey (CEUS). Sacramento: CEC. 2006.</w:t>
      </w:r>
    </w:p>
    <w:p w:rsidR="003A7507" w:rsidRPr="00DE3163" w:rsidRDefault="003A7507" w:rsidP="003A7507">
      <w:pPr>
        <w:pStyle w:val="Referencelist-Georgia"/>
        <w:rPr>
          <w:rFonts w:ascii="Palatino Linotype" w:hAnsi="Palatino Linotype"/>
        </w:rPr>
      </w:pPr>
      <w:proofErr w:type="gramStart"/>
      <w:r w:rsidRPr="00DE3163">
        <w:rPr>
          <w:rFonts w:ascii="Palatino Linotype" w:hAnsi="Palatino Linotype"/>
        </w:rPr>
        <w:t>California Irrigation Management Information System.</w:t>
      </w:r>
      <w:proofErr w:type="gramEnd"/>
      <w:r w:rsidRPr="00DE3163">
        <w:rPr>
          <w:rFonts w:ascii="Palatino Linotype" w:hAnsi="Palatino Linotype"/>
        </w:rPr>
        <w:t xml:space="preserve"> </w:t>
      </w:r>
      <w:proofErr w:type="gramStart"/>
      <w:r w:rsidRPr="00DE3163">
        <w:rPr>
          <w:rFonts w:ascii="Palatino Linotype" w:hAnsi="Palatino Linotype"/>
          <w:i/>
          <w:iCs/>
        </w:rPr>
        <w:t>Reference Evapotranspiration</w:t>
      </w:r>
      <w:r w:rsidRPr="00DE3163">
        <w:rPr>
          <w:rFonts w:ascii="Palatino Linotype" w:hAnsi="Palatino Linotype"/>
        </w:rPr>
        <w:t xml:space="preserve"> (map).</w:t>
      </w:r>
      <w:proofErr w:type="gramEnd"/>
      <w:r w:rsidRPr="00DE3163">
        <w:rPr>
          <w:rFonts w:ascii="Palatino Linotype" w:hAnsi="Palatino Linotype"/>
        </w:rPr>
        <w:t xml:space="preserve"> 1999.</w:t>
      </w:r>
    </w:p>
    <w:p w:rsidR="003A7507" w:rsidRPr="00DE3163" w:rsidRDefault="003A7507" w:rsidP="003A7507">
      <w:pPr>
        <w:pStyle w:val="Referencelist-Georgia"/>
        <w:rPr>
          <w:rFonts w:ascii="Palatino Linotype" w:hAnsi="Palatino Linotype"/>
        </w:rPr>
      </w:pPr>
      <w:proofErr w:type="gramStart"/>
      <w:r w:rsidRPr="00DE3163">
        <w:rPr>
          <w:rFonts w:ascii="Palatino Linotype" w:hAnsi="Palatino Linotype"/>
        </w:rPr>
        <w:t>Water price data from Public Policy Institute of California (PPIC) calculations using data from Black &amp; Veatch and U.S. Census.</w:t>
      </w:r>
      <w:proofErr w:type="gramEnd"/>
      <w:r w:rsidRPr="00DE3163">
        <w:rPr>
          <w:rFonts w:ascii="Palatino Linotype" w:hAnsi="Palatino Linotype"/>
        </w:rPr>
        <w:t xml:space="preserve"> </w:t>
      </w:r>
      <w:proofErr w:type="gramStart"/>
      <w:r w:rsidRPr="00DE3163">
        <w:rPr>
          <w:rFonts w:ascii="Palatino Linotype" w:hAnsi="Palatino Linotype"/>
          <w:i/>
          <w:iCs/>
        </w:rPr>
        <w:t>California Water Plan Update</w:t>
      </w:r>
      <w:r w:rsidRPr="00DE3163">
        <w:rPr>
          <w:rFonts w:ascii="Palatino Linotype" w:hAnsi="Palatino Linotype"/>
        </w:rPr>
        <w:t>.</w:t>
      </w:r>
      <w:proofErr w:type="gramEnd"/>
      <w:r w:rsidRPr="00DE3163">
        <w:rPr>
          <w:rFonts w:ascii="Palatino Linotype" w:hAnsi="Palatino Linotype"/>
        </w:rPr>
        <w:t xml:space="preserve"> </w:t>
      </w:r>
      <w:proofErr w:type="gramStart"/>
      <w:r w:rsidRPr="00DE3163">
        <w:rPr>
          <w:rFonts w:ascii="Palatino Linotype" w:hAnsi="Palatino Linotype"/>
        </w:rPr>
        <w:t>Department of Water Resources.</w:t>
      </w:r>
      <w:proofErr w:type="gramEnd"/>
      <w:r w:rsidRPr="00DE3163">
        <w:rPr>
          <w:rFonts w:ascii="Palatino Linotype" w:hAnsi="Palatino Linotype"/>
        </w:rPr>
        <w:t xml:space="preserve"> 2005.</w:t>
      </w:r>
    </w:p>
    <w:p w:rsidR="003A7507" w:rsidRPr="00DE3163" w:rsidRDefault="003A7507" w:rsidP="003A7507">
      <w:pPr>
        <w:pStyle w:val="Referencelist-Georgia"/>
        <w:rPr>
          <w:rFonts w:ascii="Palatino Linotype" w:hAnsi="Palatino Linotype"/>
        </w:rPr>
      </w:pPr>
      <w:proofErr w:type="gramStart"/>
      <w:r w:rsidRPr="00DE3163">
        <w:rPr>
          <w:rFonts w:ascii="Palatino Linotype" w:hAnsi="Palatino Linotype"/>
        </w:rPr>
        <w:t>Water energy intensities from California Energy Commission.</w:t>
      </w:r>
      <w:proofErr w:type="gramEnd"/>
      <w:r w:rsidRPr="00DE3163">
        <w:rPr>
          <w:rFonts w:ascii="Palatino Linotype" w:hAnsi="Palatino Linotype"/>
        </w:rPr>
        <w:t xml:space="preserve"> </w:t>
      </w:r>
      <w:r w:rsidRPr="00DE3163">
        <w:rPr>
          <w:rFonts w:ascii="Palatino Linotype" w:hAnsi="Palatino Linotype"/>
          <w:i/>
          <w:iCs/>
        </w:rPr>
        <w:t>California’s Water-Energy Relationship</w:t>
      </w:r>
      <w:r w:rsidRPr="00DE3163">
        <w:rPr>
          <w:rFonts w:ascii="Palatino Linotype" w:hAnsi="Palatino Linotype"/>
        </w:rPr>
        <w:t>. Sacramento: CEC. 2005.</w:t>
      </w:r>
    </w:p>
    <w:p w:rsidR="003A7507" w:rsidRPr="00DE3163" w:rsidRDefault="003A7507" w:rsidP="003A7507">
      <w:pPr>
        <w:pStyle w:val="Referencelist-Georgia"/>
        <w:rPr>
          <w:rFonts w:ascii="Palatino Linotype" w:hAnsi="Palatino Linotype"/>
        </w:rPr>
      </w:pPr>
      <w:r w:rsidRPr="00DE3163">
        <w:rPr>
          <w:rFonts w:ascii="Palatino Linotype" w:hAnsi="Palatino Linotype"/>
        </w:rPr>
        <w:t>References include:</w:t>
      </w:r>
    </w:p>
    <w:p w:rsidR="003A7507" w:rsidRPr="00DE3163" w:rsidRDefault="003A7507" w:rsidP="003A7507">
      <w:pPr>
        <w:pStyle w:val="Referencelist-Georgia"/>
        <w:spacing w:before="29"/>
        <w:ind w:left="540" w:hanging="180"/>
        <w:rPr>
          <w:rFonts w:ascii="Palatino Linotype" w:hAnsi="Palatino Linotype"/>
        </w:rPr>
      </w:pPr>
      <w:proofErr w:type="gramStart"/>
      <w:r w:rsidRPr="00DE3163">
        <w:rPr>
          <w:rFonts w:ascii="Palatino Linotype" w:hAnsi="Palatino Linotype"/>
        </w:rPr>
        <w:t xml:space="preserve">Ewing and </w:t>
      </w:r>
      <w:proofErr w:type="spellStart"/>
      <w:r w:rsidRPr="00DE3163">
        <w:rPr>
          <w:rFonts w:ascii="Palatino Linotype" w:hAnsi="Palatino Linotype"/>
        </w:rPr>
        <w:t>Cervero</w:t>
      </w:r>
      <w:proofErr w:type="spellEnd"/>
      <w:r w:rsidRPr="00DE3163">
        <w:rPr>
          <w:rFonts w:ascii="Palatino Linotype" w:hAnsi="Palatino Linotype"/>
        </w:rPr>
        <w:t>.</w:t>
      </w:r>
      <w:proofErr w:type="gramEnd"/>
      <w:r w:rsidRPr="00DE3163">
        <w:rPr>
          <w:rFonts w:ascii="Palatino Linotype" w:hAnsi="Palatino Linotype"/>
        </w:rPr>
        <w:t xml:space="preserve"> </w:t>
      </w:r>
      <w:proofErr w:type="gramStart"/>
      <w:r w:rsidRPr="00DE3163">
        <w:rPr>
          <w:rStyle w:val="italic"/>
          <w:rFonts w:ascii="Palatino Linotype" w:hAnsi="Palatino Linotype"/>
        </w:rPr>
        <w:t>Travel and the Built Environment</w:t>
      </w:r>
      <w:r w:rsidRPr="00DE3163">
        <w:rPr>
          <w:rFonts w:ascii="Palatino Linotype" w:hAnsi="Palatino Linotype"/>
        </w:rPr>
        <w:t>.</w:t>
      </w:r>
      <w:proofErr w:type="gramEnd"/>
      <w:r w:rsidRPr="00DE3163">
        <w:rPr>
          <w:rFonts w:ascii="Palatino Linotype" w:hAnsi="Palatino Linotype"/>
        </w:rPr>
        <w:t xml:space="preserve"> 2010.</w:t>
      </w:r>
    </w:p>
    <w:p w:rsidR="003A7507" w:rsidRPr="00DE3163" w:rsidRDefault="003A7507" w:rsidP="003A7507">
      <w:pPr>
        <w:pStyle w:val="Referencelist-Georgia"/>
        <w:spacing w:before="36"/>
        <w:ind w:left="540" w:hanging="180"/>
        <w:rPr>
          <w:rFonts w:ascii="Palatino Linotype" w:hAnsi="Palatino Linotype"/>
        </w:rPr>
      </w:pPr>
      <w:r w:rsidRPr="00DE3163">
        <w:rPr>
          <w:rFonts w:ascii="Palatino Linotype" w:hAnsi="Palatino Linotype"/>
        </w:rPr>
        <w:t xml:space="preserve">Ewing and Walters, et al. </w:t>
      </w:r>
      <w:r w:rsidRPr="00DE3163">
        <w:rPr>
          <w:rStyle w:val="italic"/>
          <w:rFonts w:ascii="Palatino Linotype" w:hAnsi="Palatino Linotype"/>
        </w:rPr>
        <w:t>Traffic Generated by Mixed-Use Developments—Six-Region Study</w:t>
      </w:r>
      <w:r w:rsidRPr="00DE3163">
        <w:rPr>
          <w:rFonts w:ascii="Palatino Linotype" w:hAnsi="Palatino Linotype"/>
        </w:rPr>
        <w:t>. 2011.</w:t>
      </w:r>
    </w:p>
    <w:p w:rsidR="003A7507" w:rsidRPr="00DE3163" w:rsidRDefault="003A7507" w:rsidP="003A7507">
      <w:pPr>
        <w:pStyle w:val="Referencelist-Georgia"/>
        <w:spacing w:before="36"/>
        <w:ind w:left="540" w:hanging="180"/>
        <w:rPr>
          <w:rFonts w:ascii="Palatino Linotype" w:hAnsi="Palatino Linotype"/>
        </w:rPr>
      </w:pPr>
      <w:proofErr w:type="gramStart"/>
      <w:r w:rsidRPr="00DE3163">
        <w:rPr>
          <w:rStyle w:val="italic"/>
          <w:rFonts w:ascii="Palatino Linotype" w:hAnsi="Palatino Linotype"/>
        </w:rPr>
        <w:t xml:space="preserve">2010 California Regional Transportation Plan </w:t>
      </w:r>
      <w:proofErr w:type="spellStart"/>
      <w:r w:rsidRPr="00DE3163">
        <w:rPr>
          <w:rStyle w:val="italic"/>
          <w:rFonts w:ascii="Palatino Linotype" w:hAnsi="Palatino Linotype"/>
        </w:rPr>
        <w:t>Guidelines</w:t>
      </w:r>
      <w:r w:rsidRPr="00DE3163">
        <w:rPr>
          <w:rFonts w:ascii="Palatino Linotype" w:hAnsi="Palatino Linotype"/>
        </w:rPr>
        <w:t>.California</w:t>
      </w:r>
      <w:proofErr w:type="spellEnd"/>
      <w:r w:rsidRPr="00DE3163">
        <w:rPr>
          <w:rFonts w:ascii="Palatino Linotype" w:hAnsi="Palatino Linotype"/>
        </w:rPr>
        <w:t xml:space="preserve"> Transportation Commission.</w:t>
      </w:r>
      <w:proofErr w:type="gramEnd"/>
      <w:r w:rsidRPr="00DE3163">
        <w:rPr>
          <w:rFonts w:ascii="Palatino Linotype" w:hAnsi="Palatino Linotype"/>
        </w:rPr>
        <w:t xml:space="preserve"> 2010.</w:t>
      </w:r>
    </w:p>
    <w:p w:rsidR="003A7507" w:rsidRPr="00DE3163" w:rsidRDefault="003A7507" w:rsidP="003A7507">
      <w:pPr>
        <w:pStyle w:val="Referencelist-Georgia"/>
        <w:spacing w:before="36"/>
        <w:ind w:left="540" w:hanging="180"/>
        <w:rPr>
          <w:rFonts w:ascii="Palatino Linotype" w:hAnsi="Palatino Linotype"/>
        </w:rPr>
      </w:pPr>
      <w:r w:rsidRPr="00DE3163">
        <w:rPr>
          <w:rFonts w:ascii="Palatino Linotype" w:hAnsi="Palatino Linotype"/>
        </w:rPr>
        <w:t xml:space="preserve">Caltrans, DKS. </w:t>
      </w:r>
      <w:proofErr w:type="gramStart"/>
      <w:r w:rsidRPr="00DE3163">
        <w:rPr>
          <w:rStyle w:val="italic"/>
          <w:rFonts w:ascii="Palatino Linotype" w:hAnsi="Palatino Linotype"/>
        </w:rPr>
        <w:t>Assessment of Local Models and Tools for Analyzing Smart-Growth Strategies</w:t>
      </w:r>
      <w:r w:rsidRPr="00DE3163">
        <w:rPr>
          <w:rFonts w:ascii="Palatino Linotype" w:hAnsi="Palatino Linotype"/>
        </w:rPr>
        <w:t>.</w:t>
      </w:r>
      <w:proofErr w:type="gramEnd"/>
      <w:r w:rsidRPr="00DE3163">
        <w:rPr>
          <w:rFonts w:ascii="Palatino Linotype" w:hAnsi="Palatino Linotype"/>
        </w:rPr>
        <w:t xml:space="preserve"> 2007.</w:t>
      </w:r>
    </w:p>
    <w:p w:rsidR="003A7507" w:rsidRPr="00DE3163" w:rsidRDefault="003A7507" w:rsidP="003A7507">
      <w:pPr>
        <w:pStyle w:val="Referencelist-Georgia"/>
        <w:spacing w:before="36"/>
        <w:ind w:left="540" w:hanging="180"/>
        <w:rPr>
          <w:rFonts w:ascii="Palatino Linotype" w:hAnsi="Palatino Linotype"/>
        </w:rPr>
      </w:pPr>
      <w:r w:rsidRPr="00DE3163">
        <w:rPr>
          <w:rFonts w:ascii="Palatino Linotype" w:hAnsi="Palatino Linotype"/>
        </w:rPr>
        <w:t xml:space="preserve">Ewing and Walters; </w:t>
      </w:r>
      <w:proofErr w:type="gramStart"/>
      <w:r w:rsidRPr="00DE3163">
        <w:rPr>
          <w:rFonts w:ascii="Palatino Linotype" w:hAnsi="Palatino Linotype"/>
        </w:rPr>
        <w:t>et</w:t>
      </w:r>
      <w:proofErr w:type="gramEnd"/>
      <w:r w:rsidRPr="00DE3163">
        <w:rPr>
          <w:rFonts w:ascii="Palatino Linotype" w:hAnsi="Palatino Linotype"/>
        </w:rPr>
        <w:t xml:space="preserve">. </w:t>
      </w:r>
      <w:proofErr w:type="gramStart"/>
      <w:r w:rsidRPr="00DE3163">
        <w:rPr>
          <w:rFonts w:ascii="Palatino Linotype" w:hAnsi="Palatino Linotype"/>
        </w:rPr>
        <w:t>al</w:t>
      </w:r>
      <w:proofErr w:type="gramEnd"/>
      <w:r w:rsidRPr="00DE3163">
        <w:rPr>
          <w:rFonts w:ascii="Palatino Linotype" w:hAnsi="Palatino Linotype"/>
        </w:rPr>
        <w:t xml:space="preserve">. </w:t>
      </w:r>
      <w:r w:rsidRPr="00DE3163">
        <w:rPr>
          <w:rStyle w:val="italic"/>
          <w:rFonts w:ascii="Palatino Linotype" w:hAnsi="Palatino Linotype"/>
        </w:rPr>
        <w:t>Growing Cooler – The Evidence on Urban Development and Climate Change</w:t>
      </w:r>
      <w:r w:rsidRPr="00DE3163">
        <w:rPr>
          <w:rFonts w:ascii="Palatino Linotype" w:hAnsi="Palatino Linotype"/>
        </w:rPr>
        <w:t>. 2008.</w:t>
      </w:r>
    </w:p>
    <w:p w:rsidR="003A7507" w:rsidRPr="00DE3163" w:rsidRDefault="003A7507" w:rsidP="003A7507">
      <w:pPr>
        <w:pStyle w:val="Referencelist-Georgia"/>
        <w:spacing w:before="36"/>
        <w:ind w:left="540" w:hanging="180"/>
        <w:rPr>
          <w:rFonts w:ascii="Palatino Linotype" w:hAnsi="Palatino Linotype"/>
        </w:rPr>
      </w:pPr>
      <w:proofErr w:type="gramStart"/>
      <w:r w:rsidRPr="00DE3163">
        <w:rPr>
          <w:rFonts w:ascii="Palatino Linotype" w:hAnsi="Palatino Linotype"/>
        </w:rPr>
        <w:t>California Air Pollution Control Officers Association.</w:t>
      </w:r>
      <w:proofErr w:type="gramEnd"/>
      <w:r w:rsidRPr="00DE3163">
        <w:rPr>
          <w:rFonts w:ascii="Palatino Linotype" w:hAnsi="Palatino Linotype"/>
        </w:rPr>
        <w:t xml:space="preserve"> </w:t>
      </w:r>
      <w:proofErr w:type="gramStart"/>
      <w:r w:rsidRPr="00DE3163">
        <w:rPr>
          <w:rStyle w:val="italic"/>
          <w:rFonts w:ascii="Palatino Linotype" w:hAnsi="Palatino Linotype"/>
        </w:rPr>
        <w:t>Guidelines for Quantifying the GHG Effects of Transportation Mitigation</w:t>
      </w:r>
      <w:r w:rsidRPr="00DE3163">
        <w:rPr>
          <w:rFonts w:ascii="Palatino Linotype" w:hAnsi="Palatino Linotype"/>
        </w:rPr>
        <w:t>.</w:t>
      </w:r>
      <w:proofErr w:type="gramEnd"/>
      <w:r w:rsidRPr="00DE3163">
        <w:rPr>
          <w:rFonts w:ascii="Palatino Linotype" w:hAnsi="Palatino Linotype"/>
        </w:rPr>
        <w:t xml:space="preserve"> 2010.</w:t>
      </w:r>
    </w:p>
    <w:p w:rsidR="003A7507" w:rsidRPr="00DE3163" w:rsidRDefault="003A7507" w:rsidP="003A7507">
      <w:pPr>
        <w:pStyle w:val="Referencelist-Georgia"/>
        <w:rPr>
          <w:rFonts w:ascii="Palatino Linotype" w:hAnsi="Palatino Linotype"/>
        </w:rPr>
      </w:pPr>
      <w:r w:rsidRPr="00DE3163">
        <w:rPr>
          <w:rFonts w:ascii="Palatino Linotype" w:hAnsi="Palatino Linotype"/>
        </w:rPr>
        <w:t xml:space="preserve">Vehicle miles traveled (VMT) for both the regional transportation models and </w:t>
      </w:r>
      <w:proofErr w:type="spellStart"/>
      <w:r w:rsidRPr="00DE3163">
        <w:rPr>
          <w:rFonts w:ascii="Palatino Linotype" w:hAnsi="Palatino Linotype"/>
        </w:rPr>
        <w:t>UrbanFootprint</w:t>
      </w:r>
      <w:proofErr w:type="spellEnd"/>
      <w:r w:rsidRPr="00DE3163">
        <w:rPr>
          <w:rFonts w:ascii="Palatino Linotype" w:hAnsi="Palatino Linotype"/>
        </w:rPr>
        <w:t xml:space="preserve"> were calculated using the “origin-destination” method as recommended by the California Air Resource Board’s Regional Targets Advisory Committee. VMT attributable to land uses within a region were calculated as the VMT resulting from all trips traveling between origins and destinations within the region, and 50% of the VMT generated by trips with one end in the region and the other end outside the region. VMT due to trips traveling through the region without a stop in the region were not included.</w:t>
      </w:r>
    </w:p>
    <w:p w:rsidR="003A7507" w:rsidRPr="00DE3163" w:rsidRDefault="003A7507" w:rsidP="003A7507">
      <w:pPr>
        <w:pStyle w:val="Referencelist-Georgia"/>
        <w:rPr>
          <w:rFonts w:ascii="Palatino Linotype" w:hAnsi="Palatino Linotype"/>
        </w:rPr>
      </w:pPr>
      <w:proofErr w:type="spellStart"/>
      <w:r w:rsidRPr="00DE3163">
        <w:rPr>
          <w:rFonts w:ascii="Palatino Linotype" w:hAnsi="Palatino Linotype"/>
        </w:rPr>
        <w:t>Holtzclaw</w:t>
      </w:r>
      <w:proofErr w:type="spellEnd"/>
      <w:r w:rsidRPr="00DE3163">
        <w:rPr>
          <w:rFonts w:ascii="Palatino Linotype" w:hAnsi="Palatino Linotype"/>
        </w:rPr>
        <w:t>, J. VMT Analysis based on DMV Odometer Readings (data only). 1998.</w:t>
      </w:r>
    </w:p>
    <w:p w:rsidR="003A7507" w:rsidRPr="00DE3163" w:rsidRDefault="003A7507" w:rsidP="003A7507">
      <w:pPr>
        <w:pStyle w:val="Referencelist-Georgia"/>
        <w:rPr>
          <w:rFonts w:ascii="Palatino Linotype" w:hAnsi="Palatino Linotype"/>
        </w:rPr>
      </w:pPr>
      <w:r w:rsidRPr="00DE3163">
        <w:rPr>
          <w:rFonts w:ascii="Palatino Linotype" w:hAnsi="Palatino Linotype"/>
        </w:rPr>
        <w:t xml:space="preserve">For more information about the </w:t>
      </w:r>
      <w:proofErr w:type="spellStart"/>
      <w:r w:rsidRPr="00DE3163">
        <w:rPr>
          <w:rFonts w:ascii="Palatino Linotype" w:hAnsi="Palatino Linotype"/>
        </w:rPr>
        <w:t>RapidFire</w:t>
      </w:r>
      <w:proofErr w:type="spellEnd"/>
      <w:r w:rsidRPr="00DE3163">
        <w:rPr>
          <w:rFonts w:ascii="Palatino Linotype" w:hAnsi="Palatino Linotype"/>
        </w:rPr>
        <w:t xml:space="preserve"> model, see www.calthorpe.com/scenario_modeling_tools.</w:t>
      </w:r>
    </w:p>
    <w:p w:rsidR="003A7507" w:rsidRPr="00DE3163" w:rsidRDefault="003A7507" w:rsidP="003A7507">
      <w:pPr>
        <w:pStyle w:val="Referencelist-Georgia"/>
        <w:rPr>
          <w:rFonts w:ascii="Palatino Linotype" w:hAnsi="Palatino Linotype"/>
        </w:rPr>
      </w:pPr>
      <w:r w:rsidRPr="00DE3163">
        <w:rPr>
          <w:rFonts w:ascii="Palatino Linotype" w:hAnsi="Palatino Linotype"/>
        </w:rPr>
        <w:t xml:space="preserve">Frank, L. D., </w:t>
      </w:r>
      <w:proofErr w:type="spellStart"/>
      <w:r w:rsidRPr="00DE3163">
        <w:rPr>
          <w:rFonts w:ascii="Palatino Linotype" w:hAnsi="Palatino Linotype"/>
        </w:rPr>
        <w:t>Sallis</w:t>
      </w:r>
      <w:proofErr w:type="spellEnd"/>
      <w:r w:rsidRPr="00DE3163">
        <w:rPr>
          <w:rFonts w:ascii="Palatino Linotype" w:hAnsi="Palatino Linotype"/>
        </w:rPr>
        <w:t xml:space="preserve">, J. F., Conway, T. L., Chapman, J. E., </w:t>
      </w:r>
      <w:proofErr w:type="spellStart"/>
      <w:r w:rsidRPr="00DE3163">
        <w:rPr>
          <w:rFonts w:ascii="Palatino Linotype" w:hAnsi="Palatino Linotype"/>
        </w:rPr>
        <w:t>Saelens</w:t>
      </w:r>
      <w:proofErr w:type="spellEnd"/>
      <w:r w:rsidRPr="00DE3163">
        <w:rPr>
          <w:rFonts w:ascii="Palatino Linotype" w:hAnsi="Palatino Linotype"/>
        </w:rPr>
        <w:t xml:space="preserve">, B. E., &amp; Bachman, W. Many Pathways </w:t>
      </w:r>
      <w:proofErr w:type="gramStart"/>
      <w:r w:rsidRPr="00DE3163">
        <w:rPr>
          <w:rFonts w:ascii="Palatino Linotype" w:hAnsi="Palatino Linotype"/>
        </w:rPr>
        <w:t>From</w:t>
      </w:r>
      <w:proofErr w:type="gramEnd"/>
      <w:r w:rsidRPr="00DE3163">
        <w:rPr>
          <w:rFonts w:ascii="Palatino Linotype" w:hAnsi="Palatino Linotype"/>
        </w:rPr>
        <w:t xml:space="preserve"> Land Use to Health: Associations Between </w:t>
      </w:r>
      <w:r w:rsidRPr="00DE3163">
        <w:rPr>
          <w:rFonts w:ascii="Palatino Linotype" w:hAnsi="Palatino Linotype"/>
        </w:rPr>
        <w:lastRenderedPageBreak/>
        <w:t xml:space="preserve">Neighborhood Walkability and Active Transportation, Body Mass Index, and Air Quality. </w:t>
      </w:r>
      <w:proofErr w:type="gramStart"/>
      <w:r w:rsidRPr="00DE3163">
        <w:rPr>
          <w:rStyle w:val="italic"/>
          <w:rFonts w:ascii="Palatino Linotype" w:hAnsi="Palatino Linotype"/>
        </w:rPr>
        <w:t>Journal of the American Planning Association, 72(1)</w:t>
      </w:r>
      <w:r w:rsidRPr="00DE3163">
        <w:rPr>
          <w:rFonts w:ascii="Palatino Linotype" w:hAnsi="Palatino Linotype"/>
        </w:rPr>
        <w:t>, 75–87.</w:t>
      </w:r>
      <w:proofErr w:type="gramEnd"/>
      <w:r w:rsidRPr="00DE3163">
        <w:rPr>
          <w:rFonts w:ascii="Palatino Linotype" w:hAnsi="Palatino Linotype"/>
        </w:rPr>
        <w:t xml:space="preserve"> 2006.</w:t>
      </w:r>
    </w:p>
    <w:p w:rsidR="003A7507" w:rsidRPr="00DE3163" w:rsidRDefault="003A7507" w:rsidP="003A7507">
      <w:pPr>
        <w:pStyle w:val="Referencelist-Georgia"/>
        <w:rPr>
          <w:rFonts w:ascii="Palatino Linotype" w:hAnsi="Palatino Linotype"/>
        </w:rPr>
      </w:pPr>
      <w:proofErr w:type="gramStart"/>
      <w:r w:rsidRPr="00DE3163">
        <w:rPr>
          <w:rFonts w:ascii="Palatino Linotype" w:hAnsi="Palatino Linotype"/>
        </w:rPr>
        <w:t>Ibid.</w:t>
      </w:r>
      <w:proofErr w:type="gramEnd"/>
    </w:p>
    <w:p w:rsidR="003A7507" w:rsidRPr="00DE3163" w:rsidRDefault="003A7507" w:rsidP="003A7507">
      <w:pPr>
        <w:pStyle w:val="Referencelist-Georgia"/>
        <w:rPr>
          <w:rFonts w:ascii="Palatino Linotype" w:hAnsi="Palatino Linotype"/>
        </w:rPr>
      </w:pPr>
      <w:proofErr w:type="gramStart"/>
      <w:r w:rsidRPr="00DE3163">
        <w:rPr>
          <w:rFonts w:ascii="Palatino Linotype" w:hAnsi="Palatino Linotype"/>
        </w:rPr>
        <w:t>California Health Interview Survey.</w:t>
      </w:r>
      <w:proofErr w:type="gramEnd"/>
      <w:r w:rsidRPr="00DE3163">
        <w:rPr>
          <w:rFonts w:ascii="Palatino Linotype" w:hAnsi="Palatino Linotype"/>
        </w:rPr>
        <w:t xml:space="preserve"> CHIS 2009 Adult Public Use File, Los Angeles, CA: UCLA Center for Health Policy Research. Available: www.chis.ucla.edu/ </w:t>
      </w:r>
      <w:bookmarkStart w:id="0" w:name="_GoBack"/>
      <w:bookmarkEnd w:id="0"/>
      <w:r w:rsidRPr="00DE3163">
        <w:rPr>
          <w:rFonts w:ascii="Palatino Linotype" w:hAnsi="Palatino Linotype"/>
        </w:rPr>
        <w:t>(accessed June 21, 2012).</w:t>
      </w:r>
    </w:p>
    <w:p w:rsidR="003A7507" w:rsidRPr="00DE3163" w:rsidRDefault="003A7507" w:rsidP="003A7507">
      <w:pPr>
        <w:pStyle w:val="Referencelist-Georgia"/>
        <w:rPr>
          <w:rFonts w:ascii="Palatino Linotype" w:hAnsi="Palatino Linotype"/>
        </w:rPr>
      </w:pPr>
      <w:proofErr w:type="gramStart"/>
      <w:r w:rsidRPr="00DE3163">
        <w:rPr>
          <w:rFonts w:ascii="Palatino Linotype" w:hAnsi="Palatino Linotype"/>
        </w:rPr>
        <w:t>Urban Design 4 Health, Inc. Unpublished data used for Health Impact and Forecasting Assessment, Project No. 5001527 for The San Diego Association of Governments.</w:t>
      </w:r>
      <w:proofErr w:type="gramEnd"/>
      <w:r w:rsidRPr="00DE3163">
        <w:rPr>
          <w:rFonts w:ascii="Palatino Linotype" w:hAnsi="Palatino Linotype"/>
        </w:rPr>
        <w:t xml:space="preserve"> June, 2012.</w:t>
      </w:r>
    </w:p>
    <w:p w:rsidR="003A7507" w:rsidRPr="00DE3163" w:rsidRDefault="003A7507" w:rsidP="003A7507">
      <w:pPr>
        <w:pStyle w:val="Referencelist-Georgia"/>
        <w:rPr>
          <w:rFonts w:ascii="Palatino Linotype" w:hAnsi="Palatino Linotype"/>
        </w:rPr>
      </w:pPr>
      <w:r w:rsidRPr="00DE3163">
        <w:rPr>
          <w:rFonts w:ascii="Palatino Linotype" w:hAnsi="Palatino Linotype"/>
        </w:rPr>
        <w:t xml:space="preserve">Ferreira J, </w:t>
      </w:r>
      <w:proofErr w:type="spellStart"/>
      <w:r w:rsidRPr="00DE3163">
        <w:rPr>
          <w:rFonts w:ascii="Palatino Linotype" w:hAnsi="Palatino Linotype"/>
        </w:rPr>
        <w:t>Minikel</w:t>
      </w:r>
      <w:proofErr w:type="spellEnd"/>
      <w:r w:rsidRPr="00DE3163">
        <w:rPr>
          <w:rFonts w:ascii="Palatino Linotype" w:hAnsi="Palatino Linotype"/>
        </w:rPr>
        <w:t xml:space="preserve"> E. </w:t>
      </w:r>
      <w:r w:rsidRPr="00DE3163">
        <w:rPr>
          <w:rStyle w:val="italic"/>
          <w:rFonts w:ascii="Palatino Linotype" w:hAnsi="Palatino Linotype"/>
        </w:rPr>
        <w:t>Pay-as-you-drive Auto Insurance in Massachusetts: A Risk Assessment and Report on Consumer, Industry, and Environmental Benefits, Conservation Law Foundation Report</w:t>
      </w:r>
      <w:r w:rsidRPr="00DE3163">
        <w:rPr>
          <w:rFonts w:ascii="Palatino Linotype" w:hAnsi="Palatino Linotype"/>
        </w:rPr>
        <w:t>. November 2010.</w:t>
      </w:r>
    </w:p>
    <w:p w:rsidR="003A7507" w:rsidRPr="00DE3163" w:rsidRDefault="003A7507" w:rsidP="003A7507">
      <w:pPr>
        <w:pStyle w:val="Referencelist-Georgia"/>
        <w:rPr>
          <w:rFonts w:ascii="Palatino Linotype" w:hAnsi="Palatino Linotype"/>
        </w:rPr>
      </w:pPr>
      <w:proofErr w:type="gramStart"/>
      <w:r w:rsidRPr="00DE3163">
        <w:rPr>
          <w:rFonts w:ascii="Palatino Linotype" w:hAnsi="Palatino Linotype"/>
        </w:rPr>
        <w:t>California Highway Patrol.</w:t>
      </w:r>
      <w:proofErr w:type="gramEnd"/>
      <w:r w:rsidRPr="00DE3163">
        <w:rPr>
          <w:rFonts w:ascii="Palatino Linotype" w:hAnsi="Palatino Linotype"/>
        </w:rPr>
        <w:t xml:space="preserve"> </w:t>
      </w:r>
      <w:proofErr w:type="gramStart"/>
      <w:r w:rsidRPr="00DE3163">
        <w:rPr>
          <w:rStyle w:val="italic"/>
          <w:rFonts w:ascii="Palatino Linotype" w:hAnsi="Palatino Linotype"/>
        </w:rPr>
        <w:t>2009 Annual Report of Fatal and Injury Motor Vehicle Traffic Collisions</w:t>
      </w:r>
      <w:r w:rsidRPr="00DE3163">
        <w:rPr>
          <w:rFonts w:ascii="Palatino Linotype" w:hAnsi="Palatino Linotype"/>
        </w:rPr>
        <w:t>.</w:t>
      </w:r>
      <w:proofErr w:type="gramEnd"/>
      <w:r w:rsidRPr="00DE3163">
        <w:rPr>
          <w:rFonts w:ascii="Palatino Linotype" w:hAnsi="Palatino Linotype"/>
        </w:rPr>
        <w:t xml:space="preserve"> Available: www.chp.ca.gov/switrs/switrs2009.html (accessed July 11, 2011).</w:t>
      </w:r>
    </w:p>
    <w:p w:rsidR="003A7507" w:rsidRPr="00DE3163" w:rsidRDefault="003A7507" w:rsidP="003A7507">
      <w:pPr>
        <w:pStyle w:val="Referencelist-Georgia"/>
        <w:rPr>
          <w:rFonts w:ascii="Palatino Linotype" w:hAnsi="Palatino Linotype"/>
        </w:rPr>
      </w:pPr>
      <w:r w:rsidRPr="00DE3163">
        <w:rPr>
          <w:rFonts w:ascii="Palatino Linotype" w:hAnsi="Palatino Linotype"/>
        </w:rPr>
        <w:t xml:space="preserve">Cases-per-ton estimates from Neal </w:t>
      </w:r>
      <w:proofErr w:type="spellStart"/>
      <w:r w:rsidRPr="00DE3163">
        <w:rPr>
          <w:rFonts w:ascii="Palatino Linotype" w:hAnsi="Palatino Linotype"/>
        </w:rPr>
        <w:t>Fann</w:t>
      </w:r>
      <w:proofErr w:type="spellEnd"/>
      <w:r w:rsidRPr="00DE3163">
        <w:rPr>
          <w:rFonts w:ascii="Palatino Linotype" w:hAnsi="Palatino Linotype"/>
        </w:rPr>
        <w:t xml:space="preserve"> of US Environmental Protection Agency (EPA). Premature mortality is the average of the American Cancer Society study (Pope et al. 2002) and the Six-Cities study (Laden et al., 2006). The rounded </w:t>
      </w:r>
      <w:proofErr w:type="gramStart"/>
      <w:r w:rsidRPr="00DE3163">
        <w:rPr>
          <w:rFonts w:ascii="Palatino Linotype" w:hAnsi="Palatino Linotype"/>
        </w:rPr>
        <w:t>Six-Cities</w:t>
      </w:r>
      <w:proofErr w:type="gramEnd"/>
      <w:r w:rsidRPr="00DE3163">
        <w:rPr>
          <w:rFonts w:ascii="Palatino Linotype" w:hAnsi="Palatino Linotype"/>
        </w:rPr>
        <w:t xml:space="preserve"> benefits per ton results are presented in the EPA’s Environmental Benefits Mapping and Analysis Program website: www.epa.gov/oaqps001/benmap/bpt.html. As presented by Chan, M. and Jackson, MD (TIAX LLC) for the American Lung Association in California. </w:t>
      </w:r>
      <w:proofErr w:type="gramStart"/>
      <w:r w:rsidRPr="00DE3163">
        <w:rPr>
          <w:rStyle w:val="italic"/>
          <w:rFonts w:ascii="Palatino Linotype" w:hAnsi="Palatino Linotype"/>
        </w:rPr>
        <w:t>Health Impact of Land Use VMT and In-Use Vehicle Fleets</w:t>
      </w:r>
      <w:r w:rsidRPr="00DE3163">
        <w:rPr>
          <w:rFonts w:ascii="Palatino Linotype" w:hAnsi="Palatino Linotype"/>
        </w:rPr>
        <w:t>.</w:t>
      </w:r>
      <w:proofErr w:type="gramEnd"/>
      <w:r w:rsidRPr="00DE3163">
        <w:rPr>
          <w:rFonts w:ascii="Palatino Linotype" w:hAnsi="Palatino Linotype"/>
        </w:rPr>
        <w:t xml:space="preserve"> 2011. </w:t>
      </w:r>
    </w:p>
    <w:p w:rsidR="005F3D2E" w:rsidRPr="00DE3163" w:rsidRDefault="003A7507" w:rsidP="003A7507">
      <w:pPr>
        <w:autoSpaceDE w:val="0"/>
        <w:autoSpaceDN w:val="0"/>
        <w:adjustRightInd w:val="0"/>
        <w:spacing w:after="0" w:line="288" w:lineRule="auto"/>
        <w:textAlignment w:val="center"/>
        <w:rPr>
          <w:rFonts w:ascii="Palatino Linotype" w:hAnsi="Palatino Linotype" w:cs="HelveticaNeueLT Std Lt Cn"/>
          <w:i/>
          <w:iCs/>
          <w:color w:val="000000"/>
          <w:sz w:val="16"/>
          <w:szCs w:val="16"/>
        </w:rPr>
      </w:pPr>
      <w:r w:rsidRPr="00DE3163">
        <w:rPr>
          <w:rFonts w:ascii="Palatino Linotype" w:hAnsi="Palatino Linotype"/>
          <w:sz w:val="16"/>
          <w:szCs w:val="16"/>
        </w:rPr>
        <w:t xml:space="preserve">PM-related valuations (Neal </w:t>
      </w:r>
      <w:proofErr w:type="spellStart"/>
      <w:r w:rsidRPr="00DE3163">
        <w:rPr>
          <w:rFonts w:ascii="Palatino Linotype" w:hAnsi="Palatino Linotype"/>
          <w:sz w:val="16"/>
          <w:szCs w:val="16"/>
        </w:rPr>
        <w:t>Fann</w:t>
      </w:r>
      <w:proofErr w:type="spellEnd"/>
      <w:r w:rsidRPr="00DE3163">
        <w:rPr>
          <w:rFonts w:ascii="Palatino Linotype" w:hAnsi="Palatino Linotype"/>
          <w:sz w:val="16"/>
          <w:szCs w:val="16"/>
        </w:rPr>
        <w:t xml:space="preserve"> of EPA) used average of American Cancer Society study (Pope, CA III et al. Cardiovascular mortality and long-term exposure to particulate air pollution: epidemiological evidence of general pathophysiological pathways of disease. </w:t>
      </w:r>
      <w:r w:rsidRPr="00DE3163">
        <w:rPr>
          <w:rStyle w:val="italic"/>
          <w:rFonts w:ascii="Palatino Linotype" w:hAnsi="Palatino Linotype"/>
          <w:sz w:val="16"/>
          <w:szCs w:val="16"/>
        </w:rPr>
        <w:t>Circulation 109(1):</w:t>
      </w:r>
      <w:r w:rsidRPr="00DE3163">
        <w:rPr>
          <w:rFonts w:ascii="Palatino Linotype" w:hAnsi="Palatino Linotype"/>
          <w:sz w:val="16"/>
          <w:szCs w:val="16"/>
        </w:rPr>
        <w:t xml:space="preserve">71–77. 2002) and the Six Cities Study (Laden, F. et al., </w:t>
      </w:r>
      <w:r w:rsidRPr="00DE3163">
        <w:rPr>
          <w:rStyle w:val="italic"/>
          <w:rFonts w:ascii="Palatino Linotype" w:hAnsi="Palatino Linotype"/>
          <w:sz w:val="16"/>
          <w:szCs w:val="16"/>
        </w:rPr>
        <w:t>Reduction in Fine Particulate Air Pollution and Mortality: Extended Follow-up of the Harvard Six Cities Study</w:t>
      </w:r>
      <w:r w:rsidRPr="00DE3163">
        <w:rPr>
          <w:rFonts w:ascii="Palatino Linotype" w:hAnsi="Palatino Linotype"/>
          <w:sz w:val="16"/>
          <w:szCs w:val="16"/>
        </w:rPr>
        <w:t xml:space="preserve">. 2006). Ozone and visibility valuations calculated based upon national results presented in a 2011 EPA report (EPA. </w:t>
      </w:r>
      <w:proofErr w:type="gramStart"/>
      <w:r w:rsidRPr="00DE3163">
        <w:rPr>
          <w:rFonts w:ascii="Palatino Linotype" w:hAnsi="Palatino Linotype"/>
          <w:sz w:val="16"/>
          <w:szCs w:val="16"/>
        </w:rPr>
        <w:t>“The Benefits and Costs of the Clean Air Act from 1990 to 2020”.</w:t>
      </w:r>
      <w:proofErr w:type="gramEnd"/>
      <w:r w:rsidRPr="00DE3163">
        <w:rPr>
          <w:rFonts w:ascii="Palatino Linotype" w:hAnsi="Palatino Linotype"/>
          <w:sz w:val="16"/>
          <w:szCs w:val="16"/>
        </w:rPr>
        <w:t xml:space="preserve"> 2011). </w:t>
      </w:r>
      <w:proofErr w:type="gramStart"/>
      <w:r w:rsidRPr="00DE3163">
        <w:rPr>
          <w:rFonts w:ascii="Palatino Linotype" w:hAnsi="Palatino Linotype"/>
          <w:sz w:val="16"/>
          <w:szCs w:val="16"/>
        </w:rPr>
        <w:t>As</w:t>
      </w:r>
      <w:proofErr w:type="gramEnd"/>
      <w:r w:rsidRPr="00DE3163">
        <w:rPr>
          <w:rFonts w:ascii="Palatino Linotype" w:hAnsi="Palatino Linotype"/>
          <w:sz w:val="16"/>
          <w:szCs w:val="16"/>
        </w:rPr>
        <w:t xml:space="preserve"> presented by Chan, M. and Jackson, MD (TIAX LLC) for the American Lung Association in California. </w:t>
      </w:r>
      <w:proofErr w:type="gramStart"/>
      <w:r w:rsidRPr="00DE3163">
        <w:rPr>
          <w:rStyle w:val="italic"/>
          <w:rFonts w:ascii="Palatino Linotype" w:hAnsi="Palatino Linotype"/>
          <w:sz w:val="16"/>
          <w:szCs w:val="16"/>
        </w:rPr>
        <w:t>Health Impact of Land Use VMT and In-Use Vehicle Fleets</w:t>
      </w:r>
      <w:r w:rsidRPr="00DE3163">
        <w:rPr>
          <w:rFonts w:ascii="Palatino Linotype" w:hAnsi="Palatino Linotype"/>
          <w:sz w:val="16"/>
          <w:szCs w:val="16"/>
        </w:rPr>
        <w:t>.</w:t>
      </w:r>
      <w:proofErr w:type="gramEnd"/>
      <w:r w:rsidRPr="00DE3163">
        <w:rPr>
          <w:rFonts w:ascii="Palatino Linotype" w:hAnsi="Palatino Linotype"/>
          <w:sz w:val="16"/>
          <w:szCs w:val="16"/>
        </w:rPr>
        <w:t xml:space="preserve"> 2011.</w:t>
      </w:r>
    </w:p>
    <w:p w:rsidR="00C675CA" w:rsidRPr="00DE3163" w:rsidRDefault="00C675CA" w:rsidP="005F3D2E">
      <w:pPr>
        <w:pStyle w:val="HELParagraphHeading"/>
        <w:spacing w:after="177"/>
        <w:rPr>
          <w:rFonts w:ascii="Palatino Linotype" w:hAnsi="Palatino Linotype"/>
          <w:sz w:val="16"/>
          <w:szCs w:val="16"/>
        </w:rPr>
      </w:pPr>
    </w:p>
    <w:p w:rsidR="00C675CA" w:rsidRPr="00DE3163" w:rsidRDefault="00C675CA" w:rsidP="00C675CA">
      <w:pPr>
        <w:pStyle w:val="HELParagraphHeading"/>
        <w:suppressAutoHyphens/>
        <w:spacing w:after="0"/>
        <w:rPr>
          <w:rFonts w:ascii="Palatino Linotype" w:hAnsi="Palatino Linotype"/>
          <w:sz w:val="16"/>
          <w:szCs w:val="16"/>
        </w:rPr>
      </w:pPr>
    </w:p>
    <w:p w:rsidR="00157583" w:rsidRPr="00DE3163" w:rsidRDefault="00157583" w:rsidP="00BB6572">
      <w:pPr>
        <w:pStyle w:val="HELParagraphHeading"/>
        <w:suppressAutoHyphens/>
        <w:spacing w:after="0"/>
        <w:jc w:val="left"/>
        <w:rPr>
          <w:rFonts w:ascii="Palatino Linotype" w:hAnsi="Palatino Linotype" w:cstheme="minorHAnsi"/>
          <w:sz w:val="16"/>
          <w:szCs w:val="16"/>
        </w:rPr>
      </w:pPr>
    </w:p>
    <w:sectPr w:rsidR="00157583" w:rsidRPr="00DE3163" w:rsidSect="00DE316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C64" w:rsidRDefault="00404C64" w:rsidP="00886DAD">
      <w:pPr>
        <w:spacing w:after="0" w:line="240" w:lineRule="auto"/>
      </w:pPr>
      <w:r>
        <w:separator/>
      </w:r>
    </w:p>
  </w:endnote>
  <w:endnote w:type="continuationSeparator" w:id="0">
    <w:p w:rsidR="00404C64" w:rsidRDefault="00404C64" w:rsidP="00886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NeueLT Std Cn">
    <w:panose1 w:val="00000000000000000000"/>
    <w:charset w:val="00"/>
    <w:family w:val="swiss"/>
    <w:notTrueType/>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NeueLT Std Med Cn">
    <w:panose1 w:val="00000000000000000000"/>
    <w:charset w:val="00"/>
    <w:family w:val="swiss"/>
    <w:notTrueType/>
    <w:pitch w:val="variable"/>
    <w:sig w:usb0="800000AF" w:usb1="4000204A" w:usb2="00000000" w:usb3="00000000" w:csb0="00000001" w:csb1="00000000"/>
  </w:font>
  <w:font w:name="HelveticaNeueLT Std Lt Cn">
    <w:panose1 w:val="00000000000000000000"/>
    <w:charset w:val="00"/>
    <w:family w:val="swiss"/>
    <w:notTrueType/>
    <w:pitch w:val="variable"/>
    <w:sig w:usb0="800000AF" w:usb1="4000204A"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C64" w:rsidRDefault="00404C64" w:rsidP="00886DAD">
      <w:pPr>
        <w:spacing w:after="0" w:line="240" w:lineRule="auto"/>
      </w:pPr>
      <w:r>
        <w:separator/>
      </w:r>
    </w:p>
  </w:footnote>
  <w:footnote w:type="continuationSeparator" w:id="0">
    <w:p w:rsidR="00404C64" w:rsidRDefault="00404C64" w:rsidP="00886D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2593181"/>
      <w:docPartObj>
        <w:docPartGallery w:val="Page Numbers (Top of Page)"/>
        <w:docPartUnique/>
      </w:docPartObj>
    </w:sdtPr>
    <w:sdtEndPr>
      <w:rPr>
        <w:noProof/>
      </w:rPr>
    </w:sdtEndPr>
    <w:sdtContent>
      <w:p w:rsidR="00404C64" w:rsidRDefault="00404C64">
        <w:pPr>
          <w:pStyle w:val="Header"/>
        </w:pPr>
        <w:r>
          <w:fldChar w:fldCharType="begin"/>
        </w:r>
        <w:r>
          <w:instrText xml:space="preserve"> PAGE   \* MERGEFORMAT </w:instrText>
        </w:r>
        <w:r>
          <w:fldChar w:fldCharType="separate"/>
        </w:r>
        <w:r w:rsidR="00DE3163">
          <w:rPr>
            <w:noProof/>
          </w:rPr>
          <w:t>31</w:t>
        </w:r>
        <w:r>
          <w:rPr>
            <w:noProof/>
          </w:rPr>
          <w:fldChar w:fldCharType="end"/>
        </w:r>
      </w:p>
    </w:sdtContent>
  </w:sdt>
  <w:p w:rsidR="00404C64" w:rsidRDefault="00404C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5EF"/>
    <w:rsid w:val="00004A68"/>
    <w:rsid w:val="000248A3"/>
    <w:rsid w:val="00031D87"/>
    <w:rsid w:val="00157583"/>
    <w:rsid w:val="00325912"/>
    <w:rsid w:val="003A7507"/>
    <w:rsid w:val="00404C64"/>
    <w:rsid w:val="005F3D2E"/>
    <w:rsid w:val="006275EF"/>
    <w:rsid w:val="007355C9"/>
    <w:rsid w:val="008022CC"/>
    <w:rsid w:val="00855E61"/>
    <w:rsid w:val="00886DAD"/>
    <w:rsid w:val="00B31D68"/>
    <w:rsid w:val="00B866D9"/>
    <w:rsid w:val="00BB6572"/>
    <w:rsid w:val="00C675CA"/>
    <w:rsid w:val="00DE3163"/>
    <w:rsid w:val="00E83F36"/>
    <w:rsid w:val="00F04CC2"/>
    <w:rsid w:val="00FF2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4C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31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Lhighlightedtext">
    <w:name w:val="HEL highlighted text"/>
    <w:basedOn w:val="Normal"/>
    <w:uiPriority w:val="99"/>
    <w:rsid w:val="006275EF"/>
    <w:pPr>
      <w:autoSpaceDE w:val="0"/>
      <w:autoSpaceDN w:val="0"/>
      <w:adjustRightInd w:val="0"/>
      <w:spacing w:before="180" w:after="90" w:line="280" w:lineRule="atLeast"/>
      <w:jc w:val="both"/>
      <w:textAlignment w:val="center"/>
    </w:pPr>
    <w:rPr>
      <w:rFonts w:ascii="HelveticaNeueLT Std Cn" w:hAnsi="HelveticaNeueLT Std Cn" w:cs="HelveticaNeueLT Std Cn"/>
      <w:b/>
      <w:bCs/>
      <w:i/>
      <w:iCs/>
      <w:color w:val="000000"/>
      <w:sz w:val="24"/>
      <w:szCs w:val="24"/>
    </w:rPr>
  </w:style>
  <w:style w:type="paragraph" w:customStyle="1" w:styleId="GEORGIABodyText">
    <w:name w:val="GEORGIA Body Text"/>
    <w:basedOn w:val="Normal"/>
    <w:uiPriority w:val="99"/>
    <w:rsid w:val="006275EF"/>
    <w:pPr>
      <w:autoSpaceDE w:val="0"/>
      <w:autoSpaceDN w:val="0"/>
      <w:adjustRightInd w:val="0"/>
      <w:spacing w:before="90" w:after="90" w:line="220" w:lineRule="atLeast"/>
      <w:jc w:val="both"/>
      <w:textAlignment w:val="center"/>
    </w:pPr>
    <w:rPr>
      <w:rFonts w:ascii="Georgia" w:hAnsi="Georgia" w:cs="Georgia"/>
      <w:color w:val="000000"/>
      <w:sz w:val="18"/>
      <w:szCs w:val="18"/>
    </w:rPr>
  </w:style>
  <w:style w:type="paragraph" w:customStyle="1" w:styleId="HELParagraphHeading">
    <w:name w:val="HEL Paragraph Heading"/>
    <w:basedOn w:val="Normal"/>
    <w:uiPriority w:val="99"/>
    <w:rsid w:val="006275EF"/>
    <w:pPr>
      <w:autoSpaceDE w:val="0"/>
      <w:autoSpaceDN w:val="0"/>
      <w:adjustRightInd w:val="0"/>
      <w:spacing w:after="90" w:line="420" w:lineRule="atLeast"/>
      <w:jc w:val="both"/>
      <w:textAlignment w:val="center"/>
    </w:pPr>
    <w:rPr>
      <w:rFonts w:ascii="HelveticaNeueLT Std Med Cn" w:hAnsi="HelveticaNeueLT Std Med Cn" w:cs="HelveticaNeueLT Std Med Cn"/>
      <w:color w:val="000000"/>
      <w:sz w:val="48"/>
      <w:szCs w:val="48"/>
    </w:rPr>
  </w:style>
  <w:style w:type="paragraph" w:customStyle="1" w:styleId="HELCaption">
    <w:name w:val="HEL Caption"/>
    <w:basedOn w:val="Normal"/>
    <w:uiPriority w:val="99"/>
    <w:rsid w:val="006275EF"/>
    <w:pPr>
      <w:autoSpaceDE w:val="0"/>
      <w:autoSpaceDN w:val="0"/>
      <w:adjustRightInd w:val="0"/>
      <w:spacing w:after="0" w:line="288" w:lineRule="auto"/>
      <w:jc w:val="both"/>
      <w:textAlignment w:val="center"/>
    </w:pPr>
    <w:rPr>
      <w:rFonts w:ascii="HelveticaNeueLT Std Lt Cn" w:hAnsi="HelveticaNeueLT Std Lt Cn" w:cs="HelveticaNeueLT Std Lt Cn"/>
      <w:i/>
      <w:iCs/>
      <w:color w:val="000000"/>
      <w:sz w:val="16"/>
      <w:szCs w:val="16"/>
    </w:rPr>
  </w:style>
  <w:style w:type="paragraph" w:customStyle="1" w:styleId="HELPageHeading">
    <w:name w:val="HEL Page Heading"/>
    <w:basedOn w:val="Normal"/>
    <w:uiPriority w:val="99"/>
    <w:rsid w:val="00325912"/>
    <w:pPr>
      <w:suppressAutoHyphens/>
      <w:autoSpaceDE w:val="0"/>
      <w:autoSpaceDN w:val="0"/>
      <w:adjustRightInd w:val="0"/>
      <w:spacing w:after="0" w:line="288" w:lineRule="auto"/>
      <w:textAlignment w:val="center"/>
    </w:pPr>
    <w:rPr>
      <w:rFonts w:ascii="HelveticaNeueLT Std Med Cn" w:hAnsi="HelveticaNeueLT Std Med Cn" w:cs="HelveticaNeueLT Std Med Cn"/>
      <w:color w:val="000000"/>
      <w:spacing w:val="18"/>
      <w:w w:val="110"/>
      <w:sz w:val="72"/>
      <w:szCs w:val="72"/>
    </w:rPr>
  </w:style>
  <w:style w:type="paragraph" w:customStyle="1" w:styleId="BasicParagraph">
    <w:name w:val="[Basic Paragraph]"/>
    <w:basedOn w:val="Normal"/>
    <w:uiPriority w:val="99"/>
    <w:rsid w:val="00325912"/>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customStyle="1" w:styleId="GEORGIABodyTextBullet">
    <w:name w:val="GEORGIA Body Text Bullet"/>
    <w:basedOn w:val="GEORGIABodyText"/>
    <w:uiPriority w:val="99"/>
    <w:rsid w:val="00325912"/>
    <w:pPr>
      <w:suppressAutoHyphens/>
      <w:spacing w:before="58" w:after="58"/>
      <w:ind w:left="360" w:hanging="360"/>
      <w:jc w:val="left"/>
    </w:pPr>
  </w:style>
  <w:style w:type="paragraph" w:customStyle="1" w:styleId="HELPageHeadingcopy">
    <w:name w:val="HEL Page Heading copy"/>
    <w:basedOn w:val="Normal"/>
    <w:uiPriority w:val="99"/>
    <w:rsid w:val="00325912"/>
    <w:pPr>
      <w:suppressAutoHyphens/>
      <w:autoSpaceDE w:val="0"/>
      <w:autoSpaceDN w:val="0"/>
      <w:adjustRightInd w:val="0"/>
      <w:spacing w:after="0" w:line="288" w:lineRule="auto"/>
      <w:jc w:val="right"/>
      <w:textAlignment w:val="center"/>
    </w:pPr>
    <w:rPr>
      <w:rFonts w:ascii="HelveticaNeueLT Std Med Cn" w:hAnsi="HelveticaNeueLT Std Med Cn" w:cs="HelveticaNeueLT Std Med Cn"/>
      <w:color w:val="000000"/>
      <w:spacing w:val="18"/>
      <w:w w:val="110"/>
      <w:sz w:val="72"/>
      <w:szCs w:val="72"/>
    </w:rPr>
  </w:style>
  <w:style w:type="paragraph" w:customStyle="1" w:styleId="NoParagraphStyle">
    <w:name w:val="[No Paragraph Style]"/>
    <w:rsid w:val="00BB6572"/>
    <w:pPr>
      <w:autoSpaceDE w:val="0"/>
      <w:autoSpaceDN w:val="0"/>
      <w:adjustRightInd w:val="0"/>
      <w:spacing w:after="0" w:line="288" w:lineRule="auto"/>
      <w:textAlignment w:val="center"/>
    </w:pPr>
    <w:rPr>
      <w:rFonts w:ascii="HelveticaNeueLT Std Lt Cn" w:hAnsi="HelveticaNeueLT Std Lt Cn"/>
      <w:color w:val="000000"/>
      <w:sz w:val="24"/>
      <w:szCs w:val="24"/>
    </w:rPr>
  </w:style>
  <w:style w:type="character" w:customStyle="1" w:styleId="reference">
    <w:name w:val="reference"/>
    <w:uiPriority w:val="99"/>
    <w:rsid w:val="00031D87"/>
    <w:rPr>
      <w:color w:val="000000"/>
    </w:rPr>
  </w:style>
  <w:style w:type="character" w:styleId="FootnoteReference">
    <w:name w:val="footnote reference"/>
    <w:basedOn w:val="DefaultParagraphFont"/>
    <w:uiPriority w:val="99"/>
    <w:rsid w:val="00031D87"/>
    <w:rPr>
      <w:rFonts w:ascii="Georgia" w:hAnsi="Georgia" w:cs="Georgia"/>
      <w:color w:val="000000"/>
      <w:w w:val="100"/>
      <w:sz w:val="18"/>
      <w:szCs w:val="18"/>
      <w:vertAlign w:val="superscript"/>
    </w:rPr>
  </w:style>
  <w:style w:type="paragraph" w:customStyle="1" w:styleId="Referencelist-Georgia">
    <w:name w:val="Reference list - Georgia"/>
    <w:basedOn w:val="Normal"/>
    <w:uiPriority w:val="99"/>
    <w:rsid w:val="003A7507"/>
    <w:pPr>
      <w:tabs>
        <w:tab w:val="left" w:pos="340"/>
      </w:tabs>
      <w:autoSpaceDE w:val="0"/>
      <w:autoSpaceDN w:val="0"/>
      <w:adjustRightInd w:val="0"/>
      <w:spacing w:before="58" w:after="58" w:line="208" w:lineRule="atLeast"/>
      <w:ind w:left="270" w:hanging="270"/>
      <w:jc w:val="both"/>
      <w:textAlignment w:val="center"/>
    </w:pPr>
    <w:rPr>
      <w:rFonts w:ascii="Georgia" w:hAnsi="Georgia" w:cs="Georgia"/>
      <w:color w:val="000000"/>
      <w:sz w:val="16"/>
      <w:szCs w:val="16"/>
    </w:rPr>
  </w:style>
  <w:style w:type="character" w:customStyle="1" w:styleId="italic">
    <w:name w:val="italic"/>
    <w:uiPriority w:val="99"/>
    <w:rsid w:val="003A7507"/>
    <w:rPr>
      <w:i/>
      <w:iCs/>
    </w:rPr>
  </w:style>
  <w:style w:type="paragraph" w:styleId="Header">
    <w:name w:val="header"/>
    <w:basedOn w:val="Normal"/>
    <w:link w:val="HeaderChar"/>
    <w:uiPriority w:val="99"/>
    <w:unhideWhenUsed/>
    <w:rsid w:val="00886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DAD"/>
  </w:style>
  <w:style w:type="paragraph" w:styleId="Footer">
    <w:name w:val="footer"/>
    <w:basedOn w:val="Normal"/>
    <w:link w:val="FooterChar"/>
    <w:uiPriority w:val="99"/>
    <w:unhideWhenUsed/>
    <w:rsid w:val="00886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DAD"/>
  </w:style>
  <w:style w:type="character" w:customStyle="1" w:styleId="Heading1Char">
    <w:name w:val="Heading 1 Char"/>
    <w:basedOn w:val="DefaultParagraphFont"/>
    <w:link w:val="Heading1"/>
    <w:uiPriority w:val="9"/>
    <w:rsid w:val="00F04C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316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4C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31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Lhighlightedtext">
    <w:name w:val="HEL highlighted text"/>
    <w:basedOn w:val="Normal"/>
    <w:uiPriority w:val="99"/>
    <w:rsid w:val="006275EF"/>
    <w:pPr>
      <w:autoSpaceDE w:val="0"/>
      <w:autoSpaceDN w:val="0"/>
      <w:adjustRightInd w:val="0"/>
      <w:spacing w:before="180" w:after="90" w:line="280" w:lineRule="atLeast"/>
      <w:jc w:val="both"/>
      <w:textAlignment w:val="center"/>
    </w:pPr>
    <w:rPr>
      <w:rFonts w:ascii="HelveticaNeueLT Std Cn" w:hAnsi="HelveticaNeueLT Std Cn" w:cs="HelveticaNeueLT Std Cn"/>
      <w:b/>
      <w:bCs/>
      <w:i/>
      <w:iCs/>
      <w:color w:val="000000"/>
      <w:sz w:val="24"/>
      <w:szCs w:val="24"/>
    </w:rPr>
  </w:style>
  <w:style w:type="paragraph" w:customStyle="1" w:styleId="GEORGIABodyText">
    <w:name w:val="GEORGIA Body Text"/>
    <w:basedOn w:val="Normal"/>
    <w:uiPriority w:val="99"/>
    <w:rsid w:val="006275EF"/>
    <w:pPr>
      <w:autoSpaceDE w:val="0"/>
      <w:autoSpaceDN w:val="0"/>
      <w:adjustRightInd w:val="0"/>
      <w:spacing w:before="90" w:after="90" w:line="220" w:lineRule="atLeast"/>
      <w:jc w:val="both"/>
      <w:textAlignment w:val="center"/>
    </w:pPr>
    <w:rPr>
      <w:rFonts w:ascii="Georgia" w:hAnsi="Georgia" w:cs="Georgia"/>
      <w:color w:val="000000"/>
      <w:sz w:val="18"/>
      <w:szCs w:val="18"/>
    </w:rPr>
  </w:style>
  <w:style w:type="paragraph" w:customStyle="1" w:styleId="HELParagraphHeading">
    <w:name w:val="HEL Paragraph Heading"/>
    <w:basedOn w:val="Normal"/>
    <w:uiPriority w:val="99"/>
    <w:rsid w:val="006275EF"/>
    <w:pPr>
      <w:autoSpaceDE w:val="0"/>
      <w:autoSpaceDN w:val="0"/>
      <w:adjustRightInd w:val="0"/>
      <w:spacing w:after="90" w:line="420" w:lineRule="atLeast"/>
      <w:jc w:val="both"/>
      <w:textAlignment w:val="center"/>
    </w:pPr>
    <w:rPr>
      <w:rFonts w:ascii="HelveticaNeueLT Std Med Cn" w:hAnsi="HelveticaNeueLT Std Med Cn" w:cs="HelveticaNeueLT Std Med Cn"/>
      <w:color w:val="000000"/>
      <w:sz w:val="48"/>
      <w:szCs w:val="48"/>
    </w:rPr>
  </w:style>
  <w:style w:type="paragraph" w:customStyle="1" w:styleId="HELCaption">
    <w:name w:val="HEL Caption"/>
    <w:basedOn w:val="Normal"/>
    <w:uiPriority w:val="99"/>
    <w:rsid w:val="006275EF"/>
    <w:pPr>
      <w:autoSpaceDE w:val="0"/>
      <w:autoSpaceDN w:val="0"/>
      <w:adjustRightInd w:val="0"/>
      <w:spacing w:after="0" w:line="288" w:lineRule="auto"/>
      <w:jc w:val="both"/>
      <w:textAlignment w:val="center"/>
    </w:pPr>
    <w:rPr>
      <w:rFonts w:ascii="HelveticaNeueLT Std Lt Cn" w:hAnsi="HelveticaNeueLT Std Lt Cn" w:cs="HelveticaNeueLT Std Lt Cn"/>
      <w:i/>
      <w:iCs/>
      <w:color w:val="000000"/>
      <w:sz w:val="16"/>
      <w:szCs w:val="16"/>
    </w:rPr>
  </w:style>
  <w:style w:type="paragraph" w:customStyle="1" w:styleId="HELPageHeading">
    <w:name w:val="HEL Page Heading"/>
    <w:basedOn w:val="Normal"/>
    <w:uiPriority w:val="99"/>
    <w:rsid w:val="00325912"/>
    <w:pPr>
      <w:suppressAutoHyphens/>
      <w:autoSpaceDE w:val="0"/>
      <w:autoSpaceDN w:val="0"/>
      <w:adjustRightInd w:val="0"/>
      <w:spacing w:after="0" w:line="288" w:lineRule="auto"/>
      <w:textAlignment w:val="center"/>
    </w:pPr>
    <w:rPr>
      <w:rFonts w:ascii="HelveticaNeueLT Std Med Cn" w:hAnsi="HelveticaNeueLT Std Med Cn" w:cs="HelveticaNeueLT Std Med Cn"/>
      <w:color w:val="000000"/>
      <w:spacing w:val="18"/>
      <w:w w:val="110"/>
      <w:sz w:val="72"/>
      <w:szCs w:val="72"/>
    </w:rPr>
  </w:style>
  <w:style w:type="paragraph" w:customStyle="1" w:styleId="BasicParagraph">
    <w:name w:val="[Basic Paragraph]"/>
    <w:basedOn w:val="Normal"/>
    <w:uiPriority w:val="99"/>
    <w:rsid w:val="00325912"/>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customStyle="1" w:styleId="GEORGIABodyTextBullet">
    <w:name w:val="GEORGIA Body Text Bullet"/>
    <w:basedOn w:val="GEORGIABodyText"/>
    <w:uiPriority w:val="99"/>
    <w:rsid w:val="00325912"/>
    <w:pPr>
      <w:suppressAutoHyphens/>
      <w:spacing w:before="58" w:after="58"/>
      <w:ind w:left="360" w:hanging="360"/>
      <w:jc w:val="left"/>
    </w:pPr>
  </w:style>
  <w:style w:type="paragraph" w:customStyle="1" w:styleId="HELPageHeadingcopy">
    <w:name w:val="HEL Page Heading copy"/>
    <w:basedOn w:val="Normal"/>
    <w:uiPriority w:val="99"/>
    <w:rsid w:val="00325912"/>
    <w:pPr>
      <w:suppressAutoHyphens/>
      <w:autoSpaceDE w:val="0"/>
      <w:autoSpaceDN w:val="0"/>
      <w:adjustRightInd w:val="0"/>
      <w:spacing w:after="0" w:line="288" w:lineRule="auto"/>
      <w:jc w:val="right"/>
      <w:textAlignment w:val="center"/>
    </w:pPr>
    <w:rPr>
      <w:rFonts w:ascii="HelveticaNeueLT Std Med Cn" w:hAnsi="HelveticaNeueLT Std Med Cn" w:cs="HelveticaNeueLT Std Med Cn"/>
      <w:color w:val="000000"/>
      <w:spacing w:val="18"/>
      <w:w w:val="110"/>
      <w:sz w:val="72"/>
      <w:szCs w:val="72"/>
    </w:rPr>
  </w:style>
  <w:style w:type="paragraph" w:customStyle="1" w:styleId="NoParagraphStyle">
    <w:name w:val="[No Paragraph Style]"/>
    <w:rsid w:val="00BB6572"/>
    <w:pPr>
      <w:autoSpaceDE w:val="0"/>
      <w:autoSpaceDN w:val="0"/>
      <w:adjustRightInd w:val="0"/>
      <w:spacing w:after="0" w:line="288" w:lineRule="auto"/>
      <w:textAlignment w:val="center"/>
    </w:pPr>
    <w:rPr>
      <w:rFonts w:ascii="HelveticaNeueLT Std Lt Cn" w:hAnsi="HelveticaNeueLT Std Lt Cn"/>
      <w:color w:val="000000"/>
      <w:sz w:val="24"/>
      <w:szCs w:val="24"/>
    </w:rPr>
  </w:style>
  <w:style w:type="character" w:customStyle="1" w:styleId="reference">
    <w:name w:val="reference"/>
    <w:uiPriority w:val="99"/>
    <w:rsid w:val="00031D87"/>
    <w:rPr>
      <w:color w:val="000000"/>
    </w:rPr>
  </w:style>
  <w:style w:type="character" w:styleId="FootnoteReference">
    <w:name w:val="footnote reference"/>
    <w:basedOn w:val="DefaultParagraphFont"/>
    <w:uiPriority w:val="99"/>
    <w:rsid w:val="00031D87"/>
    <w:rPr>
      <w:rFonts w:ascii="Georgia" w:hAnsi="Georgia" w:cs="Georgia"/>
      <w:color w:val="000000"/>
      <w:w w:val="100"/>
      <w:sz w:val="18"/>
      <w:szCs w:val="18"/>
      <w:vertAlign w:val="superscript"/>
    </w:rPr>
  </w:style>
  <w:style w:type="paragraph" w:customStyle="1" w:styleId="Referencelist-Georgia">
    <w:name w:val="Reference list - Georgia"/>
    <w:basedOn w:val="Normal"/>
    <w:uiPriority w:val="99"/>
    <w:rsid w:val="003A7507"/>
    <w:pPr>
      <w:tabs>
        <w:tab w:val="left" w:pos="340"/>
      </w:tabs>
      <w:autoSpaceDE w:val="0"/>
      <w:autoSpaceDN w:val="0"/>
      <w:adjustRightInd w:val="0"/>
      <w:spacing w:before="58" w:after="58" w:line="208" w:lineRule="atLeast"/>
      <w:ind w:left="270" w:hanging="270"/>
      <w:jc w:val="both"/>
      <w:textAlignment w:val="center"/>
    </w:pPr>
    <w:rPr>
      <w:rFonts w:ascii="Georgia" w:hAnsi="Georgia" w:cs="Georgia"/>
      <w:color w:val="000000"/>
      <w:sz w:val="16"/>
      <w:szCs w:val="16"/>
    </w:rPr>
  </w:style>
  <w:style w:type="character" w:customStyle="1" w:styleId="italic">
    <w:name w:val="italic"/>
    <w:uiPriority w:val="99"/>
    <w:rsid w:val="003A7507"/>
    <w:rPr>
      <w:i/>
      <w:iCs/>
    </w:rPr>
  </w:style>
  <w:style w:type="paragraph" w:styleId="Header">
    <w:name w:val="header"/>
    <w:basedOn w:val="Normal"/>
    <w:link w:val="HeaderChar"/>
    <w:uiPriority w:val="99"/>
    <w:unhideWhenUsed/>
    <w:rsid w:val="00886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DAD"/>
  </w:style>
  <w:style w:type="paragraph" w:styleId="Footer">
    <w:name w:val="footer"/>
    <w:basedOn w:val="Normal"/>
    <w:link w:val="FooterChar"/>
    <w:uiPriority w:val="99"/>
    <w:unhideWhenUsed/>
    <w:rsid w:val="00886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DAD"/>
  </w:style>
  <w:style w:type="character" w:customStyle="1" w:styleId="Heading1Char">
    <w:name w:val="Heading 1 Char"/>
    <w:basedOn w:val="DefaultParagraphFont"/>
    <w:link w:val="Heading1"/>
    <w:uiPriority w:val="9"/>
    <w:rsid w:val="00F04C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316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4A72D-522A-4876-A3EF-7AA812382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34</Pages>
  <Words>9534</Words>
  <Characters>54350</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Ofurhe Igbinedion</dc:creator>
  <cp:lastModifiedBy>Ofurhe Igbinedion</cp:lastModifiedBy>
  <cp:revision>11</cp:revision>
  <dcterms:created xsi:type="dcterms:W3CDTF">2012-11-10T01:16:00Z</dcterms:created>
  <dcterms:modified xsi:type="dcterms:W3CDTF">2012-11-12T17:50:00Z</dcterms:modified>
</cp:coreProperties>
</file>