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When consistently auto-selecting channels, the algorithm will determine a route of the sample material through connected devices, which is reused for all successive tasks concerning this sample and device</w:t>
      </w:r>
      <w:r>
        <w:t xml:space="preserve"> if channel mode is set to ‘reuse’</w:t>
      </w:r>
      <w:r>
        <w:t xml:space="preserve">. If channels are available and the device is not busy, successive </w:t>
      </w:r>
      <w:r>
        <w:t>tasks</w:t>
      </w:r>
      <w:r>
        <w:t xml:space="preserve"> are processed in parallel</w:t>
      </w:r>
      <w:r>
        <w:t xml:space="preserve">. Such tasks can be for different samples. </w:t>
      </w:r>
      <w:proofErr w:type="spellStart"/>
      <w:r w:rsidR="007075FF">
        <w:t>A</w:t>
      </w:r>
      <w:proofErr w:type="spellEnd"/>
      <w:r w:rsidR="007075FF">
        <w:t xml:space="preserve">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1E880D01" w14:textId="5BE7E201"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43F19887" w:rsidR="00B80D20" w:rsidRDefault="00B80D20" w:rsidP="00B80D20">
            <w:pPr>
              <w:pStyle w:val="ListParagraph"/>
              <w:ind w:left="0"/>
            </w:pPr>
            <w:proofErr w:type="spellStart"/>
            <w:r w:rsidRPr="00B401DB">
              <w:t>init</w:t>
            </w:r>
            <w:proofErr w:type="spellEnd"/>
            <w:r w:rsidRPr="00B401DB">
              <w:t>, prepare, transfer, measure, shut down, exit</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  None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54E33FA7" w14:textId="7D8956B4" w:rsidR="00456E6C" w:rsidRDefault="00684CC5" w:rsidP="00456E6C">
      <w:pPr>
        <w:pStyle w:val="ListParagraph"/>
      </w:pPr>
      <w:r>
        <w:t>Optional</w:t>
      </w:r>
      <w:r w:rsidR="00456E6C">
        <w:t xml:space="preserve"> parameters can be provided in the ‘task’ data field</w:t>
      </w:r>
      <w:r>
        <w:t>.</w:t>
      </w:r>
    </w:p>
    <w:tbl>
      <w:tblPr>
        <w:tblStyle w:val="TableGrid"/>
        <w:tblW w:w="0" w:type="auto"/>
        <w:tblInd w:w="720" w:type="dxa"/>
        <w:tblLook w:val="04A0" w:firstRow="1" w:lastRow="0" w:firstColumn="1" w:lastColumn="0" w:noHBand="0" w:noVBand="1"/>
      </w:tblPr>
      <w:tblGrid>
        <w:gridCol w:w="2839"/>
        <w:gridCol w:w="774"/>
        <w:gridCol w:w="1198"/>
        <w:gridCol w:w="1958"/>
        <w:gridCol w:w="1861"/>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proofErr w:type="spellStart"/>
            <w:r>
              <w:t>acquisition_time</w:t>
            </w:r>
            <w:proofErr w:type="spellEnd"/>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3A4E43" w:rsidR="0029036C" w:rsidRDefault="00233AB5" w:rsidP="0022000D">
            <w:pPr>
              <w:pStyle w:val="ListParagraph"/>
              <w:ind w:left="0"/>
            </w:pPr>
            <w:proofErr w:type="spellStart"/>
            <w:r>
              <w:t>device_</w:t>
            </w:r>
            <w:r w:rsidR="0029036C">
              <w:t>address</w:t>
            </w:r>
            <w:proofErr w:type="spellEnd"/>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 xml:space="preserve">HTML or other address to </w:t>
            </w:r>
            <w:r>
              <w:lastRenderedPageBreak/>
              <w:t>communicate with device</w:t>
            </w:r>
          </w:p>
        </w:tc>
        <w:tc>
          <w:tcPr>
            <w:tcW w:w="2245" w:type="dxa"/>
          </w:tcPr>
          <w:p w14:paraId="672BB16B" w14:textId="77777777" w:rsidR="0029036C" w:rsidRDefault="0029036C" w:rsidP="0022000D">
            <w:pPr>
              <w:pStyle w:val="ListParagraph"/>
              <w:ind w:left="0"/>
            </w:pPr>
          </w:p>
        </w:tc>
      </w:tr>
      <w:tr w:rsidR="0029036C" w14:paraId="37913FE6" w14:textId="77777777" w:rsidTr="000A036F">
        <w:tc>
          <w:tcPr>
            <w:tcW w:w="1840" w:type="dxa"/>
          </w:tcPr>
          <w:p w14:paraId="726186BF" w14:textId="1E6F26D8" w:rsidR="0029036C" w:rsidRDefault="0029036C" w:rsidP="0022000D">
            <w:pPr>
              <w:pStyle w:val="ListParagraph"/>
              <w:ind w:left="0"/>
            </w:pPr>
            <w:r>
              <w:t>force</w:t>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171D1866" w:rsidR="0029036C" w:rsidRDefault="0029036C" w:rsidP="0022000D">
            <w:pPr>
              <w:pStyle w:val="ListParagraph"/>
              <w:ind w:left="0"/>
            </w:pPr>
            <w:r>
              <w:t>Determines if a transfer is executed even if target channel is already occupied</w:t>
            </w:r>
          </w:p>
        </w:tc>
        <w:tc>
          <w:tcPr>
            <w:tcW w:w="2245" w:type="dxa"/>
          </w:tcPr>
          <w:p w14:paraId="3674BD5C" w14:textId="5549DCB5" w:rsidR="0029036C" w:rsidRDefault="000A036F" w:rsidP="0022000D">
            <w:pPr>
              <w:pStyle w:val="ListParagraph"/>
              <w:ind w:left="0"/>
            </w:pPr>
            <w:r>
              <w:t>False (default), True</w:t>
            </w:r>
          </w:p>
        </w:tc>
      </w:tr>
      <w:tr w:rsidR="000676AD" w14:paraId="0A0C3DDD" w14:textId="77777777" w:rsidTr="000A036F">
        <w:tc>
          <w:tcPr>
            <w:tcW w:w="1840" w:type="dxa"/>
          </w:tcPr>
          <w:p w14:paraId="156E0710" w14:textId="66152C83" w:rsidR="000676AD" w:rsidRDefault="000676AD" w:rsidP="0022000D">
            <w:pPr>
              <w:pStyle w:val="ListParagraph"/>
              <w:ind w:left="0"/>
            </w:pPr>
            <w:proofErr w:type="spellStart"/>
            <w:r>
              <w:t>wait_for_queue_to_empty</w:t>
            </w:r>
            <w:proofErr w:type="spellEnd"/>
          </w:p>
        </w:tc>
        <w:tc>
          <w:tcPr>
            <w:tcW w:w="816" w:type="dxa"/>
          </w:tcPr>
          <w:p w14:paraId="3911A8EF" w14:textId="4A5FED52" w:rsidR="000676AD" w:rsidRDefault="000676AD" w:rsidP="0022000D">
            <w:pPr>
              <w:pStyle w:val="ListParagraph"/>
              <w:ind w:left="0"/>
            </w:pPr>
            <w:r>
              <w:t>Bool</w:t>
            </w:r>
          </w:p>
        </w:tc>
        <w:tc>
          <w:tcPr>
            <w:tcW w:w="1209" w:type="dxa"/>
          </w:tcPr>
          <w:p w14:paraId="758AB489" w14:textId="2C3AFBD0" w:rsidR="000676AD" w:rsidRDefault="000676AD" w:rsidP="0022000D">
            <w:pPr>
              <w:pStyle w:val="ListParagraph"/>
              <w:ind w:left="0"/>
            </w:pPr>
            <w:r>
              <w:t>shutdown</w:t>
            </w:r>
          </w:p>
        </w:tc>
        <w:tc>
          <w:tcPr>
            <w:tcW w:w="2520" w:type="dxa"/>
          </w:tcPr>
          <w:p w14:paraId="653CD232" w14:textId="6E4A99F0" w:rsidR="000676AD" w:rsidRDefault="000676AD" w:rsidP="0022000D">
            <w:pPr>
              <w:pStyle w:val="ListParagraph"/>
              <w:ind w:left="0"/>
            </w:pPr>
            <w:r>
              <w:t>Waits for all scheduled and active tasks to finish before shutting down the server</w:t>
            </w:r>
          </w:p>
        </w:tc>
        <w:tc>
          <w:tcPr>
            <w:tcW w:w="2245" w:type="dxa"/>
          </w:tcPr>
          <w:p w14:paraId="6958ADB1" w14:textId="00B80F93" w:rsidR="000676AD" w:rsidRDefault="000676AD"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50241D99" w:rsidR="00F53D51" w:rsidRDefault="00233AB5" w:rsidP="00F53D51">
      <w:pPr>
        <w:pStyle w:val="Heading2"/>
      </w:pPr>
      <w:r>
        <w:t xml:space="preserve">Task </w:t>
      </w:r>
      <w:r w:rsidR="00F53D51">
        <w:t>Implementation Details</w:t>
      </w:r>
    </w:p>
    <w:p w14:paraId="2CF7052C" w14:textId="2F6B74C3" w:rsidR="00B401DB" w:rsidRDefault="00233AB5" w:rsidP="00233AB5">
      <w:pPr>
        <w:pStyle w:val="Heading3"/>
      </w:pPr>
      <w:proofErr w:type="spellStart"/>
      <w:r>
        <w:t>init</w:t>
      </w:r>
      <w:proofErr w:type="spellEnd"/>
    </w:p>
    <w:p w14:paraId="00147C2F" w14:textId="2FD05AFE" w:rsidR="00D05175" w:rsidRDefault="00B401DB" w:rsidP="00F53D51">
      <w:r>
        <w:t>Instruments need to be initialize using the ‘</w:t>
      </w:r>
      <w:proofErr w:type="spellStart"/>
      <w:r>
        <w:t>init</w:t>
      </w:r>
      <w:proofErr w:type="spellEnd"/>
      <w:r>
        <w:t xml:space="preserve">’ task type. The </w:t>
      </w:r>
      <w:r w:rsidRPr="00233AB5">
        <w:t>‘task’</w:t>
      </w:r>
      <w:r>
        <w:t xml:space="preserve"> subfield </w:t>
      </w:r>
      <w:r w:rsidR="00D05175">
        <w:t xml:space="preserve">may </w:t>
      </w:r>
      <w:r>
        <w:t xml:space="preserve">contain the </w:t>
      </w:r>
      <w:r w:rsidR="00456E6C">
        <w:t xml:space="preserve">additional </w:t>
      </w:r>
      <w:r>
        <w:t>key</w:t>
      </w:r>
      <w:r w:rsidR="00DB69DB">
        <w:t>s</w:t>
      </w:r>
      <w:r w:rsidR="00D05175">
        <w:t xml:space="preserve"> listed below</w:t>
      </w:r>
      <w:r w:rsidR="00233AB5">
        <w:t xml:space="preserve"> (see above for details on individual arguments</w:t>
      </w:r>
      <w:r w:rsidR="00D05175">
        <w:t xml:space="preserve">. </w:t>
      </w:r>
      <w:r w:rsidR="001F7466">
        <w:t>Initialization of a device not at the beginning of a campaign is possible, but might give unintended results due to the parallel execution of tasks, whose order is hard to predict. As currently implemented, initialization tasks take a higher priority over all other tasks.</w:t>
      </w:r>
    </w:p>
    <w:p w14:paraId="30EE6B5A" w14:textId="591B1C2B" w:rsidR="00DB69DB" w:rsidRDefault="00B401DB" w:rsidP="00F53D51">
      <w:r>
        <w:t xml:space="preserve"> </w:t>
      </w:r>
    </w:p>
    <w:p w14:paraId="3902E8B7" w14:textId="7F9202A7" w:rsidR="00B401DB" w:rsidRDefault="00B401DB" w:rsidP="00DB69DB">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12D85416" w14:textId="77777777" w:rsidR="006A24BB" w:rsidRDefault="006A24BB" w:rsidP="006A24BB"/>
    <w:p w14:paraId="59EDB73B" w14:textId="5B77EC5C" w:rsidR="006A24BB" w:rsidRDefault="006A24BB" w:rsidP="006A24BB">
      <w:pPr>
        <w:ind w:left="360"/>
      </w:pPr>
      <w:r>
        <w:t>under ‘task’:</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233AB5">
      <w:pPr>
        <w:pStyle w:val="Heading3"/>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233AB5">
      <w:pPr>
        <w:pStyle w:val="Heading3"/>
      </w:pPr>
      <w:r>
        <w:lastRenderedPageBreak/>
        <w:t>transfer</w:t>
      </w:r>
    </w:p>
    <w:p w14:paraId="26C5ECC7" w14:textId="50CED26B" w:rsidR="00233AB5" w:rsidRDefault="00816ABD" w:rsidP="00816ABD">
      <w:r>
        <w:t>Transfers material from one device to another following the rules set by ‘</w:t>
      </w:r>
      <w:proofErr w:type="spellStart"/>
      <w:r>
        <w:t>channel_mode</w:t>
      </w:r>
      <w:proofErr w:type="spellEnd"/>
      <w:r>
        <w:t xml:space="preserve">’ for each device. </w:t>
      </w:r>
      <w:r w:rsidR="005F49BF">
        <w:t>Arguments</w:t>
      </w:r>
      <w:r>
        <w:t xml:space="preserve"> are:</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0C75AB4A" w14:textId="537EFDE2" w:rsidR="00816ABD" w:rsidRDefault="00816ABD" w:rsidP="00816ABD">
      <w:pPr>
        <w:pStyle w:val="ListParagraph"/>
        <w:numPr>
          <w:ilvl w:val="0"/>
          <w:numId w:val="6"/>
        </w:numPr>
      </w:pPr>
      <w:proofErr w:type="spellStart"/>
      <w:r>
        <w:t>target_channel</w:t>
      </w:r>
      <w:proofErr w:type="spellEnd"/>
      <w:r>
        <w:t>:</w:t>
      </w:r>
      <w:r>
        <w:tab/>
        <w:t>default = None, target channel</w:t>
      </w:r>
    </w:p>
    <w:p w14:paraId="7C1ED73D" w14:textId="590B8823" w:rsidR="00816ABD" w:rsidRDefault="00816ABD" w:rsidP="00816ABD">
      <w:pPr>
        <w:pStyle w:val="ListParagraph"/>
        <w:numPr>
          <w:ilvl w:val="0"/>
          <w:numId w:val="6"/>
        </w:numPr>
      </w:pPr>
      <w:proofErr w:type="spellStart"/>
      <w:r>
        <w:t>target_device</w:t>
      </w:r>
      <w:proofErr w:type="spellEnd"/>
      <w:r>
        <w:t>:</w:t>
      </w:r>
      <w:r>
        <w:tab/>
      </w:r>
      <w:r>
        <w:tab/>
        <w:t>target device</w:t>
      </w:r>
    </w:p>
    <w:p w14:paraId="18A2ADD6" w14:textId="77777777" w:rsidR="006A24BB" w:rsidRDefault="006A24BB" w:rsidP="006A24BB"/>
    <w:p w14:paraId="73287777" w14:textId="39CF2643" w:rsidR="006A24BB" w:rsidRDefault="006A24BB" w:rsidP="006A24BB">
      <w:pPr>
        <w:ind w:left="360"/>
      </w:pPr>
      <w:r>
        <w:t>under ‘task’</w:t>
      </w:r>
    </w:p>
    <w:p w14:paraId="08A5F7A3" w14:textId="1B0F35CD" w:rsidR="00816ABD" w:rsidRDefault="006A24BB" w:rsidP="00816ABD">
      <w:pPr>
        <w:pStyle w:val="ListParagraph"/>
        <w:numPr>
          <w:ilvl w:val="0"/>
          <w:numId w:val="6"/>
        </w:numPr>
      </w:pPr>
      <w:r>
        <w:t>force:</w:t>
      </w:r>
      <w:r>
        <w:tab/>
      </w:r>
      <w:r>
        <w:tab/>
      </w:r>
      <w:r>
        <w:tab/>
        <w:t>default = False, disable checks on</w:t>
      </w:r>
      <w:r w:rsidR="007730EC">
        <w:t xml:space="preserve"> target</w:t>
      </w:r>
      <w:r>
        <w:t xml:space="preserve"> channel occupation</w:t>
      </w:r>
    </w:p>
    <w:p w14:paraId="5636FCE6" w14:textId="77777777" w:rsidR="006A24BB" w:rsidRDefault="006A24BB" w:rsidP="006A24BB"/>
    <w:p w14:paraId="378E1913" w14:textId="5DB7033D" w:rsidR="00233AB5" w:rsidRDefault="00233AB5" w:rsidP="00233AB5">
      <w:pPr>
        <w:pStyle w:val="Heading3"/>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Pr="006A24BB"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051A6A5C" w14:textId="77777777" w:rsidR="00B401DB" w:rsidRDefault="00B401DB" w:rsidP="00F53D51"/>
    <w:p w14:paraId="3387F128" w14:textId="613CF6E1" w:rsidR="00F53D51" w:rsidRDefault="00233AB5" w:rsidP="00233AB5">
      <w:pPr>
        <w:pStyle w:val="Heading3"/>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r>
      <w:r>
        <w:t>task to execute</w:t>
      </w:r>
    </w:p>
    <w:p w14:paraId="19FAFC31" w14:textId="1AE2094B" w:rsidR="00D932A2" w:rsidRDefault="00D932A2" w:rsidP="00D932A2">
      <w:pPr>
        <w:ind w:left="4320" w:hanging="4320"/>
      </w:pPr>
      <w:r>
        <w:t>:return</w:t>
      </w:r>
      <w:r>
        <w:t xml:space="preserve"> status</w:t>
      </w:r>
      <w:r>
        <w:t xml:space="preserve">: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w:t>
      </w:r>
      <w:r w:rsidR="00D932A2">
        <w:t xml:space="preserve">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w:t>
      </w:r>
      <w:r w:rsidR="00D932A2">
        <w:t xml:space="preserve">,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9F7C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F7466"/>
    <w:rsid w:val="00233AB5"/>
    <w:rsid w:val="00246638"/>
    <w:rsid w:val="0029036C"/>
    <w:rsid w:val="00290DD0"/>
    <w:rsid w:val="002D22E4"/>
    <w:rsid w:val="00317C0D"/>
    <w:rsid w:val="003C7A33"/>
    <w:rsid w:val="00454D15"/>
    <w:rsid w:val="00456E6C"/>
    <w:rsid w:val="005B4E51"/>
    <w:rsid w:val="005F49BF"/>
    <w:rsid w:val="00684CC5"/>
    <w:rsid w:val="006A24BB"/>
    <w:rsid w:val="007075FF"/>
    <w:rsid w:val="007507DB"/>
    <w:rsid w:val="00767C28"/>
    <w:rsid w:val="007730EC"/>
    <w:rsid w:val="007C265C"/>
    <w:rsid w:val="00816ABD"/>
    <w:rsid w:val="00982C2F"/>
    <w:rsid w:val="0099275C"/>
    <w:rsid w:val="0099793B"/>
    <w:rsid w:val="009A26E8"/>
    <w:rsid w:val="009F7C9E"/>
    <w:rsid w:val="00A23CC1"/>
    <w:rsid w:val="00A42B84"/>
    <w:rsid w:val="00A556ED"/>
    <w:rsid w:val="00A978AC"/>
    <w:rsid w:val="00AE7F65"/>
    <w:rsid w:val="00B401DB"/>
    <w:rsid w:val="00B80D20"/>
    <w:rsid w:val="00C20E6D"/>
    <w:rsid w:val="00C22751"/>
    <w:rsid w:val="00C427F3"/>
    <w:rsid w:val="00C66DAE"/>
    <w:rsid w:val="00D05175"/>
    <w:rsid w:val="00D21FC8"/>
    <w:rsid w:val="00D932A2"/>
    <w:rsid w:val="00DB69DB"/>
    <w:rsid w:val="00E77E0E"/>
    <w:rsid w:val="00EC1440"/>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14</cp:revision>
  <dcterms:created xsi:type="dcterms:W3CDTF">2023-11-27T15:46:00Z</dcterms:created>
  <dcterms:modified xsi:type="dcterms:W3CDTF">2024-01-30T22:51:00Z</dcterms:modified>
</cp:coreProperties>
</file>