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4618" w14:textId="77777777" w:rsidR="00D54433" w:rsidRDefault="00000000">
      <w:pPr>
        <w:jc w:val="center"/>
      </w:pPr>
      <w:r>
        <w:rPr>
          <w:b/>
          <w:color w:val="005496"/>
          <w:sz w:val="60"/>
        </w:rPr>
        <w:t>EMCALI Cyber 2.0</w:t>
      </w:r>
    </w:p>
    <w:p w14:paraId="4D0FB0FA" w14:textId="77777777" w:rsidR="00D54433" w:rsidRDefault="00000000">
      <w:pPr>
        <w:jc w:val="center"/>
      </w:pPr>
      <w:r>
        <w:rPr>
          <w:color w:val="464646"/>
          <w:sz w:val="32"/>
        </w:rPr>
        <w:t>Arquitectura por capas, diagrama técnico y tabla comparativa</w:t>
      </w:r>
    </w:p>
    <w:p w14:paraId="6E0551BE" w14:textId="77777777" w:rsidR="00D54433" w:rsidRDefault="00D54433"/>
    <w:p w14:paraId="5D1DC794" w14:textId="77777777" w:rsidR="00D54433" w:rsidRDefault="00000000">
      <w:pPr>
        <w:jc w:val="center"/>
      </w:pPr>
      <w:r>
        <w:rPr>
          <w:sz w:val="24"/>
        </w:rPr>
        <w:t>Proyecto: Agente Consultor en Ciberseguridad con LLMs Locales</w:t>
      </w:r>
    </w:p>
    <w:p w14:paraId="5A7E65C9" w14:textId="77777777" w:rsidR="00D54433" w:rsidRDefault="00000000">
      <w:pPr>
        <w:jc w:val="center"/>
      </w:pPr>
      <w:r>
        <w:rPr>
          <w:sz w:val="22"/>
        </w:rPr>
        <w:t>Enfoque: Qualys/Tenable + MCP/FastMCP + LangGraph/LangChain + Ollama/vLLM + RAG</w:t>
      </w:r>
    </w:p>
    <w:p w14:paraId="3E13B4E0" w14:textId="77777777" w:rsidR="00D54433" w:rsidRDefault="00000000">
      <w:r>
        <w:rPr>
          <w:noProof/>
        </w:rPr>
        <w:drawing>
          <wp:inline distT="0" distB="0" distL="0" distR="0" wp14:anchorId="5457F181" wp14:editId="4CD8B722">
            <wp:extent cx="6309360" cy="361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por_capas_emcali_cyber20.png"/>
                    <pic:cNvPicPr/>
                  </pic:nvPicPr>
                  <pic:blipFill>
                    <a:blip r:embed="rId8"/>
                    <a:stretch>
                      <a:fillRect/>
                    </a:stretch>
                  </pic:blipFill>
                  <pic:spPr>
                    <a:xfrm>
                      <a:off x="0" y="0"/>
                      <a:ext cx="6309360" cy="3612550"/>
                    </a:xfrm>
                    <a:prstGeom prst="rect">
                      <a:avLst/>
                    </a:prstGeom>
                  </pic:spPr>
                </pic:pic>
              </a:graphicData>
            </a:graphic>
          </wp:inline>
        </w:drawing>
      </w:r>
    </w:p>
    <w:p w14:paraId="150EBB96" w14:textId="77777777" w:rsidR="00D54433" w:rsidRDefault="00000000">
      <w:pPr>
        <w:jc w:val="center"/>
      </w:pPr>
      <w:r>
        <w:rPr>
          <w:i/>
          <w:color w:val="505050"/>
          <w:sz w:val="18"/>
        </w:rPr>
        <w:t>Figura 1. Arquitectura general por capas propuesta para EMCALI Cyber 2.0.</w:t>
      </w:r>
    </w:p>
    <w:p w14:paraId="713F2488" w14:textId="77777777" w:rsidR="00D54433" w:rsidRDefault="00000000">
      <w:r>
        <w:br w:type="page"/>
      </w:r>
    </w:p>
    <w:p w14:paraId="1E697AB5" w14:textId="77777777" w:rsidR="00D54433" w:rsidRDefault="00000000">
      <w:pPr>
        <w:pStyle w:val="Ttulo1"/>
      </w:pPr>
      <w:r>
        <w:lastRenderedPageBreak/>
        <w:t>1. Resumen ejecutivo</w:t>
      </w:r>
    </w:p>
    <w:p w14:paraId="4F952AA0" w14:textId="77777777" w:rsidR="00D54433" w:rsidRDefault="00000000">
      <w:r>
        <w:t>EMCALI Cyber 2.0 se plantea como una solución local-first para análisis de vulnerabilidades asistido por inteligencia artificial. Su núcleo operativo combina modelos locales ejecutados con Ollama o vLLM, una capa de orquestación agéntica basada en LangGraph y LangChain, conectores de herramientas mediante MCP/FastMCP, una base vectorial para RAG y una capa de validación orientada a seguridad, métricas y trazabilidad.</w:t>
      </w:r>
    </w:p>
    <w:p w14:paraId="289110CC" w14:textId="77777777" w:rsidR="00D54433" w:rsidRDefault="00000000">
      <w:r>
        <w:t>La primera fase debe concentrarse en el análisis de vulnerabilidades provenientes de Qualys y Tenable, con procesamiento de logs como segunda iteración. Esta decisión está alineada con el acta del proyecto, donde se priorizó el análisis de vulnerabilidades, la comparación de modelos, el uso de Ollama, y la evaluación de MCP servers como estrategia más escalable que la carga manual de CSV.</w:t>
      </w:r>
    </w:p>
    <w:p w14:paraId="603E1F53" w14:textId="77777777" w:rsidR="00D54433" w:rsidRDefault="00000000">
      <w:r>
        <w:t>La arquitectura propuesta evita depender únicamente del prompt. En su lugar, organiza el sistema como una cadena de capas: fuentes de datos, normalización, esquema unificado, orquestación, RAG, inferencia local, validación y presentación. Esta separación reduce alucinaciones, mejora auditabilidad y facilita el crecimiento hacia nuevos casos de uso del SOC.</w:t>
      </w:r>
    </w:p>
    <w:p w14:paraId="4A449C5A" w14:textId="77777777" w:rsidR="00D54433" w:rsidRDefault="00000000">
      <w:pPr>
        <w:pStyle w:val="Ttulo1"/>
      </w:pPr>
      <w:r>
        <w:t>2. Principios de diseño</w:t>
      </w:r>
    </w:p>
    <w:tbl>
      <w:tblPr>
        <w:tblStyle w:val="Tablaconcuadrcula"/>
        <w:tblW w:w="0" w:type="auto"/>
        <w:jc w:val="center"/>
        <w:tblLook w:val="04A0" w:firstRow="1" w:lastRow="0" w:firstColumn="1" w:lastColumn="0" w:noHBand="0" w:noVBand="1"/>
      </w:tblPr>
      <w:tblGrid>
        <w:gridCol w:w="5035"/>
        <w:gridCol w:w="5035"/>
      </w:tblGrid>
      <w:tr w:rsidR="00D54433" w14:paraId="1920A622" w14:textId="77777777">
        <w:trPr>
          <w:jc w:val="center"/>
        </w:trPr>
        <w:tc>
          <w:tcPr>
            <w:tcW w:w="5040" w:type="dxa"/>
            <w:shd w:val="clear" w:color="auto" w:fill="005496"/>
          </w:tcPr>
          <w:p w14:paraId="452F036F" w14:textId="77777777" w:rsidR="00D54433" w:rsidRDefault="00000000">
            <w:r>
              <w:rPr>
                <w:b/>
                <w:color w:val="FFFFFF"/>
              </w:rPr>
              <w:t>Principio</w:t>
            </w:r>
          </w:p>
        </w:tc>
        <w:tc>
          <w:tcPr>
            <w:tcW w:w="5040" w:type="dxa"/>
            <w:shd w:val="clear" w:color="auto" w:fill="005496"/>
          </w:tcPr>
          <w:p w14:paraId="37A391E4" w14:textId="77777777" w:rsidR="00D54433" w:rsidRDefault="00000000">
            <w:r>
              <w:rPr>
                <w:b/>
                <w:color w:val="FFFFFF"/>
              </w:rPr>
              <w:t>Implicación técnica</w:t>
            </w:r>
          </w:p>
        </w:tc>
      </w:tr>
      <w:tr w:rsidR="00D54433" w14:paraId="56A70CB7" w14:textId="77777777">
        <w:trPr>
          <w:jc w:val="center"/>
        </w:trPr>
        <w:tc>
          <w:tcPr>
            <w:tcW w:w="5040" w:type="dxa"/>
          </w:tcPr>
          <w:p w14:paraId="149212B6" w14:textId="77777777" w:rsidR="00D54433" w:rsidRDefault="00000000">
            <w:r>
              <w:t>Soberanía de datos</w:t>
            </w:r>
          </w:p>
        </w:tc>
        <w:tc>
          <w:tcPr>
            <w:tcW w:w="5040" w:type="dxa"/>
          </w:tcPr>
          <w:p w14:paraId="42E497F9" w14:textId="77777777" w:rsidR="00D54433" w:rsidRDefault="00000000">
            <w:r>
              <w:t>Los hallazgos de vulnerabilidades, activos, IP internas, playbooks y evidencias deben procesarse localmente salvo autorización expresa para escenarios híbridos.</w:t>
            </w:r>
          </w:p>
        </w:tc>
      </w:tr>
      <w:tr w:rsidR="00D54433" w14:paraId="37BABA29" w14:textId="77777777">
        <w:trPr>
          <w:jc w:val="center"/>
        </w:trPr>
        <w:tc>
          <w:tcPr>
            <w:tcW w:w="5040" w:type="dxa"/>
          </w:tcPr>
          <w:p w14:paraId="619F997A" w14:textId="77777777" w:rsidR="00D54433" w:rsidRDefault="00000000">
            <w:r>
              <w:t>Arquitectura tool-driven</w:t>
            </w:r>
          </w:p>
        </w:tc>
        <w:tc>
          <w:tcPr>
            <w:tcW w:w="5040" w:type="dxa"/>
          </w:tcPr>
          <w:p w14:paraId="42CFC4B9" w14:textId="77777777" w:rsidR="00D54433" w:rsidRDefault="00000000">
            <w:r>
              <w:t>El agente debe consultar herramientas y fuentes verificables en lugar de depender de datos pegados manualmente en el prompt.</w:t>
            </w:r>
          </w:p>
        </w:tc>
      </w:tr>
      <w:tr w:rsidR="00D54433" w14:paraId="3FF29BF6" w14:textId="77777777">
        <w:trPr>
          <w:jc w:val="center"/>
        </w:trPr>
        <w:tc>
          <w:tcPr>
            <w:tcW w:w="5040" w:type="dxa"/>
          </w:tcPr>
          <w:p w14:paraId="11847F47" w14:textId="77777777" w:rsidR="00D54433" w:rsidRDefault="00000000">
            <w:r>
              <w:t>Agentes especializados</w:t>
            </w:r>
          </w:p>
        </w:tc>
        <w:tc>
          <w:tcPr>
            <w:tcW w:w="5040" w:type="dxa"/>
          </w:tcPr>
          <w:p w14:paraId="23138C1B" w14:textId="77777777" w:rsidR="00D54433" w:rsidRDefault="00000000">
            <w:r>
              <w:t>Se recomienda separar funciones: priorización, explicación técnica, generación de scripts, enriquecimiento CVE y resumen ejecutivo.</w:t>
            </w:r>
          </w:p>
        </w:tc>
      </w:tr>
      <w:tr w:rsidR="00D54433" w14:paraId="26151DDA" w14:textId="77777777">
        <w:trPr>
          <w:jc w:val="center"/>
        </w:trPr>
        <w:tc>
          <w:tcPr>
            <w:tcW w:w="5040" w:type="dxa"/>
          </w:tcPr>
          <w:p w14:paraId="5955F007" w14:textId="77777777" w:rsidR="00D54433" w:rsidRDefault="00000000">
            <w:r>
              <w:t>Normalización previa al LLM</w:t>
            </w:r>
          </w:p>
        </w:tc>
        <w:tc>
          <w:tcPr>
            <w:tcW w:w="5040" w:type="dxa"/>
          </w:tcPr>
          <w:p w14:paraId="50E61735" w14:textId="77777777" w:rsidR="00D54433" w:rsidRDefault="00000000">
            <w:r>
              <w:t>Qualys y Tenable usan esquemas distintos; el LLM debe recibir un Unified JSON Schema estable.</w:t>
            </w:r>
          </w:p>
        </w:tc>
      </w:tr>
      <w:tr w:rsidR="00D54433" w14:paraId="355743C4" w14:textId="77777777">
        <w:trPr>
          <w:jc w:val="center"/>
        </w:trPr>
        <w:tc>
          <w:tcPr>
            <w:tcW w:w="5040" w:type="dxa"/>
          </w:tcPr>
          <w:p w14:paraId="1327069F" w14:textId="77777777" w:rsidR="00D54433" w:rsidRDefault="00000000">
            <w:r>
              <w:t>Evaluación medible</w:t>
            </w:r>
          </w:p>
        </w:tc>
        <w:tc>
          <w:tcPr>
            <w:tcW w:w="5040" w:type="dxa"/>
          </w:tcPr>
          <w:p w14:paraId="5B35ADBE" w14:textId="77777777" w:rsidR="00D54433" w:rsidRDefault="00000000">
            <w:r>
              <w:t>La aceptación debe basarse en recall, tasa de alucinación, latencia, robustez, exactitud de IOCs y validación de scripts.</w:t>
            </w:r>
          </w:p>
        </w:tc>
      </w:tr>
      <w:tr w:rsidR="00D54433" w14:paraId="1A64AF9A" w14:textId="77777777">
        <w:trPr>
          <w:jc w:val="center"/>
        </w:trPr>
        <w:tc>
          <w:tcPr>
            <w:tcW w:w="5040" w:type="dxa"/>
          </w:tcPr>
          <w:p w14:paraId="6FCF85B3" w14:textId="77777777" w:rsidR="00D54433" w:rsidRDefault="00000000">
            <w:r>
              <w:t>Despliegue reproducible</w:t>
            </w:r>
          </w:p>
        </w:tc>
        <w:tc>
          <w:tcPr>
            <w:tcW w:w="5040" w:type="dxa"/>
          </w:tcPr>
          <w:p w14:paraId="07491985" w14:textId="77777777" w:rsidR="00D54433" w:rsidRDefault="00000000">
            <w:r>
              <w:t>Docker Compose, volúmenes persistentes y GPU dedicada permiten trazabilidad y recuperación operativa.</w:t>
            </w:r>
          </w:p>
        </w:tc>
      </w:tr>
    </w:tbl>
    <w:p w14:paraId="23B167D6" w14:textId="77777777" w:rsidR="00D54433" w:rsidRDefault="00000000">
      <w:pPr>
        <w:pStyle w:val="Ttulo1"/>
      </w:pPr>
      <w:r>
        <w:t>3. Arquitectura por capas</w:t>
      </w:r>
    </w:p>
    <w:p w14:paraId="67E93BC1" w14:textId="77777777" w:rsidR="00D54433" w:rsidRDefault="00000000">
      <w:r>
        <w:t>La arquitectura por capas permite separar responsabilidades, reducir acoplamiento y facilitar la evolución del sistema. Cada capa cumple una función clara dentro del ciclo de análisis de vulnerabilidades.</w:t>
      </w:r>
    </w:p>
    <w:tbl>
      <w:tblPr>
        <w:tblStyle w:val="Tablaconcuadrcula"/>
        <w:tblW w:w="0" w:type="auto"/>
        <w:jc w:val="center"/>
        <w:tblLook w:val="04A0" w:firstRow="1" w:lastRow="0" w:firstColumn="1" w:lastColumn="0" w:noHBand="0" w:noVBand="1"/>
      </w:tblPr>
      <w:tblGrid>
        <w:gridCol w:w="2518"/>
        <w:gridCol w:w="2517"/>
        <w:gridCol w:w="2518"/>
        <w:gridCol w:w="2517"/>
      </w:tblGrid>
      <w:tr w:rsidR="00D54433" w14:paraId="49844234" w14:textId="77777777">
        <w:trPr>
          <w:jc w:val="center"/>
        </w:trPr>
        <w:tc>
          <w:tcPr>
            <w:tcW w:w="2520" w:type="dxa"/>
            <w:shd w:val="clear" w:color="auto" w:fill="005496"/>
          </w:tcPr>
          <w:p w14:paraId="79A65219" w14:textId="77777777" w:rsidR="00D54433" w:rsidRDefault="00000000">
            <w:r>
              <w:rPr>
                <w:b/>
                <w:color w:val="FFFFFF"/>
              </w:rPr>
              <w:t>Capa</w:t>
            </w:r>
          </w:p>
        </w:tc>
        <w:tc>
          <w:tcPr>
            <w:tcW w:w="2520" w:type="dxa"/>
            <w:shd w:val="clear" w:color="auto" w:fill="005496"/>
          </w:tcPr>
          <w:p w14:paraId="7CA87400" w14:textId="77777777" w:rsidR="00D54433" w:rsidRDefault="00000000">
            <w:r>
              <w:rPr>
                <w:b/>
                <w:color w:val="FFFFFF"/>
              </w:rPr>
              <w:t>Componentes</w:t>
            </w:r>
          </w:p>
        </w:tc>
        <w:tc>
          <w:tcPr>
            <w:tcW w:w="2520" w:type="dxa"/>
            <w:shd w:val="clear" w:color="auto" w:fill="005496"/>
          </w:tcPr>
          <w:p w14:paraId="65772BFE" w14:textId="77777777" w:rsidR="00D54433" w:rsidRDefault="00000000">
            <w:r>
              <w:rPr>
                <w:b/>
                <w:color w:val="FFFFFF"/>
              </w:rPr>
              <w:t>Responsabilidad</w:t>
            </w:r>
          </w:p>
        </w:tc>
        <w:tc>
          <w:tcPr>
            <w:tcW w:w="2520" w:type="dxa"/>
            <w:shd w:val="clear" w:color="auto" w:fill="005496"/>
          </w:tcPr>
          <w:p w14:paraId="27DFA330" w14:textId="77777777" w:rsidR="00D54433" w:rsidRDefault="00000000">
            <w:r>
              <w:rPr>
                <w:b/>
                <w:color w:val="FFFFFF"/>
              </w:rPr>
              <w:t>Resultado</w:t>
            </w:r>
          </w:p>
        </w:tc>
      </w:tr>
      <w:tr w:rsidR="00D54433" w14:paraId="585531D4" w14:textId="77777777">
        <w:trPr>
          <w:jc w:val="center"/>
        </w:trPr>
        <w:tc>
          <w:tcPr>
            <w:tcW w:w="2520" w:type="dxa"/>
          </w:tcPr>
          <w:p w14:paraId="71EC8F97" w14:textId="77777777" w:rsidR="00D54433" w:rsidRDefault="00000000">
            <w:r>
              <w:t>1. Presentación / Interfaz</w:t>
            </w:r>
          </w:p>
        </w:tc>
        <w:tc>
          <w:tcPr>
            <w:tcW w:w="2520" w:type="dxa"/>
          </w:tcPr>
          <w:p w14:paraId="1B4D97BB" w14:textId="77777777" w:rsidR="00D54433" w:rsidRDefault="00000000">
            <w:r>
              <w:t>Streamlit, HTML/CSS, dashboards SOC</w:t>
            </w:r>
          </w:p>
        </w:tc>
        <w:tc>
          <w:tcPr>
            <w:tcW w:w="2520" w:type="dxa"/>
          </w:tcPr>
          <w:p w14:paraId="0AC2AECA" w14:textId="77777777" w:rsidR="00D54433" w:rsidRDefault="00000000">
            <w:r>
              <w:t>Carga de reportes, consulta CVE, visualización de recomendaciones, descarga de informes y scripts.</w:t>
            </w:r>
          </w:p>
        </w:tc>
        <w:tc>
          <w:tcPr>
            <w:tcW w:w="2520" w:type="dxa"/>
          </w:tcPr>
          <w:p w14:paraId="69B8244B" w14:textId="77777777" w:rsidR="00D54433" w:rsidRDefault="00000000">
            <w:r>
              <w:t>Interfaz unificada para analistas y equipo TI.</w:t>
            </w:r>
          </w:p>
        </w:tc>
      </w:tr>
      <w:tr w:rsidR="00D54433" w14:paraId="02C085F5" w14:textId="77777777">
        <w:trPr>
          <w:jc w:val="center"/>
        </w:trPr>
        <w:tc>
          <w:tcPr>
            <w:tcW w:w="2520" w:type="dxa"/>
          </w:tcPr>
          <w:p w14:paraId="57657106" w14:textId="77777777" w:rsidR="00D54433" w:rsidRDefault="00000000">
            <w:r>
              <w:t>2. Aplicación / API</w:t>
            </w:r>
          </w:p>
        </w:tc>
        <w:tc>
          <w:tcPr>
            <w:tcW w:w="2520" w:type="dxa"/>
          </w:tcPr>
          <w:p w14:paraId="69ADD94E" w14:textId="77777777" w:rsidR="00D54433" w:rsidRDefault="00000000">
            <w:r>
              <w:t>FastAPI</w:t>
            </w:r>
          </w:p>
        </w:tc>
        <w:tc>
          <w:tcPr>
            <w:tcW w:w="2520" w:type="dxa"/>
          </w:tcPr>
          <w:p w14:paraId="4D767547" w14:textId="77777777" w:rsidR="00D54433" w:rsidRDefault="00000000">
            <w:r>
              <w:t xml:space="preserve">Exponer endpoints </w:t>
            </w:r>
            <w:r>
              <w:lastRenderedPageBreak/>
              <w:t>/health, /analyze, /normalize, /generate-script, /ingest-docs.</w:t>
            </w:r>
          </w:p>
        </w:tc>
        <w:tc>
          <w:tcPr>
            <w:tcW w:w="2520" w:type="dxa"/>
          </w:tcPr>
          <w:p w14:paraId="547E0CDE" w14:textId="77777777" w:rsidR="00D54433" w:rsidRDefault="00000000">
            <w:r>
              <w:lastRenderedPageBreak/>
              <w:t xml:space="preserve">Servicio desacoplado y </w:t>
            </w:r>
            <w:r>
              <w:lastRenderedPageBreak/>
              <w:t>reutilizable.</w:t>
            </w:r>
          </w:p>
        </w:tc>
      </w:tr>
      <w:tr w:rsidR="00D54433" w14:paraId="45061FD9" w14:textId="77777777">
        <w:trPr>
          <w:jc w:val="center"/>
        </w:trPr>
        <w:tc>
          <w:tcPr>
            <w:tcW w:w="2520" w:type="dxa"/>
          </w:tcPr>
          <w:p w14:paraId="2EDFAB4C" w14:textId="77777777" w:rsidR="00D54433" w:rsidRDefault="00000000">
            <w:r>
              <w:lastRenderedPageBreak/>
              <w:t>3. Orquestación agéntica</w:t>
            </w:r>
          </w:p>
        </w:tc>
        <w:tc>
          <w:tcPr>
            <w:tcW w:w="2520" w:type="dxa"/>
          </w:tcPr>
          <w:p w14:paraId="55BB4B4B" w14:textId="77777777" w:rsidR="00D54433" w:rsidRDefault="00000000">
            <w:r>
              <w:t>LangGraph, LangChain, LangSmith</w:t>
            </w:r>
          </w:p>
        </w:tc>
        <w:tc>
          <w:tcPr>
            <w:tcW w:w="2520" w:type="dxa"/>
          </w:tcPr>
          <w:p w14:paraId="0D444E12" w14:textId="77777777" w:rsidR="00D54433" w:rsidRDefault="00000000">
            <w:r>
              <w:t>Gestionar estado, seleccionar tools, consultar RAG, componer prompt final, validar salida.</w:t>
            </w:r>
          </w:p>
        </w:tc>
        <w:tc>
          <w:tcPr>
            <w:tcW w:w="2520" w:type="dxa"/>
          </w:tcPr>
          <w:p w14:paraId="1073C981" w14:textId="77777777" w:rsidR="00D54433" w:rsidRDefault="00000000">
            <w:r>
              <w:t>Agentes especializados y trazables.</w:t>
            </w:r>
          </w:p>
        </w:tc>
      </w:tr>
      <w:tr w:rsidR="00D54433" w14:paraId="388EC070" w14:textId="77777777">
        <w:trPr>
          <w:jc w:val="center"/>
        </w:trPr>
        <w:tc>
          <w:tcPr>
            <w:tcW w:w="2520" w:type="dxa"/>
          </w:tcPr>
          <w:p w14:paraId="17009456" w14:textId="77777777" w:rsidR="00D54433" w:rsidRDefault="00000000">
            <w:r>
              <w:t>4. Inteligencia artificial local</w:t>
            </w:r>
          </w:p>
        </w:tc>
        <w:tc>
          <w:tcPr>
            <w:tcW w:w="2520" w:type="dxa"/>
          </w:tcPr>
          <w:p w14:paraId="0C476C2E" w14:textId="77777777" w:rsidR="00D54433" w:rsidRDefault="00000000">
            <w:r>
              <w:t>Ollama o vLLM + Foundation-Sec-8B</w:t>
            </w:r>
          </w:p>
        </w:tc>
        <w:tc>
          <w:tcPr>
            <w:tcW w:w="2520" w:type="dxa"/>
          </w:tcPr>
          <w:p w14:paraId="2B0DD862" w14:textId="77777777" w:rsidR="00D54433" w:rsidRDefault="00000000">
            <w:r>
              <w:t>Ejecutar inferencia on-premise para análisis, priorización y generación de texto/código.</w:t>
            </w:r>
          </w:p>
        </w:tc>
        <w:tc>
          <w:tcPr>
            <w:tcW w:w="2520" w:type="dxa"/>
          </w:tcPr>
          <w:p w14:paraId="4D32FFDE" w14:textId="77777777" w:rsidR="00D54433" w:rsidRDefault="00000000">
            <w:r>
              <w:t>Respuesta técnica sin fuga de datos sensibles.</w:t>
            </w:r>
          </w:p>
        </w:tc>
      </w:tr>
      <w:tr w:rsidR="00D54433" w14:paraId="59FB3909" w14:textId="77777777">
        <w:trPr>
          <w:jc w:val="center"/>
        </w:trPr>
        <w:tc>
          <w:tcPr>
            <w:tcW w:w="2520" w:type="dxa"/>
          </w:tcPr>
          <w:p w14:paraId="57796BE4" w14:textId="77777777" w:rsidR="00D54433" w:rsidRDefault="00000000">
            <w:r>
              <w:t>5. Tools / MCP</w:t>
            </w:r>
          </w:p>
        </w:tc>
        <w:tc>
          <w:tcPr>
            <w:tcW w:w="2520" w:type="dxa"/>
          </w:tcPr>
          <w:p w14:paraId="682CF68C" w14:textId="77777777" w:rsidR="00D54433" w:rsidRDefault="00000000">
            <w:r>
              <w:t>FastMCP, servidores MCP, conectores API</w:t>
            </w:r>
          </w:p>
        </w:tc>
        <w:tc>
          <w:tcPr>
            <w:tcW w:w="2520" w:type="dxa"/>
          </w:tcPr>
          <w:p w14:paraId="1FFB4835" w14:textId="77777777" w:rsidR="00D54433" w:rsidRDefault="00000000">
            <w:r>
              <w:t>Exponer funciones como get_vulnerabilities, lookup_cve, search_playbook, get_asset_details.</w:t>
            </w:r>
          </w:p>
        </w:tc>
        <w:tc>
          <w:tcPr>
            <w:tcW w:w="2520" w:type="dxa"/>
          </w:tcPr>
          <w:p w14:paraId="060DC996" w14:textId="77777777" w:rsidR="00D54433" w:rsidRDefault="00000000">
            <w:r>
              <w:t>Integración estandarizada con fuentes y sistemas.</w:t>
            </w:r>
          </w:p>
        </w:tc>
      </w:tr>
      <w:tr w:rsidR="00D54433" w14:paraId="29437006" w14:textId="77777777">
        <w:trPr>
          <w:jc w:val="center"/>
        </w:trPr>
        <w:tc>
          <w:tcPr>
            <w:tcW w:w="2520" w:type="dxa"/>
          </w:tcPr>
          <w:p w14:paraId="15C7FB4B" w14:textId="77777777" w:rsidR="00D54433" w:rsidRDefault="00000000">
            <w:r>
              <w:t>6. Datos y conocimiento</w:t>
            </w:r>
          </w:p>
        </w:tc>
        <w:tc>
          <w:tcPr>
            <w:tcW w:w="2520" w:type="dxa"/>
          </w:tcPr>
          <w:p w14:paraId="34002ABD" w14:textId="77777777" w:rsidR="00D54433" w:rsidRDefault="00000000">
            <w:r>
              <w:t>Qdrant, embeddings, repositorio documental</w:t>
            </w:r>
          </w:p>
        </w:tc>
        <w:tc>
          <w:tcPr>
            <w:tcW w:w="2520" w:type="dxa"/>
          </w:tcPr>
          <w:p w14:paraId="05745ADF" w14:textId="77777777" w:rsidR="00D54433" w:rsidRDefault="00000000">
            <w:r>
              <w:t>Almacenar CVEs, manuales, playbooks, bitácoras, incidentes y pasajes de conocimiento.</w:t>
            </w:r>
          </w:p>
        </w:tc>
        <w:tc>
          <w:tcPr>
            <w:tcW w:w="2520" w:type="dxa"/>
          </w:tcPr>
          <w:p w14:paraId="5BCED80E" w14:textId="77777777" w:rsidR="00D54433" w:rsidRDefault="00000000">
            <w:r>
              <w:t>Memoria de largo plazo para RAG.</w:t>
            </w:r>
          </w:p>
        </w:tc>
      </w:tr>
      <w:tr w:rsidR="00D54433" w14:paraId="288BC421" w14:textId="77777777">
        <w:trPr>
          <w:jc w:val="center"/>
        </w:trPr>
        <w:tc>
          <w:tcPr>
            <w:tcW w:w="2520" w:type="dxa"/>
          </w:tcPr>
          <w:p w14:paraId="1B2D4EFA" w14:textId="77777777" w:rsidR="00D54433" w:rsidRDefault="00000000">
            <w:r>
              <w:t>7. Normalización y preprocesamiento</w:t>
            </w:r>
          </w:p>
        </w:tc>
        <w:tc>
          <w:tcPr>
            <w:tcW w:w="2520" w:type="dxa"/>
          </w:tcPr>
          <w:p w14:paraId="343B9A86" w14:textId="77777777" w:rsidR="00D54433" w:rsidRDefault="00000000">
            <w:r>
              <w:t>Python ETL, chunker, Unified JSON Schema</w:t>
            </w:r>
          </w:p>
        </w:tc>
        <w:tc>
          <w:tcPr>
            <w:tcW w:w="2520" w:type="dxa"/>
          </w:tcPr>
          <w:p w14:paraId="6DA3C804" w14:textId="77777777" w:rsidR="00D54433" w:rsidRDefault="00000000">
            <w:r>
              <w:t>Mapear QID/Plugin ID, severidad, CVSS, CVE, evidencia, activo y contexto.</w:t>
            </w:r>
          </w:p>
        </w:tc>
        <w:tc>
          <w:tcPr>
            <w:tcW w:w="2520" w:type="dxa"/>
          </w:tcPr>
          <w:p w14:paraId="3F3D2A47" w14:textId="77777777" w:rsidR="00D54433" w:rsidRDefault="00000000">
            <w:r>
              <w:t>Entrada limpia y consistente para el modelo.</w:t>
            </w:r>
          </w:p>
        </w:tc>
      </w:tr>
      <w:tr w:rsidR="00D54433" w14:paraId="618B045E" w14:textId="77777777">
        <w:trPr>
          <w:jc w:val="center"/>
        </w:trPr>
        <w:tc>
          <w:tcPr>
            <w:tcW w:w="2520" w:type="dxa"/>
          </w:tcPr>
          <w:p w14:paraId="14EFF3C4" w14:textId="77777777" w:rsidR="00D54433" w:rsidRDefault="00000000">
            <w:r>
              <w:t>8. Validación y gobierno</w:t>
            </w:r>
          </w:p>
        </w:tc>
        <w:tc>
          <w:tcPr>
            <w:tcW w:w="2520" w:type="dxa"/>
          </w:tcPr>
          <w:p w14:paraId="54676E82" w14:textId="77777777" w:rsidR="00D54433" w:rsidRDefault="00000000">
            <w:r>
              <w:t>LangSmith, logs, validators, pruebas SIT</w:t>
            </w:r>
          </w:p>
        </w:tc>
        <w:tc>
          <w:tcPr>
            <w:tcW w:w="2520" w:type="dxa"/>
          </w:tcPr>
          <w:p w14:paraId="1F0755EF" w14:textId="77777777" w:rsidR="00D54433" w:rsidRDefault="00000000">
            <w:r>
              <w:t>Medir alucinación, recall, latencia, sintaxis de scripts, seguridad de tool calls.</w:t>
            </w:r>
          </w:p>
        </w:tc>
        <w:tc>
          <w:tcPr>
            <w:tcW w:w="2520" w:type="dxa"/>
          </w:tcPr>
          <w:p w14:paraId="77786A18" w14:textId="77777777" w:rsidR="00D54433" w:rsidRDefault="00000000">
            <w:r>
              <w:t>Salida confiable, auditable y apta para revisión.</w:t>
            </w:r>
          </w:p>
        </w:tc>
      </w:tr>
      <w:tr w:rsidR="00D54433" w14:paraId="78563563" w14:textId="77777777">
        <w:trPr>
          <w:jc w:val="center"/>
        </w:trPr>
        <w:tc>
          <w:tcPr>
            <w:tcW w:w="2520" w:type="dxa"/>
          </w:tcPr>
          <w:p w14:paraId="2D33687C" w14:textId="77777777" w:rsidR="00D54433" w:rsidRDefault="00000000">
            <w:r>
              <w:t>9. Infraestructura</w:t>
            </w:r>
          </w:p>
        </w:tc>
        <w:tc>
          <w:tcPr>
            <w:tcW w:w="2520" w:type="dxa"/>
          </w:tcPr>
          <w:p w14:paraId="283C2AD3" w14:textId="77777777" w:rsidR="00D54433" w:rsidRDefault="00000000">
            <w:r>
              <w:t>Docker, GPU NVIDIA, volúmenes persistentes, servidor on-premise</w:t>
            </w:r>
          </w:p>
        </w:tc>
        <w:tc>
          <w:tcPr>
            <w:tcW w:w="2520" w:type="dxa"/>
          </w:tcPr>
          <w:p w14:paraId="2743A8F6" w14:textId="77777777" w:rsidR="00D54433" w:rsidRDefault="00000000">
            <w:r>
              <w:t>Ejecutar contenedores, modelos, bases vectoriales y servicios internos.</w:t>
            </w:r>
          </w:p>
        </w:tc>
        <w:tc>
          <w:tcPr>
            <w:tcW w:w="2520" w:type="dxa"/>
          </w:tcPr>
          <w:p w14:paraId="69B5A3B5" w14:textId="77777777" w:rsidR="00D54433" w:rsidRDefault="00000000">
            <w:r>
              <w:t>Plataforma local estable y reproducible.</w:t>
            </w:r>
          </w:p>
        </w:tc>
      </w:tr>
    </w:tbl>
    <w:p w14:paraId="1E4B009E" w14:textId="77777777" w:rsidR="00D54433" w:rsidRDefault="00000000">
      <w:pPr>
        <w:pStyle w:val="Ttulo1"/>
      </w:pPr>
      <w:r>
        <w:t>4. Diagrama lógico y flujo operativo</w:t>
      </w:r>
    </w:p>
    <w:p w14:paraId="3E63655F" w14:textId="77777777" w:rsidR="00D54433" w:rsidRDefault="00000000">
      <w:r>
        <w:t>El flujo operativo recomendado evita enviar reportes completos al modelo. Las fuentes se exponen mediante tools/MCP, se normalizan a un esquema unificado y luego el orquestador decide si debe consultar RAG, invocar el modelo o devolver la respuesta a validación.</w:t>
      </w:r>
    </w:p>
    <w:p w14:paraId="0634BB4B" w14:textId="77777777" w:rsidR="00D54433" w:rsidRDefault="00000000">
      <w:r>
        <w:rPr>
          <w:noProof/>
        </w:rPr>
        <w:drawing>
          <wp:inline distT="0" distB="0" distL="0" distR="0" wp14:anchorId="30F661F4" wp14:editId="771895DE">
            <wp:extent cx="6583680" cy="1188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operativo_emcali_cyber20.png"/>
                    <pic:cNvPicPr/>
                  </pic:nvPicPr>
                  <pic:blipFill>
                    <a:blip r:embed="rId9"/>
                    <a:stretch>
                      <a:fillRect/>
                    </a:stretch>
                  </pic:blipFill>
                  <pic:spPr>
                    <a:xfrm>
                      <a:off x="0" y="0"/>
                      <a:ext cx="6583680" cy="1188898"/>
                    </a:xfrm>
                    <a:prstGeom prst="rect">
                      <a:avLst/>
                    </a:prstGeom>
                  </pic:spPr>
                </pic:pic>
              </a:graphicData>
            </a:graphic>
          </wp:inline>
        </w:drawing>
      </w:r>
    </w:p>
    <w:p w14:paraId="3001CE31" w14:textId="77777777" w:rsidR="00D54433" w:rsidRDefault="00000000">
      <w:pPr>
        <w:jc w:val="center"/>
      </w:pPr>
      <w:r>
        <w:rPr>
          <w:i/>
          <w:color w:val="505050"/>
          <w:sz w:val="18"/>
        </w:rPr>
        <w:t>Figura 2. Flujo operativo: fuentes, MCP, normalización, RAG, LLM y salida validada.</w:t>
      </w:r>
    </w:p>
    <w:p w14:paraId="504FEC24" w14:textId="77777777" w:rsidR="00D54433" w:rsidRDefault="00D54433">
      <w:pPr>
        <w:sectPr w:rsidR="00D54433">
          <w:footerReference w:type="default" r:id="rId10"/>
          <w:pgSz w:w="12240" w:h="15840"/>
          <w:pgMar w:top="936" w:right="1080" w:bottom="936" w:left="1080" w:header="720" w:footer="720" w:gutter="0"/>
          <w:cols w:space="720"/>
          <w:docGrid w:linePitch="360"/>
        </w:sectPr>
      </w:pPr>
    </w:p>
    <w:p w14:paraId="2522FFB7" w14:textId="77777777" w:rsidR="00D54433" w:rsidRDefault="00000000">
      <w:pPr>
        <w:pStyle w:val="Ttulo1"/>
      </w:pPr>
      <w:r>
        <w:lastRenderedPageBreak/>
        <w:t>5. Arquitectura de despliegue on-premise</w:t>
      </w:r>
    </w:p>
    <w:p w14:paraId="4AB8D2C4" w14:textId="77777777" w:rsidR="00D54433" w:rsidRDefault="00000000">
      <w:r>
        <w:t>Para la versión local, se recomienda separar contenedores por responsabilidad: interfaz, backend, servicio agéntico, gateway MCP, runtime LLM y base vectorial. Los modelos y los índices deben persistirse en volúmenes dedicados.</w:t>
      </w:r>
    </w:p>
    <w:p w14:paraId="2F7A8764" w14:textId="77777777" w:rsidR="00D54433" w:rsidRDefault="00000000">
      <w:r>
        <w:rPr>
          <w:noProof/>
        </w:rPr>
        <w:drawing>
          <wp:inline distT="0" distB="0" distL="0" distR="0" wp14:anchorId="053A69C0" wp14:editId="2CF7A738">
            <wp:extent cx="7680960" cy="5032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_onprem_emcali_cyber20.png"/>
                    <pic:cNvPicPr/>
                  </pic:nvPicPr>
                  <pic:blipFill>
                    <a:blip r:embed="rId11"/>
                    <a:stretch>
                      <a:fillRect/>
                    </a:stretch>
                  </pic:blipFill>
                  <pic:spPr>
                    <a:xfrm>
                      <a:off x="0" y="0"/>
                      <a:ext cx="7680960" cy="5032858"/>
                    </a:xfrm>
                    <a:prstGeom prst="rect">
                      <a:avLst/>
                    </a:prstGeom>
                  </pic:spPr>
                </pic:pic>
              </a:graphicData>
            </a:graphic>
          </wp:inline>
        </w:drawing>
      </w:r>
    </w:p>
    <w:p w14:paraId="0AA8C72C" w14:textId="77777777" w:rsidR="00D54433" w:rsidRDefault="00000000">
      <w:pPr>
        <w:jc w:val="center"/>
      </w:pPr>
      <w:r>
        <w:rPr>
          <w:i/>
          <w:color w:val="505050"/>
          <w:sz w:val="18"/>
        </w:rPr>
        <w:t>Figura 3. Despliegue on-premise con FastAPI, agente, MCP, LLM runtime, Qdrant, GPU y volúmenes.</w:t>
      </w:r>
    </w:p>
    <w:p w14:paraId="07ED8D2C" w14:textId="77777777" w:rsidR="00D54433" w:rsidRDefault="00D54433">
      <w:pPr>
        <w:sectPr w:rsidR="00D54433">
          <w:pgSz w:w="15840" w:h="12240" w:orient="landscape"/>
          <w:pgMar w:top="720" w:right="792" w:bottom="720" w:left="792" w:header="720" w:footer="720" w:gutter="0"/>
          <w:cols w:space="720"/>
          <w:docGrid w:linePitch="360"/>
        </w:sectPr>
      </w:pPr>
    </w:p>
    <w:p w14:paraId="3F4D8E93" w14:textId="77777777" w:rsidR="00D54433" w:rsidRDefault="00000000">
      <w:pPr>
        <w:pStyle w:val="Ttulo1"/>
      </w:pPr>
      <w:r>
        <w:lastRenderedPageBreak/>
        <w:t>6. Tabla comparativa de componentes</w:t>
      </w:r>
    </w:p>
    <w:tbl>
      <w:tblPr>
        <w:tblStyle w:val="Tablaconcuadrcula"/>
        <w:tblW w:w="0" w:type="auto"/>
        <w:jc w:val="center"/>
        <w:tblLook w:val="04A0" w:firstRow="1" w:lastRow="0" w:firstColumn="1" w:lastColumn="0" w:noHBand="0" w:noVBand="1"/>
      </w:tblPr>
      <w:tblGrid>
        <w:gridCol w:w="1766"/>
        <w:gridCol w:w="1839"/>
        <w:gridCol w:w="1834"/>
        <w:gridCol w:w="1765"/>
        <w:gridCol w:w="2866"/>
      </w:tblGrid>
      <w:tr w:rsidR="00D54433" w14:paraId="17442CA0" w14:textId="77777777">
        <w:trPr>
          <w:jc w:val="center"/>
        </w:trPr>
        <w:tc>
          <w:tcPr>
            <w:tcW w:w="2016" w:type="dxa"/>
            <w:shd w:val="clear" w:color="auto" w:fill="005496"/>
          </w:tcPr>
          <w:p w14:paraId="1D638315" w14:textId="77777777" w:rsidR="00D54433" w:rsidRDefault="00000000">
            <w:r>
              <w:rPr>
                <w:b/>
                <w:color w:val="FFFFFF"/>
              </w:rPr>
              <w:t>Componente</w:t>
            </w:r>
          </w:p>
        </w:tc>
        <w:tc>
          <w:tcPr>
            <w:tcW w:w="2016" w:type="dxa"/>
            <w:shd w:val="clear" w:color="auto" w:fill="005496"/>
          </w:tcPr>
          <w:p w14:paraId="0DA882C4" w14:textId="77777777" w:rsidR="00D54433" w:rsidRDefault="00000000">
            <w:r>
              <w:rPr>
                <w:b/>
                <w:color w:val="FFFFFF"/>
              </w:rPr>
              <w:t>Rol</w:t>
            </w:r>
          </w:p>
        </w:tc>
        <w:tc>
          <w:tcPr>
            <w:tcW w:w="2016" w:type="dxa"/>
            <w:shd w:val="clear" w:color="auto" w:fill="005496"/>
          </w:tcPr>
          <w:p w14:paraId="14AD4D48" w14:textId="77777777" w:rsidR="00D54433" w:rsidRDefault="00000000">
            <w:r>
              <w:rPr>
                <w:b/>
                <w:color w:val="FFFFFF"/>
              </w:rPr>
              <w:t>Ventajas</w:t>
            </w:r>
          </w:p>
        </w:tc>
        <w:tc>
          <w:tcPr>
            <w:tcW w:w="2016" w:type="dxa"/>
            <w:shd w:val="clear" w:color="auto" w:fill="005496"/>
          </w:tcPr>
          <w:p w14:paraId="577A7FD9" w14:textId="77777777" w:rsidR="00D54433" w:rsidRDefault="00000000">
            <w:r>
              <w:rPr>
                <w:b/>
                <w:color w:val="FFFFFF"/>
              </w:rPr>
              <w:t>Limitaciones</w:t>
            </w:r>
          </w:p>
        </w:tc>
        <w:tc>
          <w:tcPr>
            <w:tcW w:w="2016" w:type="dxa"/>
            <w:shd w:val="clear" w:color="auto" w:fill="005496"/>
          </w:tcPr>
          <w:p w14:paraId="1187869F" w14:textId="77777777" w:rsidR="00D54433" w:rsidRDefault="00000000">
            <w:r>
              <w:rPr>
                <w:b/>
                <w:color w:val="FFFFFF"/>
              </w:rPr>
              <w:t>Uso recomendado</w:t>
            </w:r>
          </w:p>
        </w:tc>
      </w:tr>
      <w:tr w:rsidR="00D54433" w14:paraId="571C7970" w14:textId="77777777">
        <w:trPr>
          <w:jc w:val="center"/>
        </w:trPr>
        <w:tc>
          <w:tcPr>
            <w:tcW w:w="2016" w:type="dxa"/>
          </w:tcPr>
          <w:p w14:paraId="2D70A5B5" w14:textId="77777777" w:rsidR="00D54433" w:rsidRDefault="00000000">
            <w:r>
              <w:t>Ollama</w:t>
            </w:r>
          </w:p>
        </w:tc>
        <w:tc>
          <w:tcPr>
            <w:tcW w:w="2016" w:type="dxa"/>
          </w:tcPr>
          <w:p w14:paraId="5591D157" w14:textId="77777777" w:rsidR="00D54433" w:rsidRDefault="00000000">
            <w:r>
              <w:t>Runtime local de modelos abiertos</w:t>
            </w:r>
          </w:p>
        </w:tc>
        <w:tc>
          <w:tcPr>
            <w:tcW w:w="2016" w:type="dxa"/>
          </w:tcPr>
          <w:p w14:paraId="5618E679" w14:textId="77777777" w:rsidR="00D54433" w:rsidRDefault="00000000">
            <w:r>
              <w:t>Instalación simple, API local, privacidad</w:t>
            </w:r>
          </w:p>
        </w:tc>
        <w:tc>
          <w:tcPr>
            <w:tcW w:w="2016" w:type="dxa"/>
          </w:tcPr>
          <w:p w14:paraId="144E9111" w14:textId="77777777" w:rsidR="00D54433" w:rsidRDefault="00000000">
            <w:r>
              <w:t>Menor optimización que vLLM en alta concurrencia</w:t>
            </w:r>
          </w:p>
        </w:tc>
        <w:tc>
          <w:tcPr>
            <w:tcW w:w="2016" w:type="dxa"/>
          </w:tcPr>
          <w:p w14:paraId="251FFC3D" w14:textId="77777777" w:rsidR="00D54433" w:rsidRDefault="00000000">
            <w:r>
              <w:t>Laboratorio y primera versión local</w:t>
            </w:r>
          </w:p>
        </w:tc>
      </w:tr>
      <w:tr w:rsidR="00D54433" w14:paraId="4ED2A01C" w14:textId="77777777">
        <w:trPr>
          <w:jc w:val="center"/>
        </w:trPr>
        <w:tc>
          <w:tcPr>
            <w:tcW w:w="2016" w:type="dxa"/>
          </w:tcPr>
          <w:p w14:paraId="7A6BB040" w14:textId="77777777" w:rsidR="00D54433" w:rsidRDefault="00000000">
            <w:r>
              <w:t>vLLM</w:t>
            </w:r>
          </w:p>
        </w:tc>
        <w:tc>
          <w:tcPr>
            <w:tcW w:w="2016" w:type="dxa"/>
          </w:tcPr>
          <w:p w14:paraId="10557D0A" w14:textId="77777777" w:rsidR="00D54433" w:rsidRDefault="00000000">
            <w:r>
              <w:t>Motor de inferencia de alto rendimiento</w:t>
            </w:r>
          </w:p>
        </w:tc>
        <w:tc>
          <w:tcPr>
            <w:tcW w:w="2016" w:type="dxa"/>
          </w:tcPr>
          <w:p w14:paraId="3AAAB0CA" w14:textId="77777777" w:rsidR="00D54433" w:rsidRDefault="00000000">
            <w:r>
              <w:t>Mejor throughput y uso de GPU</w:t>
            </w:r>
          </w:p>
        </w:tc>
        <w:tc>
          <w:tcPr>
            <w:tcW w:w="2016" w:type="dxa"/>
          </w:tcPr>
          <w:p w14:paraId="414D0C26" w14:textId="77777777" w:rsidR="00D54433" w:rsidRDefault="00000000">
            <w:r>
              <w:t>Más complejo de desplegar</w:t>
            </w:r>
          </w:p>
        </w:tc>
        <w:tc>
          <w:tcPr>
            <w:tcW w:w="2016" w:type="dxa"/>
          </w:tcPr>
          <w:p w14:paraId="43D7F4AE" w14:textId="77777777" w:rsidR="00D54433" w:rsidRDefault="00000000">
            <w:r>
              <w:t>Producción con mayor carga</w:t>
            </w:r>
          </w:p>
        </w:tc>
      </w:tr>
      <w:tr w:rsidR="00D54433" w14:paraId="375EEAD5" w14:textId="77777777">
        <w:trPr>
          <w:jc w:val="center"/>
        </w:trPr>
        <w:tc>
          <w:tcPr>
            <w:tcW w:w="2016" w:type="dxa"/>
          </w:tcPr>
          <w:p w14:paraId="01553767" w14:textId="77777777" w:rsidR="00D54433" w:rsidRDefault="00000000">
            <w:r>
              <w:t>LangChain</w:t>
            </w:r>
          </w:p>
        </w:tc>
        <w:tc>
          <w:tcPr>
            <w:tcW w:w="2016" w:type="dxa"/>
          </w:tcPr>
          <w:p w14:paraId="3D3B2D1B" w14:textId="77777777" w:rsidR="00D54433" w:rsidRDefault="00000000">
            <w:r>
              <w:t>Framework de integración de agentes</w:t>
            </w:r>
          </w:p>
        </w:tc>
        <w:tc>
          <w:tcPr>
            <w:tcW w:w="2016" w:type="dxa"/>
          </w:tcPr>
          <w:p w14:paraId="223E319D" w14:textId="77777777" w:rsidR="00D54433" w:rsidRDefault="00000000">
            <w:r>
              <w:t>Conecta modelos, tools, retrievers y parsers</w:t>
            </w:r>
          </w:p>
        </w:tc>
        <w:tc>
          <w:tcPr>
            <w:tcW w:w="2016" w:type="dxa"/>
          </w:tcPr>
          <w:p w14:paraId="470219F1" w14:textId="77777777" w:rsidR="00D54433" w:rsidRDefault="00000000">
            <w:r>
              <w:t>Puede volverse desordenado sin arquitectura</w:t>
            </w:r>
          </w:p>
        </w:tc>
        <w:tc>
          <w:tcPr>
            <w:tcW w:w="2016" w:type="dxa"/>
          </w:tcPr>
          <w:p w14:paraId="36AA1E73" w14:textId="77777777" w:rsidR="00D54433" w:rsidRDefault="00000000">
            <w:r>
              <w:t>Base de integración</w:t>
            </w:r>
          </w:p>
        </w:tc>
      </w:tr>
      <w:tr w:rsidR="00D54433" w14:paraId="2F77D814" w14:textId="77777777">
        <w:trPr>
          <w:jc w:val="center"/>
        </w:trPr>
        <w:tc>
          <w:tcPr>
            <w:tcW w:w="2016" w:type="dxa"/>
          </w:tcPr>
          <w:p w14:paraId="4F63CB0A" w14:textId="77777777" w:rsidR="00D54433" w:rsidRDefault="00000000">
            <w:r>
              <w:t>LangGraph</w:t>
            </w:r>
          </w:p>
        </w:tc>
        <w:tc>
          <w:tcPr>
            <w:tcW w:w="2016" w:type="dxa"/>
          </w:tcPr>
          <w:p w14:paraId="42711A6C" w14:textId="77777777" w:rsidR="00D54433" w:rsidRDefault="00000000">
            <w:r>
              <w:t>Orquestación con estado</w:t>
            </w:r>
          </w:p>
        </w:tc>
        <w:tc>
          <w:tcPr>
            <w:tcW w:w="2016" w:type="dxa"/>
          </w:tcPr>
          <w:p w14:paraId="080F6845" w14:textId="77777777" w:rsidR="00D54433" w:rsidRDefault="00000000">
            <w:r>
              <w:t>Control de rutas, nodos, human-in-the-loop</w:t>
            </w:r>
          </w:p>
        </w:tc>
        <w:tc>
          <w:tcPr>
            <w:tcW w:w="2016" w:type="dxa"/>
          </w:tcPr>
          <w:p w14:paraId="521FDA09" w14:textId="77777777" w:rsidR="00D54433" w:rsidRDefault="00000000">
            <w:r>
              <w:t>Requiere diseño explícito del grafo</w:t>
            </w:r>
          </w:p>
        </w:tc>
        <w:tc>
          <w:tcPr>
            <w:tcW w:w="2016" w:type="dxa"/>
          </w:tcPr>
          <w:p w14:paraId="2AFC633D" w14:textId="77777777" w:rsidR="00D54433" w:rsidRDefault="00000000">
            <w:r>
              <w:t>Núcleo del agente</w:t>
            </w:r>
          </w:p>
        </w:tc>
      </w:tr>
      <w:tr w:rsidR="00D54433" w14:paraId="7953197E" w14:textId="77777777">
        <w:trPr>
          <w:jc w:val="center"/>
        </w:trPr>
        <w:tc>
          <w:tcPr>
            <w:tcW w:w="2016" w:type="dxa"/>
          </w:tcPr>
          <w:p w14:paraId="23A94498" w14:textId="77777777" w:rsidR="00D54433" w:rsidRDefault="00000000">
            <w:r>
              <w:t>LangSmith</w:t>
            </w:r>
          </w:p>
        </w:tc>
        <w:tc>
          <w:tcPr>
            <w:tcW w:w="2016" w:type="dxa"/>
          </w:tcPr>
          <w:p w14:paraId="2FB94014" w14:textId="77777777" w:rsidR="00D54433" w:rsidRDefault="00000000">
            <w:r>
              <w:t>Observabilidad y evaluación</w:t>
            </w:r>
          </w:p>
        </w:tc>
        <w:tc>
          <w:tcPr>
            <w:tcW w:w="2016" w:type="dxa"/>
          </w:tcPr>
          <w:p w14:paraId="70DC1654" w14:textId="77777777" w:rsidR="00D54433" w:rsidRDefault="00000000">
            <w:r>
              <w:t>Trazas, métricas, debugging, evaluación</w:t>
            </w:r>
          </w:p>
        </w:tc>
        <w:tc>
          <w:tcPr>
            <w:tcW w:w="2016" w:type="dxa"/>
          </w:tcPr>
          <w:p w14:paraId="46519744" w14:textId="77777777" w:rsidR="00D54433" w:rsidRDefault="00000000">
            <w:r>
              <w:t>Puede requerir servicio externo o self-hosting</w:t>
            </w:r>
          </w:p>
        </w:tc>
        <w:tc>
          <w:tcPr>
            <w:tcW w:w="2016" w:type="dxa"/>
          </w:tcPr>
          <w:p w14:paraId="4324E432" w14:textId="77777777" w:rsidR="00D54433" w:rsidRDefault="00000000">
            <w:r>
              <w:t>Gobierno y calidad</w:t>
            </w:r>
          </w:p>
        </w:tc>
      </w:tr>
      <w:tr w:rsidR="00D54433" w14:paraId="63606957" w14:textId="77777777">
        <w:trPr>
          <w:jc w:val="center"/>
        </w:trPr>
        <w:tc>
          <w:tcPr>
            <w:tcW w:w="2016" w:type="dxa"/>
          </w:tcPr>
          <w:p w14:paraId="0405F3FC" w14:textId="77777777" w:rsidR="00D54433" w:rsidRDefault="00000000">
            <w:r>
              <w:t>FastMCP</w:t>
            </w:r>
          </w:p>
        </w:tc>
        <w:tc>
          <w:tcPr>
            <w:tcW w:w="2016" w:type="dxa"/>
          </w:tcPr>
          <w:p w14:paraId="736DABBD" w14:textId="77777777" w:rsidR="00D54433" w:rsidRDefault="00000000">
            <w:r>
              <w:t>Creación de servidores MCP</w:t>
            </w:r>
          </w:p>
        </w:tc>
        <w:tc>
          <w:tcPr>
            <w:tcW w:w="2016" w:type="dxa"/>
          </w:tcPr>
          <w:p w14:paraId="51625D68" w14:textId="77777777" w:rsidR="00D54433" w:rsidRDefault="00000000">
            <w:r>
              <w:t>Expone funciones Python como tools estandarizadas</w:t>
            </w:r>
          </w:p>
        </w:tc>
        <w:tc>
          <w:tcPr>
            <w:tcW w:w="2016" w:type="dxa"/>
          </w:tcPr>
          <w:p w14:paraId="45A6406A" w14:textId="77777777" w:rsidR="00D54433" w:rsidRDefault="00000000">
            <w:r>
              <w:t>Requiere seguridad y contratos de tool claros</w:t>
            </w:r>
          </w:p>
        </w:tc>
        <w:tc>
          <w:tcPr>
            <w:tcW w:w="2016" w:type="dxa"/>
          </w:tcPr>
          <w:p w14:paraId="1601EFFD" w14:textId="77777777" w:rsidR="00D54433" w:rsidRDefault="00000000">
            <w:r>
              <w:t>Conectores Qualys/Tenable/NVD/CMDB</w:t>
            </w:r>
          </w:p>
        </w:tc>
      </w:tr>
      <w:tr w:rsidR="00D54433" w14:paraId="515EE365" w14:textId="77777777">
        <w:trPr>
          <w:jc w:val="center"/>
        </w:trPr>
        <w:tc>
          <w:tcPr>
            <w:tcW w:w="2016" w:type="dxa"/>
          </w:tcPr>
          <w:p w14:paraId="04B623CC" w14:textId="77777777" w:rsidR="00D54433" w:rsidRDefault="00000000">
            <w:r>
              <w:t>Qdrant</w:t>
            </w:r>
          </w:p>
        </w:tc>
        <w:tc>
          <w:tcPr>
            <w:tcW w:w="2016" w:type="dxa"/>
          </w:tcPr>
          <w:p w14:paraId="5A87FFE1" w14:textId="77777777" w:rsidR="00D54433" w:rsidRDefault="00000000">
            <w:r>
              <w:t>Base vectorial para RAG</w:t>
            </w:r>
          </w:p>
        </w:tc>
        <w:tc>
          <w:tcPr>
            <w:tcW w:w="2016" w:type="dxa"/>
          </w:tcPr>
          <w:p w14:paraId="2E70527A" w14:textId="77777777" w:rsidR="00D54433" w:rsidRDefault="00000000">
            <w:r>
              <w:t>Búsqueda semántica rápida y local</w:t>
            </w:r>
          </w:p>
        </w:tc>
        <w:tc>
          <w:tcPr>
            <w:tcW w:w="2016" w:type="dxa"/>
          </w:tcPr>
          <w:p w14:paraId="2618CFD7" w14:textId="77777777" w:rsidR="00D54433" w:rsidRDefault="00000000">
            <w:r>
              <w:t>Requiere curaduría documental</w:t>
            </w:r>
          </w:p>
        </w:tc>
        <w:tc>
          <w:tcPr>
            <w:tcW w:w="2016" w:type="dxa"/>
          </w:tcPr>
          <w:p w14:paraId="20EA2374" w14:textId="77777777" w:rsidR="00D54433" w:rsidRDefault="00000000">
            <w:r>
              <w:t>Memoria de conocimiento</w:t>
            </w:r>
          </w:p>
        </w:tc>
      </w:tr>
      <w:tr w:rsidR="00D54433" w14:paraId="03127281" w14:textId="77777777">
        <w:trPr>
          <w:jc w:val="center"/>
        </w:trPr>
        <w:tc>
          <w:tcPr>
            <w:tcW w:w="2016" w:type="dxa"/>
          </w:tcPr>
          <w:p w14:paraId="404673C1" w14:textId="77777777" w:rsidR="00D54433" w:rsidRDefault="00000000">
            <w:r>
              <w:t>n8n</w:t>
            </w:r>
          </w:p>
        </w:tc>
        <w:tc>
          <w:tcPr>
            <w:tcW w:w="2016" w:type="dxa"/>
          </w:tcPr>
          <w:p w14:paraId="69D399B0" w14:textId="77777777" w:rsidR="00D54433" w:rsidRDefault="00000000">
            <w:r>
              <w:t>Automatización visual periférica</w:t>
            </w:r>
          </w:p>
        </w:tc>
        <w:tc>
          <w:tcPr>
            <w:tcW w:w="2016" w:type="dxa"/>
          </w:tcPr>
          <w:p w14:paraId="75BBE853" w14:textId="77777777" w:rsidR="00D54433" w:rsidRDefault="00000000">
            <w:r>
              <w:t>Workflows rápidos, aprobaciones, integraciones</w:t>
            </w:r>
          </w:p>
        </w:tc>
        <w:tc>
          <w:tcPr>
            <w:tcW w:w="2016" w:type="dxa"/>
          </w:tcPr>
          <w:p w14:paraId="44CCADDD" w14:textId="77777777" w:rsidR="00D54433" w:rsidRDefault="00000000">
            <w:r>
              <w:t>No reemplaza el orquestador agéntico</w:t>
            </w:r>
          </w:p>
        </w:tc>
        <w:tc>
          <w:tcPr>
            <w:tcW w:w="2016" w:type="dxa"/>
          </w:tcPr>
          <w:p w14:paraId="7B36DEE8" w14:textId="77777777" w:rsidR="00D54433" w:rsidRDefault="00000000">
            <w:r>
              <w:t>Complemento operativo</w:t>
            </w:r>
          </w:p>
        </w:tc>
      </w:tr>
      <w:tr w:rsidR="00D54433" w14:paraId="0BD98326" w14:textId="77777777">
        <w:trPr>
          <w:jc w:val="center"/>
        </w:trPr>
        <w:tc>
          <w:tcPr>
            <w:tcW w:w="2016" w:type="dxa"/>
          </w:tcPr>
          <w:p w14:paraId="75BF7B07" w14:textId="77777777" w:rsidR="00D54433" w:rsidRDefault="00000000">
            <w:r>
              <w:t>OpenAI Agent Builder</w:t>
            </w:r>
          </w:p>
        </w:tc>
        <w:tc>
          <w:tcPr>
            <w:tcW w:w="2016" w:type="dxa"/>
          </w:tcPr>
          <w:p w14:paraId="4DDFB647" w14:textId="77777777" w:rsidR="00D54433" w:rsidRDefault="00000000">
            <w:r>
              <w:t>Diseño visual de agentes</w:t>
            </w:r>
          </w:p>
        </w:tc>
        <w:tc>
          <w:tcPr>
            <w:tcW w:w="2016" w:type="dxa"/>
          </w:tcPr>
          <w:p w14:paraId="1A60A094" w14:textId="77777777" w:rsidR="00D54433" w:rsidRDefault="00000000">
            <w:r>
              <w:t>Prototipado y exportación de flujos</w:t>
            </w:r>
          </w:p>
        </w:tc>
        <w:tc>
          <w:tcPr>
            <w:tcW w:w="2016" w:type="dxa"/>
          </w:tcPr>
          <w:p w14:paraId="07FD1EFE" w14:textId="77777777" w:rsidR="00D54433" w:rsidRDefault="00000000">
            <w:r>
              <w:t>No es núcleo local-first</w:t>
            </w:r>
          </w:p>
        </w:tc>
        <w:tc>
          <w:tcPr>
            <w:tcW w:w="2016" w:type="dxa"/>
          </w:tcPr>
          <w:p w14:paraId="149AA5DB" w14:textId="77777777" w:rsidR="00D54433" w:rsidRDefault="00000000">
            <w:r>
              <w:t>Benchmark/laboratorio</w:t>
            </w:r>
          </w:p>
        </w:tc>
      </w:tr>
      <w:tr w:rsidR="00D54433" w14:paraId="25D8F9F9" w14:textId="77777777">
        <w:trPr>
          <w:jc w:val="center"/>
        </w:trPr>
        <w:tc>
          <w:tcPr>
            <w:tcW w:w="2016" w:type="dxa"/>
          </w:tcPr>
          <w:p w14:paraId="3289124F" w14:textId="77777777" w:rsidR="00D54433" w:rsidRDefault="00000000">
            <w:r>
              <w:t>Microsoft Foundry</w:t>
            </w:r>
          </w:p>
        </w:tc>
        <w:tc>
          <w:tcPr>
            <w:tcW w:w="2016" w:type="dxa"/>
          </w:tcPr>
          <w:p w14:paraId="4F9041CE" w14:textId="77777777" w:rsidR="00D54433" w:rsidRDefault="00000000">
            <w:r>
              <w:t>Plataforma empresarial de agentes</w:t>
            </w:r>
          </w:p>
        </w:tc>
        <w:tc>
          <w:tcPr>
            <w:tcW w:w="2016" w:type="dxa"/>
          </w:tcPr>
          <w:p w14:paraId="6C396542" w14:textId="77777777" w:rsidR="00D54433" w:rsidRDefault="00000000">
            <w:r>
              <w:t>Gobierno cloud, conectores, escalabilidad</w:t>
            </w:r>
          </w:p>
        </w:tc>
        <w:tc>
          <w:tcPr>
            <w:tcW w:w="2016" w:type="dxa"/>
          </w:tcPr>
          <w:p w14:paraId="70EE849E" w14:textId="77777777" w:rsidR="00D54433" w:rsidRDefault="00000000">
            <w:r>
              <w:t>Dependencia Azure/cloud</w:t>
            </w:r>
          </w:p>
        </w:tc>
        <w:tc>
          <w:tcPr>
            <w:tcW w:w="2016" w:type="dxa"/>
          </w:tcPr>
          <w:p w14:paraId="0962941E" w14:textId="77777777" w:rsidR="00D54433" w:rsidRDefault="00000000">
            <w:r>
              <w:t>Escenario híbrido futuro</w:t>
            </w:r>
          </w:p>
        </w:tc>
      </w:tr>
    </w:tbl>
    <w:p w14:paraId="0FFA8C58" w14:textId="77777777" w:rsidR="00D54433" w:rsidRDefault="00000000">
      <w:pPr>
        <w:pStyle w:val="Ttulo1"/>
      </w:pPr>
      <w:r>
        <w:t>7. Hoja de ruta de implementación</w:t>
      </w:r>
    </w:p>
    <w:tbl>
      <w:tblPr>
        <w:tblStyle w:val="Tablaconcuadrcula"/>
        <w:tblW w:w="0" w:type="auto"/>
        <w:tblLook w:val="04A0" w:firstRow="1" w:lastRow="0" w:firstColumn="1" w:lastColumn="0" w:noHBand="0" w:noVBand="1"/>
      </w:tblPr>
      <w:tblGrid>
        <w:gridCol w:w="3356"/>
        <w:gridCol w:w="3357"/>
        <w:gridCol w:w="3357"/>
      </w:tblGrid>
      <w:tr w:rsidR="00D54433" w14:paraId="24931764" w14:textId="77777777">
        <w:tc>
          <w:tcPr>
            <w:tcW w:w="3360" w:type="dxa"/>
            <w:shd w:val="clear" w:color="auto" w:fill="005496"/>
          </w:tcPr>
          <w:p w14:paraId="19E6B901" w14:textId="77777777" w:rsidR="00D54433" w:rsidRDefault="00000000">
            <w:r>
              <w:rPr>
                <w:b/>
                <w:color w:val="FFFFFF"/>
              </w:rPr>
              <w:t>Fase</w:t>
            </w:r>
          </w:p>
        </w:tc>
        <w:tc>
          <w:tcPr>
            <w:tcW w:w="3360" w:type="dxa"/>
            <w:shd w:val="clear" w:color="auto" w:fill="005496"/>
          </w:tcPr>
          <w:p w14:paraId="43541535" w14:textId="77777777" w:rsidR="00D54433" w:rsidRDefault="00000000">
            <w:r>
              <w:rPr>
                <w:b/>
                <w:color w:val="FFFFFF"/>
              </w:rPr>
              <w:t>Actividades</w:t>
            </w:r>
          </w:p>
        </w:tc>
        <w:tc>
          <w:tcPr>
            <w:tcW w:w="3360" w:type="dxa"/>
            <w:shd w:val="clear" w:color="auto" w:fill="005496"/>
          </w:tcPr>
          <w:p w14:paraId="0BBE74CA" w14:textId="77777777" w:rsidR="00D54433" w:rsidRDefault="00000000">
            <w:r>
              <w:rPr>
                <w:b/>
                <w:color w:val="FFFFFF"/>
              </w:rPr>
              <w:t>Entregable</w:t>
            </w:r>
          </w:p>
        </w:tc>
      </w:tr>
      <w:tr w:rsidR="00D54433" w14:paraId="72ADF85E" w14:textId="77777777">
        <w:tc>
          <w:tcPr>
            <w:tcW w:w="3360" w:type="dxa"/>
          </w:tcPr>
          <w:p w14:paraId="39F51F09" w14:textId="77777777" w:rsidR="00D54433" w:rsidRDefault="00000000">
            <w:r>
              <w:t>Fase 0 - Preparación</w:t>
            </w:r>
          </w:p>
        </w:tc>
        <w:tc>
          <w:tcPr>
            <w:tcW w:w="3360" w:type="dxa"/>
          </w:tcPr>
          <w:p w14:paraId="0BB46F98" w14:textId="77777777" w:rsidR="00D54433" w:rsidRDefault="00000000">
            <w:r>
              <w:t>Instalar Ollama/vLLM, Docker, GPU drivers, repositorio base, variables seguras.</w:t>
            </w:r>
          </w:p>
        </w:tc>
        <w:tc>
          <w:tcPr>
            <w:tcW w:w="3360" w:type="dxa"/>
          </w:tcPr>
          <w:p w14:paraId="2429CD19" w14:textId="77777777" w:rsidR="00D54433" w:rsidRDefault="00000000">
            <w:r>
              <w:t>Entorno local listo.</w:t>
            </w:r>
          </w:p>
        </w:tc>
      </w:tr>
      <w:tr w:rsidR="00D54433" w14:paraId="372E6D6F" w14:textId="77777777">
        <w:tc>
          <w:tcPr>
            <w:tcW w:w="3360" w:type="dxa"/>
          </w:tcPr>
          <w:p w14:paraId="171E2882" w14:textId="77777777" w:rsidR="00D54433" w:rsidRDefault="00000000">
            <w:r>
              <w:t>Fase 1 - Ingesta y normalización</w:t>
            </w:r>
          </w:p>
        </w:tc>
        <w:tc>
          <w:tcPr>
            <w:tcW w:w="3360" w:type="dxa"/>
          </w:tcPr>
          <w:p w14:paraId="7B04CE87" w14:textId="77777777" w:rsidR="00D54433" w:rsidRDefault="00000000">
            <w:r>
              <w:t>Implementar parsers Qualys/Tenable y Unified JSON Schema.</w:t>
            </w:r>
          </w:p>
        </w:tc>
        <w:tc>
          <w:tcPr>
            <w:tcW w:w="3360" w:type="dxa"/>
          </w:tcPr>
          <w:p w14:paraId="0273FFF1" w14:textId="77777777" w:rsidR="00D54433" w:rsidRDefault="00000000">
            <w:r>
              <w:t>Datos limpios y homogéneos.</w:t>
            </w:r>
          </w:p>
        </w:tc>
      </w:tr>
      <w:tr w:rsidR="00D54433" w14:paraId="0176CD61" w14:textId="77777777">
        <w:tc>
          <w:tcPr>
            <w:tcW w:w="3360" w:type="dxa"/>
          </w:tcPr>
          <w:p w14:paraId="0B290D9A" w14:textId="77777777" w:rsidR="00D54433" w:rsidRDefault="00000000">
            <w:r>
              <w:t>Fase 2 - Agente mínimo viable</w:t>
            </w:r>
          </w:p>
        </w:tc>
        <w:tc>
          <w:tcPr>
            <w:tcW w:w="3360" w:type="dxa"/>
          </w:tcPr>
          <w:p w14:paraId="40FB81FF" w14:textId="77777777" w:rsidR="00D54433" w:rsidRDefault="00000000">
            <w:r>
              <w:t>Construir LangGraph con nodos: clasificar, normalizar, consultar RAG, inferir y validar.</w:t>
            </w:r>
          </w:p>
        </w:tc>
        <w:tc>
          <w:tcPr>
            <w:tcW w:w="3360" w:type="dxa"/>
          </w:tcPr>
          <w:p w14:paraId="0BB6DE32" w14:textId="77777777" w:rsidR="00D54433" w:rsidRDefault="00000000">
            <w:r>
              <w:t>Agente funcional en Streamlit/FastAPI.</w:t>
            </w:r>
          </w:p>
        </w:tc>
      </w:tr>
      <w:tr w:rsidR="00D54433" w14:paraId="3F41E240" w14:textId="77777777">
        <w:tc>
          <w:tcPr>
            <w:tcW w:w="3360" w:type="dxa"/>
          </w:tcPr>
          <w:p w14:paraId="45B1B1F8" w14:textId="77777777" w:rsidR="00D54433" w:rsidRDefault="00000000">
            <w:r>
              <w:t>Fase 3 - MCP/FastMCP</w:t>
            </w:r>
          </w:p>
        </w:tc>
        <w:tc>
          <w:tcPr>
            <w:tcW w:w="3360" w:type="dxa"/>
          </w:tcPr>
          <w:p w14:paraId="4D05459F" w14:textId="77777777" w:rsidR="00D54433" w:rsidRDefault="00000000">
            <w:r>
              <w:t>Exponer tools de consulta a APIs, CVE, playbooks y CMDB.</w:t>
            </w:r>
          </w:p>
        </w:tc>
        <w:tc>
          <w:tcPr>
            <w:tcW w:w="3360" w:type="dxa"/>
          </w:tcPr>
          <w:p w14:paraId="5E4CB17D" w14:textId="77777777" w:rsidR="00D54433" w:rsidRDefault="00000000">
            <w:r>
              <w:t>Arquitectura tool-driven.</w:t>
            </w:r>
          </w:p>
        </w:tc>
      </w:tr>
      <w:tr w:rsidR="00D54433" w14:paraId="2F25C4F3" w14:textId="77777777">
        <w:tc>
          <w:tcPr>
            <w:tcW w:w="3360" w:type="dxa"/>
          </w:tcPr>
          <w:p w14:paraId="5D9182EC" w14:textId="77777777" w:rsidR="00D54433" w:rsidRDefault="00000000">
            <w:r>
              <w:t>Fase 4 - RAG local</w:t>
            </w:r>
          </w:p>
        </w:tc>
        <w:tc>
          <w:tcPr>
            <w:tcW w:w="3360" w:type="dxa"/>
          </w:tcPr>
          <w:p w14:paraId="32587120" w14:textId="77777777" w:rsidR="00D54433" w:rsidRDefault="00000000">
            <w:r>
              <w:t>Indexar CVEs, manuales, playbooks y documentos internos en Qdrant.</w:t>
            </w:r>
          </w:p>
        </w:tc>
        <w:tc>
          <w:tcPr>
            <w:tcW w:w="3360" w:type="dxa"/>
          </w:tcPr>
          <w:p w14:paraId="05F8A6DB" w14:textId="77777777" w:rsidR="00D54433" w:rsidRDefault="00000000">
            <w:r>
              <w:t>Respuestas enriquecidas y verificables.</w:t>
            </w:r>
          </w:p>
        </w:tc>
      </w:tr>
      <w:tr w:rsidR="00D54433" w14:paraId="35A00EAD" w14:textId="77777777">
        <w:tc>
          <w:tcPr>
            <w:tcW w:w="3360" w:type="dxa"/>
          </w:tcPr>
          <w:p w14:paraId="57016A41" w14:textId="77777777" w:rsidR="00D54433" w:rsidRDefault="00000000">
            <w:r>
              <w:lastRenderedPageBreak/>
              <w:t>Fase 5 - Validación y gobierno</w:t>
            </w:r>
          </w:p>
        </w:tc>
        <w:tc>
          <w:tcPr>
            <w:tcW w:w="3360" w:type="dxa"/>
          </w:tcPr>
          <w:p w14:paraId="6C56207E" w14:textId="77777777" w:rsidR="00D54433" w:rsidRDefault="00000000">
            <w:r>
              <w:t>Agregar LangSmith/tracing, métricas, pruebas SIT y validadores de scripts.</w:t>
            </w:r>
          </w:p>
        </w:tc>
        <w:tc>
          <w:tcPr>
            <w:tcW w:w="3360" w:type="dxa"/>
          </w:tcPr>
          <w:p w14:paraId="3F297CA8" w14:textId="77777777" w:rsidR="00D54433" w:rsidRDefault="00000000">
            <w:r>
              <w:t>Control de calidad y evidencia.</w:t>
            </w:r>
          </w:p>
        </w:tc>
      </w:tr>
      <w:tr w:rsidR="00D54433" w14:paraId="0FCC5319" w14:textId="77777777">
        <w:tc>
          <w:tcPr>
            <w:tcW w:w="3360" w:type="dxa"/>
          </w:tcPr>
          <w:p w14:paraId="585FCDED" w14:textId="77777777" w:rsidR="00D54433" w:rsidRDefault="00000000">
            <w:r>
              <w:t>Fase 6 - Automatización periférica</w:t>
            </w:r>
          </w:p>
        </w:tc>
        <w:tc>
          <w:tcPr>
            <w:tcW w:w="3360" w:type="dxa"/>
          </w:tcPr>
          <w:p w14:paraId="6E6BD716" w14:textId="77777777" w:rsidR="00D54433" w:rsidRDefault="00000000">
            <w:r>
              <w:t>Conectar n8n para reportes programados, aprobaciones y notificaciones.</w:t>
            </w:r>
          </w:p>
        </w:tc>
        <w:tc>
          <w:tcPr>
            <w:tcW w:w="3360" w:type="dxa"/>
          </w:tcPr>
          <w:p w14:paraId="3A27469A" w14:textId="77777777" w:rsidR="00D54433" w:rsidRDefault="00000000">
            <w:r>
              <w:t>Operación extendida.</w:t>
            </w:r>
          </w:p>
        </w:tc>
      </w:tr>
    </w:tbl>
    <w:p w14:paraId="2C9C8EB2" w14:textId="77777777" w:rsidR="00D54433" w:rsidRDefault="00000000">
      <w:pPr>
        <w:pStyle w:val="Ttulo1"/>
      </w:pPr>
      <w:r>
        <w:t>8. Controles mínimos de seguridad y gobierno</w:t>
      </w:r>
    </w:p>
    <w:p w14:paraId="0D1B0760" w14:textId="77777777" w:rsidR="00D54433" w:rsidRDefault="00000000">
      <w:pPr>
        <w:pStyle w:val="Listaconvietas"/>
      </w:pPr>
      <w:r>
        <w:t>Usar vault o variables protegidas para API keys de Qualys, Tenable, NVD y servicios internos.</w:t>
      </w:r>
    </w:p>
    <w:p w14:paraId="60F6B701" w14:textId="77777777" w:rsidR="00D54433" w:rsidRDefault="00000000">
      <w:pPr>
        <w:pStyle w:val="Listaconvietas"/>
      </w:pPr>
      <w:r>
        <w:t>Aplicar listas blancas de tools permitidas y bloquear ejecución de comandos arbitrarios desde el LLM.</w:t>
      </w:r>
    </w:p>
    <w:p w14:paraId="73D785FD" w14:textId="77777777" w:rsidR="00D54433" w:rsidRDefault="00000000">
      <w:pPr>
        <w:pStyle w:val="Listaconvietas"/>
      </w:pPr>
      <w:r>
        <w:t>Registrar trazas de cada decisión del agente: entrada, tools llamadas, pasajes RAG, prompt final y salida.</w:t>
      </w:r>
    </w:p>
    <w:p w14:paraId="2E3C38F1" w14:textId="77777777" w:rsidR="00D54433" w:rsidRDefault="00000000">
      <w:pPr>
        <w:pStyle w:val="Listaconvietas"/>
      </w:pPr>
      <w:r>
        <w:t>Agregar revisión humana obligatoria para scripts de remediación, cambios en producción y hallazgos críticos.</w:t>
      </w:r>
    </w:p>
    <w:p w14:paraId="57613D1B" w14:textId="77777777" w:rsidR="00D54433" w:rsidRDefault="00000000">
      <w:pPr>
        <w:pStyle w:val="Listaconvietas"/>
      </w:pPr>
      <w:r>
        <w:t>Probar resistencia a prompt injection, fuga de información y tool misuse antes de producción.</w:t>
      </w:r>
    </w:p>
    <w:p w14:paraId="4872208E" w14:textId="77777777" w:rsidR="00D54433" w:rsidRDefault="00000000">
      <w:pPr>
        <w:pStyle w:val="Listaconvietas"/>
      </w:pPr>
      <w:r>
        <w:t>Medir alucinación técnica y falsos negativos con dataset de prueba controlado.</w:t>
      </w:r>
    </w:p>
    <w:p w14:paraId="5D57C911" w14:textId="77777777" w:rsidR="00D54433" w:rsidRDefault="00000000">
      <w:pPr>
        <w:pStyle w:val="Ttulo1"/>
      </w:pPr>
      <w:r>
        <w:t>9. Fuentes base y referencias técnicas</w:t>
      </w:r>
    </w:p>
    <w:p w14:paraId="0BC97715" w14:textId="77777777" w:rsidR="00D54433" w:rsidRDefault="00000000">
      <w:pPr>
        <w:pStyle w:val="Listaconvietas"/>
      </w:pPr>
      <w:r>
        <w:t>Acta de reunión 30 de marzo de 2026: definición de primera fase, uso de Ollama, análisis Qualys/Tenable, evaluación MCP y agentes especializados.</w:t>
      </w:r>
    </w:p>
    <w:p w14:paraId="4AEA154E" w14:textId="77777777" w:rsidR="00D54433" w:rsidRDefault="00000000">
      <w:pPr>
        <w:pStyle w:val="Listaconvietas"/>
      </w:pPr>
      <w:r>
        <w:t>Actividad 1 GLM-4.7: métricas de evaluación, normalización Qualys/Tenable, Unified JSON Schema, MCP vs CSV, Foundation-Sec-8B, RAG y pruebas SIT.</w:t>
      </w:r>
    </w:p>
    <w:p w14:paraId="11401F6A" w14:textId="77777777" w:rsidR="00D54433" w:rsidRDefault="00000000">
      <w:pPr>
        <w:pStyle w:val="Listaconvietas"/>
      </w:pPr>
      <w:r>
        <w:t>Ollama: ejecución local de modelos abiertos y API local.</w:t>
      </w:r>
    </w:p>
    <w:p w14:paraId="6401E352" w14:textId="77777777" w:rsidR="00D54433" w:rsidRDefault="00000000">
      <w:pPr>
        <w:pStyle w:val="Listaconvietas"/>
      </w:pPr>
      <w:r>
        <w:t>LangChain / LangGraph / LangSmith: agentes, tools, orquestación con estado, trazabilidad y evaluación.</w:t>
      </w:r>
    </w:p>
    <w:p w14:paraId="377ABB5F" w14:textId="77777777" w:rsidR="00D54433" w:rsidRDefault="00000000">
      <w:pPr>
        <w:pStyle w:val="Listaconvietas"/>
      </w:pPr>
      <w:r>
        <w:t>Model Context Protocol / FastMCP: exposición estandarizada de tools, recursos y datos a aplicaciones LLM.</w:t>
      </w:r>
    </w:p>
    <w:p w14:paraId="7A730BA4" w14:textId="77777777" w:rsidR="00D54433" w:rsidRDefault="00000000">
      <w:pPr>
        <w:pStyle w:val="Listaconvietas"/>
      </w:pPr>
      <w:r>
        <w:t>NVD, MITRE ATT&amp;CK, CWE: fuentes abiertas para enriquecimiento de vulnerabilidades y contexto adversarial.</w:t>
      </w:r>
    </w:p>
    <w:p w14:paraId="2A929481" w14:textId="77777777" w:rsidR="00D54433" w:rsidRDefault="00000000">
      <w:pPr>
        <w:pStyle w:val="Listaconvietas"/>
      </w:pPr>
      <w:r>
        <w:t>n8n, OpenAI Agent Builder, Microsoft Foundry: plataformas complementarias para automatización, prototipado o gestión empresarial de agentes.</w:t>
      </w:r>
    </w:p>
    <w:sectPr w:rsidR="00D5443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420C" w14:textId="77777777" w:rsidR="005C1209" w:rsidRDefault="005C1209">
      <w:pPr>
        <w:spacing w:after="0" w:line="240" w:lineRule="auto"/>
      </w:pPr>
      <w:r>
        <w:separator/>
      </w:r>
    </w:p>
  </w:endnote>
  <w:endnote w:type="continuationSeparator" w:id="0">
    <w:p w14:paraId="2BFE0C42" w14:textId="77777777" w:rsidR="005C1209" w:rsidRDefault="005C1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F75D" w14:textId="77777777" w:rsidR="00D54433" w:rsidRPr="00DC7397" w:rsidRDefault="00000000">
    <w:pPr>
      <w:pStyle w:val="Piedepgina"/>
      <w:jc w:val="center"/>
      <w:rPr>
        <w:lang w:val="es-CO"/>
      </w:rPr>
    </w:pPr>
    <w:r w:rsidRPr="00DC7397">
      <w:rPr>
        <w:lang w:val="es-CO"/>
      </w:rPr>
      <w:t>EMCALI Cyber 2.0 - Arquitectura por capas | Documento técnico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9FAA" w14:textId="77777777" w:rsidR="005C1209" w:rsidRDefault="005C1209">
      <w:pPr>
        <w:spacing w:after="0" w:line="240" w:lineRule="auto"/>
      </w:pPr>
      <w:r>
        <w:separator/>
      </w:r>
    </w:p>
  </w:footnote>
  <w:footnote w:type="continuationSeparator" w:id="0">
    <w:p w14:paraId="64E5DD53" w14:textId="77777777" w:rsidR="005C1209" w:rsidRDefault="005C1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0209818">
    <w:abstractNumId w:val="8"/>
  </w:num>
  <w:num w:numId="2" w16cid:durableId="1197237823">
    <w:abstractNumId w:val="6"/>
  </w:num>
  <w:num w:numId="3" w16cid:durableId="1324745442">
    <w:abstractNumId w:val="5"/>
  </w:num>
  <w:num w:numId="4" w16cid:durableId="1910847917">
    <w:abstractNumId w:val="4"/>
  </w:num>
  <w:num w:numId="5" w16cid:durableId="1787382223">
    <w:abstractNumId w:val="7"/>
  </w:num>
  <w:num w:numId="6" w16cid:durableId="1598444692">
    <w:abstractNumId w:val="3"/>
  </w:num>
  <w:num w:numId="7" w16cid:durableId="1422221119">
    <w:abstractNumId w:val="2"/>
  </w:num>
  <w:num w:numId="8" w16cid:durableId="203717142">
    <w:abstractNumId w:val="1"/>
  </w:num>
  <w:num w:numId="9" w16cid:durableId="119553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2D5"/>
    <w:rsid w:val="005C1209"/>
    <w:rsid w:val="00AA1D8D"/>
    <w:rsid w:val="00B47730"/>
    <w:rsid w:val="00CB0664"/>
    <w:rsid w:val="00D54433"/>
    <w:rsid w:val="00DC73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75046"/>
  <w14:defaultImageDpi w14:val="300"/>
  <w15:docId w15:val="{7126DCEC-2010-4B72-A25B-CD01F108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549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6653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1407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Ruben Dario Sabogal Urbano</cp:lastModifiedBy>
  <cp:revision>2</cp:revision>
  <dcterms:created xsi:type="dcterms:W3CDTF">2026-05-22T19:48:00Z</dcterms:created>
  <dcterms:modified xsi:type="dcterms:W3CDTF">2026-05-22T19:48:00Z</dcterms:modified>
  <cp:category/>
</cp:coreProperties>
</file>