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EMCALI Cyber 2.0 Híbrido Enterprise</w:t>
      </w:r>
    </w:p>
    <w:p>
      <w:pPr>
        <w:jc w:val="center"/>
      </w:pPr>
      <w:r>
        <w:rPr>
          <w:sz w:val="28"/>
        </w:rPr>
        <w:t>Plataforma inteligente para gestión de vulnerabilidades con IA generativa,</w:t>
        <w:br/>
        <w:t>RAG e inferencia híbrida local-nube</w:t>
      </w:r>
    </w:p>
    <w:p/>
    <w:p>
      <w:pPr>
        <w:jc w:val="center"/>
      </w:pPr>
      <w:r>
        <w:rPr>
          <w:b/>
          <w:color w:val="008060"/>
          <w:sz w:val="36"/>
        </w:rPr>
        <w:t>INFORME TÉCNICO ACTUALIZADO</w:t>
        <w:br/>
        <w:t>VERSIÓN V12 APROBADA Y ESTABLE</w:t>
      </w:r>
    </w:p>
    <w:p/>
    <w:p>
      <w:pPr>
        <w:jc w:val="center"/>
      </w:pPr>
      <w:r>
        <w:rPr>
          <w:sz w:val="22"/>
        </w:rPr>
        <w:t>Rubén Darío Sabogal Urbano</w:t>
        <w:br/>
        <w:t>Proyecto III - Universidad Icesi</w:t>
        <w:br/>
        <w:t>Cali, Colombia - 2026</w:t>
      </w:r>
    </w:p>
    <w:p/>
    <w:tbl>
      <w:tblPr>
        <w:tblStyle w:val="TableGrid"/>
        <w:tblW w:type="auto" w:w="0"/>
        <w:jc w:val="center"/>
        <w:tblLook w:firstColumn="1" w:firstRow="1" w:lastColumn="0" w:lastRow="0" w:noHBand="0" w:noVBand="1" w:val="04A0"/>
      </w:tblPr>
      <w:tblGrid>
        <w:gridCol w:w="5141"/>
        <w:gridCol w:w="5141"/>
      </w:tblGrid>
      <w:tr>
        <w:tc>
          <w:tcPr>
            <w:tcW w:type="dxa" w:w="5141"/>
            <w:shd w:fill="D9EAD3"/>
          </w:tcPr>
          <w:p>
            <w:r>
              <w:rPr>
                <w:b/>
              </w:rPr>
              <w:t>Control de configuración</w:t>
            </w:r>
          </w:p>
        </w:tc>
        <w:tc>
          <w:tcPr>
            <w:tcW w:type="dxa" w:w="5141"/>
            <w:shd w:fill="D9EAD3"/>
          </w:tcPr>
          <w:p>
            <w:r>
              <w:rPr>
                <w:b/>
              </w:rPr>
              <w:t>Valor</w:t>
            </w:r>
          </w:p>
        </w:tc>
      </w:tr>
      <w:tr>
        <w:tc>
          <w:tcPr>
            <w:tcW w:type="dxa" w:w="5141"/>
          </w:tcPr>
          <w:p>
            <w:r>
              <w:t>Baseline documental</w:t>
            </w:r>
          </w:p>
        </w:tc>
        <w:tc>
          <w:tcPr>
            <w:tcW w:type="dxa" w:w="5141"/>
          </w:tcPr>
          <w:p>
            <w:r>
              <w:t>EMCALI_Cyber20_Hibrido_V12 - APROBADA Y ESTABLE</w:t>
            </w:r>
          </w:p>
        </w:tc>
      </w:tr>
      <w:tr>
        <w:tc>
          <w:tcPr>
            <w:tcW w:type="dxa" w:w="5141"/>
          </w:tcPr>
          <w:p>
            <w:r>
              <w:t>Maintenance build</w:t>
            </w:r>
          </w:p>
        </w:tc>
        <w:tc>
          <w:tcPr>
            <w:tcW w:type="dxa" w:w="5141"/>
          </w:tcPr>
          <w:p>
            <w:r>
              <w:t>V12.1 - ajustes de compatibilidad/validación HP Victus RTX 4050</w:t>
            </w:r>
          </w:p>
        </w:tc>
      </w:tr>
      <w:tr>
        <w:tc>
          <w:tcPr>
            <w:tcW w:type="dxa" w:w="5141"/>
          </w:tcPr>
          <w:p>
            <w:r>
              <w:t>Estado</w:t>
            </w:r>
          </w:p>
        </w:tc>
        <w:tc>
          <w:tcPr>
            <w:tcW w:type="dxa" w:w="5141"/>
          </w:tcPr>
          <w:p>
            <w:r>
              <w:t>Congelada para integración en informe final</w:t>
            </w:r>
          </w:p>
        </w:tc>
      </w:tr>
      <w:tr>
        <w:tc>
          <w:tcPr>
            <w:tcW w:type="dxa" w:w="5141"/>
          </w:tcPr>
          <w:p>
            <w:r>
              <w:t>Exclusión</w:t>
            </w:r>
          </w:p>
        </w:tc>
        <w:tc>
          <w:tcPr>
            <w:tcW w:type="dxa" w:w="5141"/>
          </w:tcPr>
          <w:p>
            <w:r>
              <w:t>Performance Lab pertenece a V13; no forma parte de la baseline V12</w:t>
            </w:r>
          </w:p>
        </w:tc>
      </w:tr>
    </w:tbl>
    <w:p/>
    <w:p>
      <w:r>
        <w:br w:type="page"/>
      </w:r>
    </w:p>
    <w:p>
      <w:pPr>
        <w:pStyle w:val="Heading1"/>
      </w:pPr>
      <w:r>
        <w:t>RESUMEN</w:t>
      </w:r>
    </w:p>
    <w:p>
      <w:r>
        <w:t>EMCALI Cyber 2.0 Híbrido Enterprise V12 es un prototipo de gestión defensiva de vulnerabilidades orientado a consolidar hallazgos técnicos, enriquecerlos con inteligencia pública, priorizar el riesgo y asistir la remediación mediante modelos de lenguaje. Manteniendo la estructura del informe técnico precedente, esta revisión actualiza el contenido para reflejar la baseline V12 aprobada y estable. La solución integra NVD/CVE/CVSS, CISA KEV, EPSS y resultados de plataformas de escaneo; normaliza los hallazgos en un dataset activo compartido y los distribuye a Tablero, Ingesta, Análisis LLM, Riesgo, Remediación, RAG Local, Informes, Métricas LLM, Aceleración IA/GPU y Configuración.</w:t>
      </w:r>
    </w:p>
    <w:p>
      <w:r>
        <w:t>El diseño conserva la estrategia local-first mediante Ollama y modelos livianos, con fallback cloud controlado cuando la política, credenciales y disponibilidad lo permiten. V12 incorpora formalmente diagnóstico de hardware y aceleración GPU, recomendaciones de modelos livianos y benchmark local de apoyo, sin incorporar el Performance Lab experimental de V13. El trabajo demuestra la viabilidad arquitectónica de un flujo reproducible desde ingesta y normalización hasta análisis, priorización, remediación, evidencia y reescaneo.</w:t>
      </w:r>
    </w:p>
    <w:p>
      <w:r>
        <w:t>Índice de términos - Ciberseguridad, gestión de vulnerabilidades, IA generativa, LLM, Ollama, RAG, CVSS, EPSS, CISA KEV, aceleración GPU.</w:t>
      </w:r>
    </w:p>
    <w:p>
      <w:pPr>
        <w:pStyle w:val="Heading1"/>
      </w:pPr>
      <w:r>
        <w:t>I. INTRODUCCIÓN</w:t>
      </w:r>
    </w:p>
    <w:p>
      <w:r>
        <w:t>La gestión de vulnerabilidades en una empresa de servicios públicos exige transformar grandes volúmenes de hallazgos en decisiones priorizadas, trazables y accionables. No basta con detectar CVE: es necesario relacionar severidad técnica, probabilidad de explotación, evidencia de explotación conocida, criticidad del activo, exposición e impacto operacional.</w:t>
      </w:r>
    </w:p>
    <w:p>
      <w:r>
        <w:t>EMCALI Cyber 2.0 Híbrido V12 automatiza y asiste ese ciclo mediante una arquitectura que combina analítica determinística e IA generativa. La IA apoya al analista, pero no sustituye los controles técnicos ni la gestión de cambios. El motor de riesgo conserva variables verificables, mientras RAG y los LLM sintetizan contexto, explican prioridades y proponen acciones.</w:t>
      </w:r>
    </w:p>
    <w:p>
      <w:r>
        <w:t>El aporte diferenciador sigue siendo la inferencia híbrida: Ollama permite mantener procesamiento local para reducir exposición de información sensible y dependencia de conectividad; los proveedores cloud constituyen rutas opcionales y gobernadas. La V12 estable añade una capa operacional de aceleración IA/GPU que permite conocer la capacidad real del equipo antes de seleccionar modelos.</w:t>
      </w:r>
    </w:p>
    <w:p>
      <w:r>
        <w:drawing>
          <wp:inline xmlns:a="http://schemas.openxmlformats.org/drawingml/2006/main" xmlns:pic="http://schemas.openxmlformats.org/drawingml/2006/picture">
            <wp:extent cx="6172200" cy="3551809"/>
            <wp:docPr id="1" name="Picture 1"/>
            <wp:cNvGraphicFramePr>
              <a:graphicFrameLocks noChangeAspect="1"/>
            </wp:cNvGraphicFramePr>
            <a:graphic>
              <a:graphicData uri="http://schemas.openxmlformats.org/drawingml/2006/picture">
                <pic:pic>
                  <pic:nvPicPr>
                    <pic:cNvPr id="0" name="D1_Arquitectura_Integral_V12.png"/>
                    <pic:cNvPicPr/>
                  </pic:nvPicPr>
                  <pic:blipFill>
                    <a:blip r:embed="rId11"/>
                    <a:stretch>
                      <a:fillRect/>
                    </a:stretch>
                  </pic:blipFill>
                  <pic:spPr>
                    <a:xfrm>
                      <a:off x="0" y="0"/>
                      <a:ext cx="6172200" cy="3551809"/>
                    </a:xfrm>
                    <a:prstGeom prst="rect"/>
                  </pic:spPr>
                </pic:pic>
              </a:graphicData>
            </a:graphic>
          </wp:inline>
        </w:drawing>
      </w:r>
    </w:p>
    <w:p>
      <w:pPr>
        <w:jc w:val="center"/>
      </w:pPr>
      <w:r>
        <w:rPr>
          <w:i/>
          <w:sz w:val="17"/>
        </w:rPr>
        <w:t>Fig. 1. Modelo único de arquitectura actualizado para EMCALI Cyber 2.0 Híbrido V12.</w:t>
      </w:r>
    </w:p>
    <w:p>
      <w:pPr>
        <w:pStyle w:val="Heading1"/>
      </w:pPr>
      <w:r>
        <w:t>II. MATERIALES Y MÉTODOS</w:t>
      </w:r>
    </w:p>
    <w:p>
      <w:pPr>
        <w:pStyle w:val="Heading2"/>
      </w:pPr>
      <w:r>
        <w:t>A. Arquitectura y flujo de datos</w:t>
      </w:r>
    </w:p>
    <w:p>
      <w:r>
        <w:t>La arquitectura V12 se organiza por capas de presentación, orquestación, inteligencia, modelos, datos/conocimiento e infraestructura. El dataset activo compartido evita que cada módulo opere sobre datos aislados y mantiene continuidad analítica entre detección, análisis, priorización, remediación, métricas y reporte.</w:t>
      </w:r>
    </w:p>
    <w:p>
      <w:r>
        <w:drawing>
          <wp:inline xmlns:a="http://schemas.openxmlformats.org/drawingml/2006/main" xmlns:pic="http://schemas.openxmlformats.org/drawingml/2006/picture">
            <wp:extent cx="6172200" cy="3551809"/>
            <wp:docPr id="2" name="Picture 2"/>
            <wp:cNvGraphicFramePr>
              <a:graphicFrameLocks noChangeAspect="1"/>
            </wp:cNvGraphicFramePr>
            <a:graphic>
              <a:graphicData uri="http://schemas.openxmlformats.org/drawingml/2006/picture">
                <pic:pic>
                  <pic:nvPicPr>
                    <pic:cNvPr id="0" name="D2_Capas_V12.png"/>
                    <pic:cNvPicPr/>
                  </pic:nvPicPr>
                  <pic:blipFill>
                    <a:blip r:embed="rId12"/>
                    <a:stretch>
                      <a:fillRect/>
                    </a:stretch>
                  </pic:blipFill>
                  <pic:spPr>
                    <a:xfrm>
                      <a:off x="0" y="0"/>
                      <a:ext cx="6172200" cy="3551809"/>
                    </a:xfrm>
                    <a:prstGeom prst="rect"/>
                  </pic:spPr>
                </pic:pic>
              </a:graphicData>
            </a:graphic>
          </wp:inline>
        </w:drawing>
      </w:r>
    </w:p>
    <w:p>
      <w:pPr>
        <w:jc w:val="center"/>
      </w:pPr>
      <w:r>
        <w:rPr>
          <w:i/>
          <w:sz w:val="17"/>
        </w:rPr>
        <w:t>Fig. 2. Arquitectura lógica por capas de la baseline V12.</w:t>
      </w:r>
    </w:p>
    <w:p>
      <w:r>
        <w:drawing>
          <wp:inline xmlns:a="http://schemas.openxmlformats.org/drawingml/2006/main" xmlns:pic="http://schemas.openxmlformats.org/drawingml/2006/picture">
            <wp:extent cx="6172200" cy="3551809"/>
            <wp:docPr id="3" name="Picture 3"/>
            <wp:cNvGraphicFramePr>
              <a:graphicFrameLocks noChangeAspect="1"/>
            </wp:cNvGraphicFramePr>
            <a:graphic>
              <a:graphicData uri="http://schemas.openxmlformats.org/drawingml/2006/picture">
                <pic:pic>
                  <pic:nvPicPr>
                    <pic:cNvPr id="0" name="D3_Flujo_End_to_End_V12.png"/>
                    <pic:cNvPicPr/>
                  </pic:nvPicPr>
                  <pic:blipFill>
                    <a:blip r:embed="rId13"/>
                    <a:stretch>
                      <a:fillRect/>
                    </a:stretch>
                  </pic:blipFill>
                  <pic:spPr>
                    <a:xfrm>
                      <a:off x="0" y="0"/>
                      <a:ext cx="6172200" cy="3551809"/>
                    </a:xfrm>
                    <a:prstGeom prst="rect"/>
                  </pic:spPr>
                </pic:pic>
              </a:graphicData>
            </a:graphic>
          </wp:inline>
        </w:drawing>
      </w:r>
    </w:p>
    <w:p>
      <w:pPr>
        <w:jc w:val="center"/>
      </w:pPr>
      <w:r>
        <w:rPr>
          <w:i/>
          <w:sz w:val="17"/>
        </w:rPr>
        <w:t>Fig. 3. Flujo end-to-end desde fuentes de vulnerabilidades hasta evidencia e informe.</w:t>
      </w:r>
    </w:p>
    <w:p>
      <w:pPr>
        <w:pStyle w:val="Heading2"/>
      </w:pPr>
      <w:r>
        <w:t>B. Fuentes y normalización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D3"/>
          </w:tcPr>
          <w:p>
            <w:r>
              <w:rPr>
                <w:b/>
              </w:rPr>
              <w:t>Fuente</w:t>
            </w:r>
          </w:p>
        </w:tc>
        <w:tc>
          <w:tcPr>
            <w:tcW w:type="dxa" w:w="3427"/>
            <w:shd w:fill="D9EAD3"/>
          </w:tcPr>
          <w:p>
            <w:r>
              <w:rPr>
                <w:b/>
              </w:rPr>
              <w:t>Dato principal</w:t>
            </w:r>
          </w:p>
        </w:tc>
        <w:tc>
          <w:tcPr>
            <w:tcW w:type="dxa" w:w="3427"/>
            <w:shd w:fill="D9EAD3"/>
          </w:tcPr>
          <w:p>
            <w:r>
              <w:rPr>
                <w:b/>
              </w:rPr>
              <w:t>Uso en EMCALI Cyber 2.0 V12</w:t>
            </w:r>
          </w:p>
        </w:tc>
      </w:tr>
      <w:tr>
        <w:tc>
          <w:tcPr>
            <w:tcW w:type="dxa" w:w="3427"/>
          </w:tcPr>
          <w:p>
            <w:r>
              <w:t>NVD / CVE</w:t>
            </w:r>
          </w:p>
        </w:tc>
        <w:tc>
          <w:tcPr>
            <w:tcW w:type="dxa" w:w="3427"/>
          </w:tcPr>
          <w:p>
            <w:r>
              <w:t>Identificador, descripción, CVSS</w:t>
            </w:r>
          </w:p>
        </w:tc>
        <w:tc>
          <w:tcPr>
            <w:tcW w:type="dxa" w:w="3427"/>
          </w:tcPr>
          <w:p>
            <w:r>
              <w:t>Contexto técnico y severidad</w:t>
            </w:r>
          </w:p>
        </w:tc>
      </w:tr>
      <w:tr>
        <w:tc>
          <w:tcPr>
            <w:tcW w:type="dxa" w:w="3427"/>
          </w:tcPr>
          <w:p>
            <w:r>
              <w:t>CISA KEV</w:t>
            </w:r>
          </w:p>
        </w:tc>
        <w:tc>
          <w:tcPr>
            <w:tcW w:type="dxa" w:w="3427"/>
          </w:tcPr>
          <w:p>
            <w:r>
              <w:t>Explotación conocida</w:t>
            </w:r>
          </w:p>
        </w:tc>
        <w:tc>
          <w:tcPr>
            <w:tcW w:type="dxa" w:w="3427"/>
          </w:tcPr>
          <w:p>
            <w:r>
              <w:t>Incrementa prioridad operativa</w:t>
            </w:r>
          </w:p>
        </w:tc>
      </w:tr>
      <w:tr>
        <w:tc>
          <w:tcPr>
            <w:tcW w:type="dxa" w:w="3427"/>
          </w:tcPr>
          <w:p>
            <w:r>
              <w:t>EPSS</w:t>
            </w:r>
          </w:p>
        </w:tc>
        <w:tc>
          <w:tcPr>
            <w:tcW w:type="dxa" w:w="3427"/>
          </w:tcPr>
          <w:p>
            <w:r>
              <w:t>Probabilidad de explotación</w:t>
            </w:r>
          </w:p>
        </w:tc>
        <w:tc>
          <w:tcPr>
            <w:tcW w:type="dxa" w:w="3427"/>
          </w:tcPr>
          <w:p>
            <w:r>
              <w:t>Priorización probabilística</w:t>
            </w:r>
          </w:p>
        </w:tc>
      </w:tr>
      <w:tr>
        <w:tc>
          <w:tcPr>
            <w:tcW w:type="dxa" w:w="3427"/>
          </w:tcPr>
          <w:p>
            <w:r>
              <w:t>Tenable / Nessus / Qualys / OpenVAS</w:t>
            </w:r>
          </w:p>
        </w:tc>
        <w:tc>
          <w:tcPr>
            <w:tcW w:type="dxa" w:w="3427"/>
          </w:tcPr>
          <w:p>
            <w:r>
              <w:t>Hallazgos de escaneo</w:t>
            </w:r>
          </w:p>
        </w:tc>
        <w:tc>
          <w:tcPr>
            <w:tcW w:type="dxa" w:w="3427"/>
          </w:tcPr>
          <w:p>
            <w:r>
              <w:t>Inventario técnico de vulnerabilidades</w:t>
            </w:r>
          </w:p>
        </w:tc>
      </w:tr>
      <w:tr>
        <w:tc>
          <w:tcPr>
            <w:tcW w:type="dxa" w:w="3427"/>
          </w:tcPr>
          <w:p>
            <w:r>
              <w:t>CSV / JSON / Excel</w:t>
            </w:r>
          </w:p>
        </w:tc>
        <w:tc>
          <w:tcPr>
            <w:tcW w:type="dxa" w:w="3427"/>
          </w:tcPr>
          <w:p>
            <w:r>
              <w:t>Intercambio y cargas externas</w:t>
            </w:r>
          </w:p>
        </w:tc>
        <w:tc>
          <w:tcPr>
            <w:tcW w:type="dxa" w:w="3427"/>
          </w:tcPr>
          <w:p>
            <w:r>
              <w:t>Ingesta multiformato</w:t>
            </w:r>
          </w:p>
        </w:tc>
      </w:tr>
    </w:tbl>
    <w:p/>
    <w:p>
      <w:r>
        <w:t>Durante la ingesta se homogenizan identificador, activo, dirección, servicio, severidad, CVSS, EPSS, estado KEV, evidencia, criticidad y recomendación. El normalizador utiliza perfiles, alias y reglas de derivación para producir un Unified Schema y actualizar findings_df como fuente de verdad operacional.</w:t>
      </w:r>
    </w:p>
    <w:p>
      <w:r>
        <w:drawing>
          <wp:inline xmlns:a="http://schemas.openxmlformats.org/drawingml/2006/main" xmlns:pic="http://schemas.openxmlformats.org/drawingml/2006/picture">
            <wp:extent cx="6172200" cy="3551809"/>
            <wp:docPr id="4" name="Picture 4"/>
            <wp:cNvGraphicFramePr>
              <a:graphicFrameLocks noChangeAspect="1"/>
            </wp:cNvGraphicFramePr>
            <a:graphic>
              <a:graphicData uri="http://schemas.openxmlformats.org/drawingml/2006/picture">
                <pic:pic>
                  <pic:nvPicPr>
                    <pic:cNvPr id="0" name="D8_Ingesta_Normalizacion_V12.png"/>
                    <pic:cNvPicPr/>
                  </pic:nvPicPr>
                  <pic:blipFill>
                    <a:blip r:embed="rId14"/>
                    <a:stretch>
                      <a:fillRect/>
                    </a:stretch>
                  </pic:blipFill>
                  <pic:spPr>
                    <a:xfrm>
                      <a:off x="0" y="0"/>
                      <a:ext cx="6172200" cy="3551809"/>
                    </a:xfrm>
                    <a:prstGeom prst="rect"/>
                  </pic:spPr>
                </pic:pic>
              </a:graphicData>
            </a:graphic>
          </wp:inline>
        </w:drawing>
      </w:r>
    </w:p>
    <w:p>
      <w:pPr>
        <w:jc w:val="center"/>
      </w:pPr>
      <w:r>
        <w:rPr>
          <w:i/>
          <w:sz w:val="17"/>
        </w:rPr>
        <w:t>Fig. 4. Pipeline de ingesta, normalización y Unified Schema.</w:t>
      </w:r>
    </w:p>
    <w:p>
      <w:pPr>
        <w:pStyle w:val="Heading2"/>
      </w:pPr>
      <w:r>
        <w:t>C. Motor de riesgo</w:t>
      </w:r>
    </w:p>
    <w:p>
      <w:r>
        <w:t>La priorización mantiene el modelo multicriterio documentado, combinando CVSS, EPSS, presencia en KEV, criticidad del activo, exposición e impacto. La ponderación de referencia es configurable y debe calibrarse con evidencia histórica y criterios de negocio antes de utilizarse como modelo productivo.</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D3"/>
          </w:tcPr>
          <w:p>
            <w:r>
              <w:rPr>
                <w:b/>
              </w:rPr>
              <w:t>Variable</w:t>
            </w:r>
          </w:p>
        </w:tc>
        <w:tc>
          <w:tcPr>
            <w:tcW w:type="dxa" w:w="3427"/>
            <w:shd w:fill="D9EAD3"/>
          </w:tcPr>
          <w:p>
            <w:r>
              <w:rPr>
                <w:b/>
              </w:rPr>
              <w:t>Peso de referencia</w:t>
            </w:r>
          </w:p>
        </w:tc>
        <w:tc>
          <w:tcPr>
            <w:tcW w:type="dxa" w:w="3427"/>
            <w:shd w:fill="D9EAD3"/>
          </w:tcPr>
          <w:p>
            <w:r>
              <w:rPr>
                <w:b/>
              </w:rPr>
              <w:t>Interpretación</w:t>
            </w:r>
          </w:p>
        </w:tc>
      </w:tr>
      <w:tr>
        <w:tc>
          <w:tcPr>
            <w:tcW w:type="dxa" w:w="3427"/>
          </w:tcPr>
          <w:p>
            <w:r>
              <w:t>CVSS</w:t>
            </w:r>
          </w:p>
        </w:tc>
        <w:tc>
          <w:tcPr>
            <w:tcW w:type="dxa" w:w="3427"/>
          </w:tcPr>
          <w:p>
            <w:r>
              <w:t>25 %</w:t>
            </w:r>
          </w:p>
        </w:tc>
        <w:tc>
          <w:tcPr>
            <w:tcW w:type="dxa" w:w="3427"/>
          </w:tcPr>
          <w:p>
            <w:r>
              <w:t>Severidad técnica</w:t>
            </w:r>
          </w:p>
        </w:tc>
      </w:tr>
      <w:tr>
        <w:tc>
          <w:tcPr>
            <w:tcW w:type="dxa" w:w="3427"/>
          </w:tcPr>
          <w:p>
            <w:r>
              <w:t>EPSS</w:t>
            </w:r>
          </w:p>
        </w:tc>
        <w:tc>
          <w:tcPr>
            <w:tcW w:type="dxa" w:w="3427"/>
          </w:tcPr>
          <w:p>
            <w:r>
              <w:t>20 %</w:t>
            </w:r>
          </w:p>
        </w:tc>
        <w:tc>
          <w:tcPr>
            <w:tcW w:type="dxa" w:w="3427"/>
          </w:tcPr>
          <w:p>
            <w:r>
              <w:t>Probabilidad de explotación</w:t>
            </w:r>
          </w:p>
        </w:tc>
      </w:tr>
      <w:tr>
        <w:tc>
          <w:tcPr>
            <w:tcW w:type="dxa" w:w="3427"/>
          </w:tcPr>
          <w:p>
            <w:r>
              <w:t>CISA KEV</w:t>
            </w:r>
          </w:p>
        </w:tc>
        <w:tc>
          <w:tcPr>
            <w:tcW w:type="dxa" w:w="3427"/>
          </w:tcPr>
          <w:p>
            <w:r>
              <w:t>20 %</w:t>
            </w:r>
          </w:p>
        </w:tc>
        <w:tc>
          <w:tcPr>
            <w:tcW w:type="dxa" w:w="3427"/>
          </w:tcPr>
          <w:p>
            <w:r>
              <w:t>Explotación conocida</w:t>
            </w:r>
          </w:p>
        </w:tc>
      </w:tr>
      <w:tr>
        <w:tc>
          <w:tcPr>
            <w:tcW w:type="dxa" w:w="3427"/>
          </w:tcPr>
          <w:p>
            <w:r>
              <w:t>Criticidad</w:t>
            </w:r>
          </w:p>
        </w:tc>
        <w:tc>
          <w:tcPr>
            <w:tcW w:type="dxa" w:w="3427"/>
          </w:tcPr>
          <w:p>
            <w:r>
              <w:t>15 %</w:t>
            </w:r>
          </w:p>
        </w:tc>
        <w:tc>
          <w:tcPr>
            <w:tcW w:type="dxa" w:w="3427"/>
          </w:tcPr>
          <w:p>
            <w:r>
              <w:t>Importancia del activo</w:t>
            </w:r>
          </w:p>
        </w:tc>
      </w:tr>
      <w:tr>
        <w:tc>
          <w:tcPr>
            <w:tcW w:type="dxa" w:w="3427"/>
          </w:tcPr>
          <w:p>
            <w:r>
              <w:t>Exposición</w:t>
            </w:r>
          </w:p>
        </w:tc>
        <w:tc>
          <w:tcPr>
            <w:tcW w:type="dxa" w:w="3427"/>
          </w:tcPr>
          <w:p>
            <w:r>
              <w:t>10 %</w:t>
            </w:r>
          </w:p>
        </w:tc>
        <w:tc>
          <w:tcPr>
            <w:tcW w:type="dxa" w:w="3427"/>
          </w:tcPr>
          <w:p>
            <w:r>
              <w:t>Superficie/alcance</w:t>
            </w:r>
          </w:p>
        </w:tc>
      </w:tr>
      <w:tr>
        <w:tc>
          <w:tcPr>
            <w:tcW w:type="dxa" w:w="3427"/>
          </w:tcPr>
          <w:p>
            <w:r>
              <w:t>Impacto</w:t>
            </w:r>
          </w:p>
        </w:tc>
        <w:tc>
          <w:tcPr>
            <w:tcW w:type="dxa" w:w="3427"/>
          </w:tcPr>
          <w:p>
            <w:r>
              <w:t>10 %</w:t>
            </w:r>
          </w:p>
        </w:tc>
        <w:tc>
          <w:tcPr>
            <w:tcW w:type="dxa" w:w="3427"/>
          </w:tcPr>
          <w:p>
            <w:r>
              <w:t>Consecuencia operacional</w:t>
            </w:r>
          </w:p>
        </w:tc>
      </w:tr>
    </w:tbl>
    <w:p/>
    <w:p>
      <w:pPr>
        <w:pStyle w:val="Heading2"/>
      </w:pPr>
      <w:r>
        <w:t>D. Inferencia híbrida y modelos</w:t>
      </w:r>
    </w:p>
    <w:p>
      <w:r>
        <w:t>El backend local utiliza Ollama, detección de modelos y verificación de disponibilidad. La configuración de referencia de V12 adopta phi3:mini para equipos de recursos limitados y conserva la posibilidad de utilizar Llama 3.1, Mistral y modelos especializados cuando el hardware lo permita. La arquitectura admite proveedores cloud como OpenAI, Gemini y Anthropic bajo configuración explícita. En la baseline, la operación local es preferente y los fallbacks cloud no deben considerarse obligatorios.</w:t>
      </w:r>
    </w:p>
    <w:p>
      <w:r>
        <w:drawing>
          <wp:inline xmlns:a="http://schemas.openxmlformats.org/drawingml/2006/main" xmlns:pic="http://schemas.openxmlformats.org/drawingml/2006/picture">
            <wp:extent cx="6172200" cy="3551809"/>
            <wp:docPr id="5" name="Picture 5"/>
            <wp:cNvGraphicFramePr>
              <a:graphicFrameLocks noChangeAspect="1"/>
            </wp:cNvGraphicFramePr>
            <a:graphic>
              <a:graphicData uri="http://schemas.openxmlformats.org/drawingml/2006/picture">
                <pic:pic>
                  <pic:nvPicPr>
                    <pic:cNvPr id="0" name="D4_Secuencia_LLM_Fallback_V12.png"/>
                    <pic:cNvPicPr/>
                  </pic:nvPicPr>
                  <pic:blipFill>
                    <a:blip r:embed="rId15"/>
                    <a:stretch>
                      <a:fillRect/>
                    </a:stretch>
                  </pic:blipFill>
                  <pic:spPr>
                    <a:xfrm>
                      <a:off x="0" y="0"/>
                      <a:ext cx="6172200" cy="3551809"/>
                    </a:xfrm>
                    <a:prstGeom prst="rect"/>
                  </pic:spPr>
                </pic:pic>
              </a:graphicData>
            </a:graphic>
          </wp:inline>
        </w:drawing>
      </w:r>
    </w:p>
    <w:p>
      <w:pPr>
        <w:jc w:val="center"/>
      </w:pPr>
      <w:r>
        <w:rPr>
          <w:i/>
          <w:sz w:val="17"/>
        </w:rPr>
        <w:t>Fig. 5. Secuencia de inferencia local y fallback controlado.</w:t>
      </w:r>
    </w:p>
    <w:p>
      <w:pPr>
        <w:pStyle w:val="Heading2"/>
      </w:pPr>
      <w:r>
        <w:t>E. Recuperación aumentada por generación (RAG)</w:t>
      </w:r>
    </w:p>
    <w:p>
      <w:r>
        <w:t>RAG incorpora una base de conocimiento local y recuperación semántica Top-K para suministrar contexto antes de generar una respuesta. Puede combinar playbooks defensivos, documentación institucional, CVE/NVD y enriquecimiento externo autorizado. RAG reduce respuestas genéricas, pero no elimina el riesgo de alucinación; la evidencia recuperada y la recomendación deben permanecer sujetas a revisión humana.</w:t>
      </w:r>
    </w:p>
    <w:p>
      <w:r>
        <w:drawing>
          <wp:inline xmlns:a="http://schemas.openxmlformats.org/drawingml/2006/main" xmlns:pic="http://schemas.openxmlformats.org/drawingml/2006/picture">
            <wp:extent cx="6172200" cy="3551809"/>
            <wp:docPr id="6" name="Picture 6"/>
            <wp:cNvGraphicFramePr>
              <a:graphicFrameLocks noChangeAspect="1"/>
            </wp:cNvGraphicFramePr>
            <a:graphic>
              <a:graphicData uri="http://schemas.openxmlformats.org/drawingml/2006/picture">
                <pic:pic>
                  <pic:nvPicPr>
                    <pic:cNvPr id="0" name="D5_RAG_V12.png"/>
                    <pic:cNvPicPr/>
                  </pic:nvPicPr>
                  <pic:blipFill>
                    <a:blip r:embed="rId16"/>
                    <a:stretch>
                      <a:fillRect/>
                    </a:stretch>
                  </pic:blipFill>
                  <pic:spPr>
                    <a:xfrm>
                      <a:off x="0" y="0"/>
                      <a:ext cx="6172200" cy="3551809"/>
                    </a:xfrm>
                    <a:prstGeom prst="rect"/>
                  </pic:spPr>
                </pic:pic>
              </a:graphicData>
            </a:graphic>
          </wp:inline>
        </w:drawing>
      </w:r>
    </w:p>
    <w:p>
      <w:pPr>
        <w:jc w:val="center"/>
      </w:pPr>
      <w:r>
        <w:rPr>
          <w:i/>
          <w:sz w:val="17"/>
        </w:rPr>
        <w:t>Fig. 6. Arquitectura actualizada del subsistema RAG local.</w:t>
      </w:r>
    </w:p>
    <w:p>
      <w:pPr>
        <w:pStyle w:val="Heading2"/>
      </w:pPr>
      <w:r>
        <w:t>F. Secuencia de análisis</w:t>
      </w:r>
    </w:p>
    <w:p>
      <w:r>
        <w:t>El ciclo comienza con la selección de un hallazgo normalizado. El sistema calcula o recupera variables de riesgo, consulta contexto RAG, selecciona el backend configurado, construye el prompt enriquecido y genera explicación técnica, prioridad y acciones sugeridas. La salida alimenta analysis_history, métricas, informes y trazabilidad.</w:t>
      </w:r>
    </w:p>
    <w:p>
      <w:pPr>
        <w:pStyle w:val="Heading2"/>
      </w:pPr>
      <w:r>
        <w:t>G. Implementación</w:t>
      </w:r>
    </w:p>
    <w:tbl>
      <w:tblPr>
        <w:tblStyle w:val="TableGrid"/>
        <w:tblW w:type="auto" w:w="0"/>
        <w:jc w:val="center"/>
        <w:tblLook w:firstColumn="1" w:firstRow="1" w:lastColumn="0" w:lastRow="0" w:noHBand="0" w:noVBand="1" w:val="04A0"/>
      </w:tblPr>
      <w:tblGrid>
        <w:gridCol w:w="5141"/>
        <w:gridCol w:w="5141"/>
      </w:tblGrid>
      <w:tr>
        <w:tc>
          <w:tcPr>
            <w:tcW w:type="dxa" w:w="5141"/>
            <w:shd w:fill="D9EAD3"/>
          </w:tcPr>
          <w:p>
            <w:r>
              <w:rPr>
                <w:b/>
              </w:rPr>
              <w:t>Componente</w:t>
            </w:r>
          </w:p>
        </w:tc>
        <w:tc>
          <w:tcPr>
            <w:tcW w:type="dxa" w:w="5141"/>
            <w:shd w:fill="D9EAD3"/>
          </w:tcPr>
          <w:p>
            <w:r>
              <w:rPr>
                <w:b/>
              </w:rPr>
              <w:t>Tecnología / función V12</w:t>
            </w:r>
          </w:p>
        </w:tc>
      </w:tr>
      <w:tr>
        <w:tc>
          <w:tcPr>
            <w:tcW w:type="dxa" w:w="5141"/>
          </w:tcPr>
          <w:p>
            <w:r>
              <w:t>Interfaz</w:t>
            </w:r>
          </w:p>
        </w:tc>
        <w:tc>
          <w:tcPr>
            <w:tcW w:type="dxa" w:w="5141"/>
          </w:tcPr>
          <w:p>
            <w:r>
              <w:t>Python + Streamlit</w:t>
            </w:r>
          </w:p>
        </w:tc>
      </w:tr>
      <w:tr>
        <w:tc>
          <w:tcPr>
            <w:tcW w:type="dxa" w:w="5141"/>
          </w:tcPr>
          <w:p>
            <w:r>
              <w:t>Procesamiento</w:t>
            </w:r>
          </w:p>
        </w:tc>
        <w:tc>
          <w:tcPr>
            <w:tcW w:type="dxa" w:w="5141"/>
          </w:tcPr>
          <w:p>
            <w:r>
              <w:t>Pandas / JSON / normalizador</w:t>
            </w:r>
          </w:p>
        </w:tc>
      </w:tr>
      <w:tr>
        <w:tc>
          <w:tcPr>
            <w:tcW w:type="dxa" w:w="5141"/>
          </w:tcPr>
          <w:p>
            <w:r>
              <w:t>LLM local</w:t>
            </w:r>
          </w:p>
        </w:tc>
        <w:tc>
          <w:tcPr>
            <w:tcW w:type="dxa" w:w="5141"/>
          </w:tcPr>
          <w:p>
            <w:r>
              <w:t>Ollama; phi3:mini como configuración de referencia</w:t>
            </w:r>
          </w:p>
        </w:tc>
      </w:tr>
      <w:tr>
        <w:tc>
          <w:tcPr>
            <w:tcW w:type="dxa" w:w="5141"/>
          </w:tcPr>
          <w:p>
            <w:r>
              <w:t>LLM cloud</w:t>
            </w:r>
          </w:p>
        </w:tc>
        <w:tc>
          <w:tcPr>
            <w:tcW w:type="dxa" w:w="5141"/>
          </w:tcPr>
          <w:p>
            <w:r>
              <w:t>OpenAI / Gemini / Anthropic, según configuración</w:t>
            </w:r>
          </w:p>
        </w:tc>
      </w:tr>
      <w:tr>
        <w:tc>
          <w:tcPr>
            <w:tcW w:type="dxa" w:w="5141"/>
          </w:tcPr>
          <w:p>
            <w:r>
              <w:t>RAG</w:t>
            </w:r>
          </w:p>
        </w:tc>
        <w:tc>
          <w:tcPr>
            <w:tcW w:type="dxa" w:w="5141"/>
          </w:tcPr>
          <w:p>
            <w:r>
              <w:t>Embeddings + recuperación/vector store local</w:t>
            </w:r>
          </w:p>
        </w:tc>
      </w:tr>
      <w:tr>
        <w:tc>
          <w:tcPr>
            <w:tcW w:type="dxa" w:w="5141"/>
          </w:tcPr>
          <w:p>
            <w:r>
              <w:t>Persistencia operacional</w:t>
            </w:r>
          </w:p>
        </w:tc>
        <w:tc>
          <w:tcPr>
            <w:tcW w:type="dxa" w:w="5141"/>
          </w:tcPr>
          <w:p>
            <w:r>
              <w:t>session_state, archivos estructurados e historiales</w:t>
            </w:r>
          </w:p>
        </w:tc>
      </w:tr>
      <w:tr>
        <w:tc>
          <w:tcPr>
            <w:tcW w:type="dxa" w:w="5141"/>
          </w:tcPr>
          <w:p>
            <w:r>
              <w:t>Visualización</w:t>
            </w:r>
          </w:p>
        </w:tc>
        <w:tc>
          <w:tcPr>
            <w:tcW w:type="dxa" w:w="5141"/>
          </w:tcPr>
          <w:p>
            <w:r>
              <w:t>Streamlit / tablas / gráficos</w:t>
            </w:r>
          </w:p>
        </w:tc>
      </w:tr>
      <w:tr>
        <w:tc>
          <w:tcPr>
            <w:tcW w:type="dxa" w:w="5141"/>
          </w:tcPr>
          <w:p>
            <w:r>
              <w:t>Aceleración</w:t>
            </w:r>
          </w:p>
        </w:tc>
        <w:tc>
          <w:tcPr>
            <w:tcW w:type="dxa" w:w="5141"/>
          </w:tcPr>
          <w:p>
            <w:r>
              <w:t>nvidia-smi, ollama ps, diagnóstico CPU/GPU/VRAM y benchmark</w:t>
            </w:r>
          </w:p>
        </w:tc>
      </w:tr>
      <w:tr>
        <w:tc>
          <w:tcPr>
            <w:tcW w:type="dxa" w:w="5141"/>
          </w:tcPr>
          <w:p>
            <w:r>
              <w:t>Empaquetado</w:t>
            </w:r>
          </w:p>
        </w:tc>
        <w:tc>
          <w:tcPr>
            <w:tcW w:type="dxa" w:w="5141"/>
          </w:tcPr>
          <w:p>
            <w:r>
              <w:t>Windows portable / release limpio / instalador según distribución</w:t>
            </w:r>
          </w:p>
        </w:tc>
      </w:tr>
    </w:tbl>
    <w:p/>
    <w:p>
      <w:r>
        <w:drawing>
          <wp:inline xmlns:a="http://schemas.openxmlformats.org/drawingml/2006/main" xmlns:pic="http://schemas.openxmlformats.org/drawingml/2006/picture">
            <wp:extent cx="6172200" cy="3551809"/>
            <wp:docPr id="7" name="Picture 7"/>
            <wp:cNvGraphicFramePr>
              <a:graphicFrameLocks noChangeAspect="1"/>
            </wp:cNvGraphicFramePr>
            <a:graphic>
              <a:graphicData uri="http://schemas.openxmlformats.org/drawingml/2006/picture">
                <pic:pic>
                  <pic:nvPicPr>
                    <pic:cNvPr id="0" name="D7_Componentes_Software_V12.png"/>
                    <pic:cNvPicPr/>
                  </pic:nvPicPr>
                  <pic:blipFill>
                    <a:blip r:embed="rId17"/>
                    <a:stretch>
                      <a:fillRect/>
                    </a:stretch>
                  </pic:blipFill>
                  <pic:spPr>
                    <a:xfrm>
                      <a:off x="0" y="0"/>
                      <a:ext cx="6172200" cy="3551809"/>
                    </a:xfrm>
                    <a:prstGeom prst="rect"/>
                  </pic:spPr>
                </pic:pic>
              </a:graphicData>
            </a:graphic>
          </wp:inline>
        </w:drawing>
      </w:r>
    </w:p>
    <w:p>
      <w:pPr>
        <w:jc w:val="center"/>
      </w:pPr>
      <w:r>
        <w:rPr>
          <w:i/>
          <w:sz w:val="17"/>
        </w:rPr>
        <w:t>Fig. 7. Componentes de software de EMCALI Cyber 2.0 Híbrido V12.</w:t>
      </w:r>
    </w:p>
    <w:p>
      <w:pPr>
        <w:pStyle w:val="Heading1"/>
      </w:pPr>
      <w:r>
        <w:t>III. RESULTADOS</w:t>
      </w:r>
    </w:p>
    <w:p>
      <w:pPr>
        <w:pStyle w:val="Heading2"/>
      </w:pPr>
      <w:r>
        <w:t>A. Módulos funcionales</w:t>
      </w:r>
    </w:p>
    <w:p>
      <w:r>
        <w:t>La V12 aprobada consolida diez módulos: Tablero, Ingesta, Análisis LLM, Riesgo, Remediación, RAG Local, Informes, Métricas LLM, Aceleración IA/GPU y Configuración. La evolución principal consiste en que todos consumen el dataset activo compartido, evitando inconsistencias entre la información cargada, analizada y reportada.</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D3"/>
          </w:tcPr>
          <w:p>
            <w:r>
              <w:rPr>
                <w:b/>
              </w:rPr>
              <w:t>N.º</w:t>
            </w:r>
          </w:p>
        </w:tc>
        <w:tc>
          <w:tcPr>
            <w:tcW w:type="dxa" w:w="3427"/>
            <w:shd w:fill="D9EAD3"/>
          </w:tcPr>
          <w:p>
            <w:r>
              <w:rPr>
                <w:b/>
              </w:rPr>
              <w:t>Módulo</w:t>
            </w:r>
          </w:p>
        </w:tc>
        <w:tc>
          <w:tcPr>
            <w:tcW w:type="dxa" w:w="3427"/>
            <w:shd w:fill="D9EAD3"/>
          </w:tcPr>
          <w:p>
            <w:r>
              <w:rPr>
                <w:b/>
              </w:rPr>
              <w:t>Resultado principal</w:t>
            </w:r>
          </w:p>
        </w:tc>
      </w:tr>
      <w:tr>
        <w:tc>
          <w:tcPr>
            <w:tcW w:type="dxa" w:w="3427"/>
          </w:tcPr>
          <w:p>
            <w:r>
              <w:t>1</w:t>
            </w:r>
          </w:p>
        </w:tc>
        <w:tc>
          <w:tcPr>
            <w:tcW w:type="dxa" w:w="3427"/>
          </w:tcPr>
          <w:p>
            <w:r>
              <w:t>Tablero</w:t>
            </w:r>
          </w:p>
        </w:tc>
        <w:tc>
          <w:tcPr>
            <w:tcW w:type="dxa" w:w="3427"/>
          </w:tcPr>
          <w:p>
            <w:r>
              <w:t>KPIs y estado operativo</w:t>
            </w:r>
          </w:p>
        </w:tc>
      </w:tr>
      <w:tr>
        <w:tc>
          <w:tcPr>
            <w:tcW w:type="dxa" w:w="3427"/>
          </w:tcPr>
          <w:p>
            <w:r>
              <w:t>2</w:t>
            </w:r>
          </w:p>
        </w:tc>
        <w:tc>
          <w:tcPr>
            <w:tcW w:type="dxa" w:w="3427"/>
          </w:tcPr>
          <w:p>
            <w:r>
              <w:t>Ingesta</w:t>
            </w:r>
          </w:p>
        </w:tc>
        <w:tc>
          <w:tcPr>
            <w:tcW w:type="dxa" w:w="3427"/>
          </w:tcPr>
          <w:p>
            <w:r>
              <w:t>Carga, detección y normalización</w:t>
            </w:r>
          </w:p>
        </w:tc>
      </w:tr>
      <w:tr>
        <w:tc>
          <w:tcPr>
            <w:tcW w:type="dxa" w:w="3427"/>
          </w:tcPr>
          <w:p>
            <w:r>
              <w:t>3</w:t>
            </w:r>
          </w:p>
        </w:tc>
        <w:tc>
          <w:tcPr>
            <w:tcW w:type="dxa" w:w="3427"/>
          </w:tcPr>
          <w:p>
            <w:r>
              <w:t>Análisis LLM</w:t>
            </w:r>
          </w:p>
        </w:tc>
        <w:tc>
          <w:tcPr>
            <w:tcW w:type="dxa" w:w="3427"/>
          </w:tcPr>
          <w:p>
            <w:r>
              <w:t>Explicación y recomendación contextual</w:t>
            </w:r>
          </w:p>
        </w:tc>
      </w:tr>
      <w:tr>
        <w:tc>
          <w:tcPr>
            <w:tcW w:type="dxa" w:w="3427"/>
          </w:tcPr>
          <w:p>
            <w:r>
              <w:t>4</w:t>
            </w:r>
          </w:p>
        </w:tc>
        <w:tc>
          <w:tcPr>
            <w:tcW w:type="dxa" w:w="3427"/>
          </w:tcPr>
          <w:p>
            <w:r>
              <w:t>Riesgo</w:t>
            </w:r>
          </w:p>
        </w:tc>
        <w:tc>
          <w:tcPr>
            <w:tcW w:type="dxa" w:w="3427"/>
          </w:tcPr>
          <w:p>
            <w:r>
              <w:t>Priorización multicriterio</w:t>
            </w:r>
          </w:p>
        </w:tc>
      </w:tr>
      <w:tr>
        <w:tc>
          <w:tcPr>
            <w:tcW w:type="dxa" w:w="3427"/>
          </w:tcPr>
          <w:p>
            <w:r>
              <w:t>5</w:t>
            </w:r>
          </w:p>
        </w:tc>
        <w:tc>
          <w:tcPr>
            <w:tcW w:type="dxa" w:w="3427"/>
          </w:tcPr>
          <w:p>
            <w:r>
              <w:t>Remediación</w:t>
            </w:r>
          </w:p>
        </w:tc>
        <w:tc>
          <w:tcPr>
            <w:tcW w:type="dxa" w:w="3427"/>
          </w:tcPr>
          <w:p>
            <w:r>
              <w:t>Acciones sugeridas y validación</w:t>
            </w:r>
          </w:p>
        </w:tc>
      </w:tr>
      <w:tr>
        <w:tc>
          <w:tcPr>
            <w:tcW w:type="dxa" w:w="3427"/>
          </w:tcPr>
          <w:p>
            <w:r>
              <w:t>6</w:t>
            </w:r>
          </w:p>
        </w:tc>
        <w:tc>
          <w:tcPr>
            <w:tcW w:type="dxa" w:w="3427"/>
          </w:tcPr>
          <w:p>
            <w:r>
              <w:t>RAG Local</w:t>
            </w:r>
          </w:p>
        </w:tc>
        <w:tc>
          <w:tcPr>
            <w:tcW w:type="dxa" w:w="3427"/>
          </w:tcPr>
          <w:p>
            <w:r>
              <w:t>Recuperación de evidencia</w:t>
            </w:r>
          </w:p>
        </w:tc>
      </w:tr>
      <w:tr>
        <w:tc>
          <w:tcPr>
            <w:tcW w:type="dxa" w:w="3427"/>
          </w:tcPr>
          <w:p>
            <w:r>
              <w:t>7</w:t>
            </w:r>
          </w:p>
        </w:tc>
        <w:tc>
          <w:tcPr>
            <w:tcW w:type="dxa" w:w="3427"/>
          </w:tcPr>
          <w:p>
            <w:r>
              <w:t>Informes</w:t>
            </w:r>
          </w:p>
        </w:tc>
        <w:tc>
          <w:tcPr>
            <w:tcW w:type="dxa" w:w="3427"/>
          </w:tcPr>
          <w:p>
            <w:r>
              <w:t>Salida técnica/ejecutiva</w:t>
            </w:r>
          </w:p>
        </w:tc>
      </w:tr>
      <w:tr>
        <w:tc>
          <w:tcPr>
            <w:tcW w:type="dxa" w:w="3427"/>
          </w:tcPr>
          <w:p>
            <w:r>
              <w:t>8</w:t>
            </w:r>
          </w:p>
        </w:tc>
        <w:tc>
          <w:tcPr>
            <w:tcW w:type="dxa" w:w="3427"/>
          </w:tcPr>
          <w:p>
            <w:r>
              <w:t>Métricas LLM</w:t>
            </w:r>
          </w:p>
        </w:tc>
        <w:tc>
          <w:tcPr>
            <w:tcW w:type="dxa" w:w="3427"/>
          </w:tcPr>
          <w:p>
            <w:r>
              <w:t>Calidad, latencia y fallback</w:t>
            </w:r>
          </w:p>
        </w:tc>
      </w:tr>
      <w:tr>
        <w:tc>
          <w:tcPr>
            <w:tcW w:type="dxa" w:w="3427"/>
          </w:tcPr>
          <w:p>
            <w:r>
              <w:t>9</w:t>
            </w:r>
          </w:p>
        </w:tc>
        <w:tc>
          <w:tcPr>
            <w:tcW w:type="dxa" w:w="3427"/>
          </w:tcPr>
          <w:p>
            <w:r>
              <w:t>Aceleración IA/GPU</w:t>
            </w:r>
          </w:p>
        </w:tc>
        <w:tc>
          <w:tcPr>
            <w:tcW w:type="dxa" w:w="3427"/>
          </w:tcPr>
          <w:p>
            <w:r>
              <w:t>Hardware, VRAM, uso, modelos y benchmark</w:t>
            </w:r>
          </w:p>
        </w:tc>
      </w:tr>
      <w:tr>
        <w:tc>
          <w:tcPr>
            <w:tcW w:type="dxa" w:w="3427"/>
          </w:tcPr>
          <w:p>
            <w:r>
              <w:t>10</w:t>
            </w:r>
          </w:p>
        </w:tc>
        <w:tc>
          <w:tcPr>
            <w:tcW w:type="dxa" w:w="3427"/>
          </w:tcPr>
          <w:p>
            <w:r>
              <w:t>Configuración</w:t>
            </w:r>
          </w:p>
        </w:tc>
        <w:tc>
          <w:tcPr>
            <w:tcW w:type="dxa" w:w="3427"/>
          </w:tcPr>
          <w:p>
            <w:r>
              <w:t>Backend, modelo y parámetros</w:t>
            </w:r>
          </w:p>
        </w:tc>
      </w:tr>
    </w:tbl>
    <w:p/>
    <w:p>
      <w:pPr>
        <w:pStyle w:val="Heading2"/>
      </w:pPr>
      <w:r>
        <w:t>B. Comparación temporal del proceso</w:t>
      </w:r>
    </w:p>
    <w:p>
      <w:r>
        <w:t>Se conserva como evidencia histórica del prototipo el rango documentado de 10-30 min para análisis manual por vulnerabilidad frente a aproximadamente 10-60 s en pruebas asistidas. Estos valores no constituyen un SLA productivo ni una garantía de V12: dependen de hardware, modelo, longitud del contexto, disponibilidad del backend y carga de trabajo.</w:t>
      </w:r>
    </w:p>
    <w:p>
      <w:pPr>
        <w:pStyle w:val="Heading2"/>
      </w:pPr>
      <w:r>
        <w:t>C. Hardware y capacidad de inferencia</w:t>
      </w:r>
    </w:p>
    <w:p>
      <w:r>
        <w:t>Las pruebas históricas incluyeron Lenovo ThinkPad X230, Dell Precision T1650 y HP Z600. Para la estabilización V12/V12.1 se incorporó además la validación sobre HP Victus con GPU NVIDIA RTX 4050. Esta evolución confirma que RAM, VRAM, drivers, cuantización y tamaño del modelo condicionan la inferencia local.</w:t>
      </w:r>
    </w:p>
    <w:p>
      <w:r>
        <w:drawing>
          <wp:inline xmlns:a="http://schemas.openxmlformats.org/drawingml/2006/main" xmlns:pic="http://schemas.openxmlformats.org/drawingml/2006/picture">
            <wp:extent cx="6172200" cy="3551809"/>
            <wp:docPr id="8" name="Picture 8"/>
            <wp:cNvGraphicFramePr>
              <a:graphicFrameLocks noChangeAspect="1"/>
            </wp:cNvGraphicFramePr>
            <a:graphic>
              <a:graphicData uri="http://schemas.openxmlformats.org/drawingml/2006/picture">
                <pic:pic>
                  <pic:nvPicPr>
                    <pic:cNvPr id="0" name="D9_Aceleracion_GPU_V12.png"/>
                    <pic:cNvPicPr/>
                  </pic:nvPicPr>
                  <pic:blipFill>
                    <a:blip r:embed="rId18"/>
                    <a:stretch>
                      <a:fillRect/>
                    </a:stretch>
                  </pic:blipFill>
                  <pic:spPr>
                    <a:xfrm>
                      <a:off x="0" y="0"/>
                      <a:ext cx="6172200" cy="3551809"/>
                    </a:xfrm>
                    <a:prstGeom prst="rect"/>
                  </pic:spPr>
                </pic:pic>
              </a:graphicData>
            </a:graphic>
          </wp:inline>
        </w:drawing>
      </w:r>
    </w:p>
    <w:p>
      <w:pPr>
        <w:jc w:val="center"/>
      </w:pPr>
      <w:r>
        <w:rPr>
          <w:i/>
          <w:sz w:val="17"/>
        </w:rPr>
        <w:t>Fig. 8. Diagnóstico de aceleración IA/GPU y selección de modelos en V12.</w:t>
      </w:r>
    </w:p>
    <w:p>
      <w:pPr>
        <w:pStyle w:val="Heading2"/>
      </w:pPr>
      <w:r>
        <w:t>D. Evolución del prototipo y control de versión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D3"/>
          </w:tcPr>
          <w:p>
            <w:r>
              <w:rPr>
                <w:b/>
              </w:rPr>
              <w:t>Versión</w:t>
            </w:r>
          </w:p>
        </w:tc>
        <w:tc>
          <w:tcPr>
            <w:tcW w:type="dxa" w:w="3427"/>
            <w:shd w:fill="D9EAD3"/>
          </w:tcPr>
          <w:p>
            <w:r>
              <w:rPr>
                <w:b/>
              </w:rPr>
              <w:t>Aporte principal</w:t>
            </w:r>
          </w:p>
        </w:tc>
        <w:tc>
          <w:tcPr>
            <w:tcW w:type="dxa" w:w="3427"/>
            <w:shd w:fill="D9EAD3"/>
          </w:tcPr>
          <w:p>
            <w:r>
              <w:rPr>
                <w:b/>
              </w:rPr>
              <w:t>Estado</w:t>
            </w:r>
          </w:p>
        </w:tc>
      </w:tr>
      <w:tr>
        <w:tc>
          <w:tcPr>
            <w:tcW w:type="dxa" w:w="3427"/>
          </w:tcPr>
          <w:p>
            <w:r>
              <w:t>V11</w:t>
            </w:r>
          </w:p>
        </w:tc>
        <w:tc>
          <w:tcPr>
            <w:tcW w:type="dxa" w:w="3427"/>
          </w:tcPr>
          <w:p>
            <w:r>
              <w:t>Base funcional consolidada</w:t>
            </w:r>
          </w:p>
        </w:tc>
        <w:tc>
          <w:tcPr>
            <w:tcW w:type="dxa" w:w="3427"/>
          </w:tcPr>
          <w:p>
            <w:r>
              <w:t>Histórica</w:t>
            </w:r>
          </w:p>
        </w:tc>
      </w:tr>
      <w:tr>
        <w:tc>
          <w:tcPr>
            <w:tcW w:type="dxa" w:w="3427"/>
          </w:tcPr>
          <w:p>
            <w:r>
              <w:t>V12</w:t>
            </w:r>
          </w:p>
        </w:tc>
        <w:tc>
          <w:tcPr>
            <w:tcW w:type="dxa" w:w="3427"/>
          </w:tcPr>
          <w:p>
            <w:r>
              <w:t>Aceleración GPU, modelos livianos, Ollama robusto, RAG y fallback gobernado</w:t>
            </w:r>
          </w:p>
        </w:tc>
        <w:tc>
          <w:tcPr>
            <w:tcW w:type="dxa" w:w="3427"/>
          </w:tcPr>
          <w:p>
            <w:r>
              <w:t>APROBADA Y ESTABLE</w:t>
            </w:r>
          </w:p>
        </w:tc>
      </w:tr>
      <w:tr>
        <w:tc>
          <w:tcPr>
            <w:tcW w:type="dxa" w:w="3427"/>
          </w:tcPr>
          <w:p>
            <w:r>
              <w:t>V12.1</w:t>
            </w:r>
          </w:p>
        </w:tc>
        <w:tc>
          <w:tcPr>
            <w:tcW w:type="dxa" w:w="3427"/>
          </w:tcPr>
          <w:p>
            <w:r>
              <w:t>Maintenance build para compatibilidad/validación HP Victus RTX 4050</w:t>
            </w:r>
          </w:p>
        </w:tc>
        <w:tc>
          <w:tcPr>
            <w:tcW w:type="dxa" w:w="3427"/>
          </w:tcPr>
          <w:p>
            <w:r>
              <w:t>Mantenimiento de V12</w:t>
            </w:r>
          </w:p>
        </w:tc>
      </w:tr>
      <w:tr>
        <w:tc>
          <w:tcPr>
            <w:tcW w:type="dxa" w:w="3427"/>
          </w:tcPr>
          <w:p>
            <w:r>
              <w:t>V13</w:t>
            </w:r>
          </w:p>
        </w:tc>
        <w:tc>
          <w:tcPr>
            <w:tcW w:type="dxa" w:w="3427"/>
          </w:tcPr>
          <w:p>
            <w:r>
              <w:t>V12 preservada + Performance Lab experimental</w:t>
            </w:r>
          </w:p>
        </w:tc>
        <w:tc>
          <w:tcPr>
            <w:tcW w:type="dxa" w:w="3427"/>
          </w:tcPr>
          <w:p>
            <w:r>
              <w:t>Fuera de esta baseline</w:t>
            </w:r>
          </w:p>
        </w:tc>
      </w:tr>
    </w:tbl>
    <w:p/>
    <w:p>
      <w:r>
        <w:t>Para el informe final debe evitarse mezclar resultados de V13 con V12. En particular, Performance Lab se reserva a la línea experimental posterior y no se presenta como funcionalidad de la versión aprobada.</w:t>
      </w:r>
    </w:p>
    <w:p>
      <w:pPr>
        <w:pStyle w:val="Heading2"/>
      </w:pPr>
      <w:r>
        <w:t>E. Evidencia frente a Proyecto III</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D3"/>
          </w:tcPr>
          <w:p>
            <w:r>
              <w:rPr>
                <w:b/>
              </w:rPr>
              <w:t>Criterio</w:t>
            </w:r>
          </w:p>
        </w:tc>
        <w:tc>
          <w:tcPr>
            <w:tcW w:type="dxa" w:w="3427"/>
            <w:shd w:fill="D9EAD3"/>
          </w:tcPr>
          <w:p>
            <w:r>
              <w:rPr>
                <w:b/>
              </w:rPr>
              <w:t>Evidencia incorporada en V12</w:t>
            </w:r>
          </w:p>
        </w:tc>
        <w:tc>
          <w:tcPr>
            <w:tcW w:type="dxa" w:w="3427"/>
            <w:shd w:fill="D9EAD3"/>
          </w:tcPr>
          <w:p>
            <w:r>
              <w:rPr>
                <w:b/>
              </w:rPr>
              <w:t>Estado</w:t>
            </w:r>
          </w:p>
        </w:tc>
      </w:tr>
      <w:tr>
        <w:tc>
          <w:tcPr>
            <w:tcW w:type="dxa" w:w="3427"/>
          </w:tcPr>
          <w:p>
            <w:r>
              <w:t>Arquitectura</w:t>
            </w:r>
          </w:p>
        </w:tc>
        <w:tc>
          <w:tcPr>
            <w:tcW w:type="dxa" w:w="3427"/>
          </w:tcPr>
          <w:p>
            <w:r>
              <w:t>Capas, componentes, secuencia y despliegue</w:t>
            </w:r>
          </w:p>
        </w:tc>
        <w:tc>
          <w:tcPr>
            <w:tcW w:type="dxa" w:w="3427"/>
          </w:tcPr>
          <w:p>
            <w:r>
              <w:t>Cumplido</w:t>
            </w:r>
          </w:p>
        </w:tc>
      </w:tr>
      <w:tr>
        <w:tc>
          <w:tcPr>
            <w:tcW w:type="dxa" w:w="3427"/>
          </w:tcPr>
          <w:p>
            <w:r>
              <w:t>Datos</w:t>
            </w:r>
          </w:p>
        </w:tc>
        <w:tc>
          <w:tcPr>
            <w:tcW w:type="dxa" w:w="3427"/>
          </w:tcPr>
          <w:p>
            <w:r>
              <w:t>Ingesta, normalización y fuentes externas</w:t>
            </w:r>
          </w:p>
        </w:tc>
        <w:tc>
          <w:tcPr>
            <w:tcW w:type="dxa" w:w="3427"/>
          </w:tcPr>
          <w:p>
            <w:r>
              <w:t>Cumplido</w:t>
            </w:r>
          </w:p>
        </w:tc>
      </w:tr>
      <w:tr>
        <w:tc>
          <w:tcPr>
            <w:tcW w:type="dxa" w:w="3427"/>
          </w:tcPr>
          <w:p>
            <w:r>
              <w:t>IA aplicada</w:t>
            </w:r>
          </w:p>
        </w:tc>
        <w:tc>
          <w:tcPr>
            <w:tcW w:type="dxa" w:w="3427"/>
          </w:tcPr>
          <w:p>
            <w:r>
              <w:t>LLM local/cloud + RAG</w:t>
            </w:r>
          </w:p>
        </w:tc>
        <w:tc>
          <w:tcPr>
            <w:tcW w:type="dxa" w:w="3427"/>
          </w:tcPr>
          <w:p>
            <w:r>
              <w:t>Cumplido</w:t>
            </w:r>
          </w:p>
        </w:tc>
      </w:tr>
      <w:tr>
        <w:tc>
          <w:tcPr>
            <w:tcW w:type="dxa" w:w="3427"/>
          </w:tcPr>
          <w:p>
            <w:r>
              <w:t>Prototipo</w:t>
            </w:r>
          </w:p>
        </w:tc>
        <w:tc>
          <w:tcPr>
            <w:tcW w:type="dxa" w:w="3427"/>
          </w:tcPr>
          <w:p>
            <w:r>
              <w:t>10 módulos integrados y flujo end-to-end</w:t>
            </w:r>
          </w:p>
        </w:tc>
        <w:tc>
          <w:tcPr>
            <w:tcW w:type="dxa" w:w="3427"/>
          </w:tcPr>
          <w:p>
            <w:r>
              <w:t>Cumplido</w:t>
            </w:r>
          </w:p>
        </w:tc>
      </w:tr>
      <w:tr>
        <w:tc>
          <w:tcPr>
            <w:tcW w:type="dxa" w:w="3427"/>
          </w:tcPr>
          <w:p>
            <w:r>
              <w:t>Evaluación</w:t>
            </w:r>
          </w:p>
        </w:tc>
        <w:tc>
          <w:tcPr>
            <w:tcW w:type="dxa" w:w="3427"/>
          </w:tcPr>
          <w:p>
            <w:r>
              <w:t>Métricas LLM + diagnóstico/benchmark local de aceleración</w:t>
            </w:r>
          </w:p>
        </w:tc>
        <w:tc>
          <w:tcPr>
            <w:tcW w:type="dxa" w:w="3427"/>
          </w:tcPr>
          <w:p>
            <w:r>
              <w:t>Avanzado</w:t>
            </w:r>
          </w:p>
        </w:tc>
      </w:tr>
      <w:tr>
        <w:tc>
          <w:tcPr>
            <w:tcW w:type="dxa" w:w="3427"/>
          </w:tcPr>
          <w:p>
            <w:r>
              <w:t>MLOps/CI-CD</w:t>
            </w:r>
          </w:p>
        </w:tc>
        <w:tc>
          <w:tcPr>
            <w:tcW w:type="dxa" w:w="3427"/>
          </w:tcPr>
          <w:p>
            <w:r>
              <w:t>Diseño y ruta de implementación</w:t>
            </w:r>
          </w:p>
        </w:tc>
        <w:tc>
          <w:tcPr>
            <w:tcW w:type="dxa" w:w="3427"/>
          </w:tcPr>
          <w:p>
            <w:r>
              <w:t>Pendiente de cierre productivo</w:t>
            </w:r>
          </w:p>
        </w:tc>
      </w:tr>
      <w:tr>
        <w:tc>
          <w:tcPr>
            <w:tcW w:type="dxa" w:w="3427"/>
          </w:tcPr>
          <w:p>
            <w:r>
              <w:t>Validación cuantitativa</w:t>
            </w:r>
          </w:p>
        </w:tc>
        <w:tc>
          <w:tcPr>
            <w:tcW w:type="dxa" w:w="3427"/>
          </w:tcPr>
          <w:p>
            <w:r>
              <w:t>Requiere ground truth y benchmark repetible</w:t>
            </w:r>
          </w:p>
        </w:tc>
        <w:tc>
          <w:tcPr>
            <w:tcW w:type="dxa" w:w="3427"/>
          </w:tcPr>
          <w:p>
            <w:r>
              <w:t>Pendiente</w:t>
            </w:r>
          </w:p>
        </w:tc>
      </w:tr>
    </w:tbl>
    <w:p/>
    <w:p>
      <w:pPr>
        <w:pStyle w:val="Heading2"/>
      </w:pPr>
      <w:r>
        <w:t>F. Verificación de la baseline V12</w:t>
      </w:r>
    </w:p>
    <w:p>
      <w:r>
        <w:t>La revisión técnica de la baseline estable verificó la estructura principal app.py/core/pages/assets, la presencia del módulo Aceleración IA/GPU y la separación respecto de V13. La verificación sintáctica reportó 23 archivos Python compilables sin errores. Este resultado evidencia integridad de ingeniería del release, pero no debe interpretarse como una medida de precisión o calidad estadística del LLM.</w:t>
      </w:r>
    </w:p>
    <w:p>
      <w:r>
        <w:drawing>
          <wp:inline xmlns:a="http://schemas.openxmlformats.org/drawingml/2006/main" xmlns:pic="http://schemas.openxmlformats.org/drawingml/2006/picture">
            <wp:extent cx="6172200" cy="3551809"/>
            <wp:docPr id="9" name="Picture 9"/>
            <wp:cNvGraphicFramePr>
              <a:graphicFrameLocks noChangeAspect="1"/>
            </wp:cNvGraphicFramePr>
            <a:graphic>
              <a:graphicData uri="http://schemas.openxmlformats.org/drawingml/2006/picture">
                <pic:pic>
                  <pic:nvPicPr>
                    <pic:cNvPr id="0" name="D6_Despliegue_V12.png"/>
                    <pic:cNvPicPr/>
                  </pic:nvPicPr>
                  <pic:blipFill>
                    <a:blip r:embed="rId19"/>
                    <a:stretch>
                      <a:fillRect/>
                    </a:stretch>
                  </pic:blipFill>
                  <pic:spPr>
                    <a:xfrm>
                      <a:off x="0" y="0"/>
                      <a:ext cx="6172200" cy="3551809"/>
                    </a:xfrm>
                    <a:prstGeom prst="rect"/>
                  </pic:spPr>
                </pic:pic>
              </a:graphicData>
            </a:graphic>
          </wp:inline>
        </w:drawing>
      </w:r>
    </w:p>
    <w:p>
      <w:pPr>
        <w:jc w:val="center"/>
      </w:pPr>
      <w:r>
        <w:rPr>
          <w:i/>
          <w:sz w:val="17"/>
        </w:rPr>
        <w:t>Fig. 9. Despliegue on-premise e híbrido de V12.</w:t>
      </w:r>
    </w:p>
    <w:p>
      <w:pPr>
        <w:pStyle w:val="Heading1"/>
      </w:pPr>
      <w:r>
        <w:t>IV. DISCUSIÓN</w:t>
      </w:r>
    </w:p>
    <w:p>
      <w:r>
        <w:t>Los resultados apoyan la viabilidad de una arquitectura local-first para gestión asistida de vulnerabilidades. El beneficio no es únicamente la reducción potencial del tiempo de análisis: la plataforma centraliza fuentes heterogéneas, normaliza datos, explicita criterios de priorización y mantiene una ruta local de inferencia.</w:t>
      </w:r>
    </w:p>
    <w:p>
      <w:r>
        <w:t>La incorporación de Aceleración IA/GPU en V12 fortalece la reproducibilidad operacional, porque permite observar si el runtime está utilizando CPU o GPU, estimar restricciones de VRAM y seleccionar modelos acordes con el hardware. Esta capacidad es especialmente relevante en escenarios de soberanía digital y reutilización de estaciones de trabajo heterogéneas.</w:t>
      </w:r>
    </w:p>
    <w:p>
      <w:r>
        <w:t>RAG aporta contexto técnico recuperable y trazable, pero su calidad depende del corpus, chunking, embeddings, recuperación, versionado y evaluación. Por ello, las recomendaciones de remediación deben mantenerse bajo revisión humana y sujetas a los controles de cambio del SGSI.</w:t>
      </w:r>
    </w:p>
    <w:p>
      <w:r>
        <w:t>Las limitaciones metodológicas siguen siendo la ausencia de un ground truth suficientemente amplio, pruebas de carga formales, RBAC empresarial, gestión centralizada de secretos, observabilidad completa, CI/CD y MLOps. Estas limitaciones se mantienen como líneas de maduración y no invalidan el objetivo de V12 como prototipo académico estable.</w:t>
      </w:r>
    </w:p>
    <w:p>
      <w:r>
        <w:drawing>
          <wp:inline xmlns:a="http://schemas.openxmlformats.org/drawingml/2006/main" xmlns:pic="http://schemas.openxmlformats.org/drawingml/2006/picture">
            <wp:extent cx="6172200" cy="3551809"/>
            <wp:docPr id="10" name="Picture 10"/>
            <wp:cNvGraphicFramePr>
              <a:graphicFrameLocks noChangeAspect="1"/>
            </wp:cNvGraphicFramePr>
            <a:graphic>
              <a:graphicData uri="http://schemas.openxmlformats.org/drawingml/2006/picture">
                <pic:pic>
                  <pic:nvPicPr>
                    <pic:cNvPr id="0" name="D10_Seguridad_Gobernanza_V12.png"/>
                    <pic:cNvPicPr/>
                  </pic:nvPicPr>
                  <pic:blipFill>
                    <a:blip r:embed="rId20"/>
                    <a:stretch>
                      <a:fillRect/>
                    </a:stretch>
                  </pic:blipFill>
                  <pic:spPr>
                    <a:xfrm>
                      <a:off x="0" y="0"/>
                      <a:ext cx="6172200" cy="3551809"/>
                    </a:xfrm>
                    <a:prstGeom prst="rect"/>
                  </pic:spPr>
                </pic:pic>
              </a:graphicData>
            </a:graphic>
          </wp:inline>
        </w:drawing>
      </w:r>
    </w:p>
    <w:p>
      <w:pPr>
        <w:jc w:val="center"/>
      </w:pPr>
      <w:r>
        <w:rPr>
          <w:i/>
          <w:sz w:val="17"/>
        </w:rPr>
        <w:t>Fig. 10. Seguridad y gobernanza de inferencia en la baseline V12.</w:t>
      </w:r>
    </w:p>
    <w:p>
      <w:pPr>
        <w:pStyle w:val="Heading1"/>
      </w:pPr>
      <w:r>
        <w:t>V. CONCLUSIONES</w:t>
      </w:r>
    </w:p>
    <w:p>
      <w:pPr>
        <w:pStyle w:val="ListBullet"/>
      </w:pPr>
      <w:r>
        <w:t>EMCALI Cyber 2.0 Híbrido V12 materializa un flujo end-to-end que conecta ingesta, normalización, enriquecimiento, análisis LLM, riesgo, remediación, RAG, informes, métricas y aceleración IA/GPU.</w:t>
      </w:r>
    </w:p>
    <w:p>
      <w:pPr>
        <w:pStyle w:val="ListBullet"/>
      </w:pPr>
      <w:r>
        <w:t>La inferencia local mediante Ollama es técnicamente viable y reduce dependencia de nube; los modelos livianos son determinantes en hardware limitado.</w:t>
      </w:r>
    </w:p>
    <w:p>
      <w:pPr>
        <w:pStyle w:val="ListBullet"/>
      </w:pPr>
      <w:r>
        <w:t>El modelo híbrido aporta resiliencia mediante una ruta local preferente y fallbacks cloud controlados, sin convertir la nube en requisito obligatorio.</w:t>
      </w:r>
    </w:p>
    <w:p>
      <w:pPr>
        <w:pStyle w:val="ListBullet"/>
      </w:pPr>
      <w:r>
        <w:t>RAG mejora el contexto técnico y la trazabilidad, pero requiere corpus gobernado, evaluación formal y revisión humana.</w:t>
      </w:r>
    </w:p>
    <w:p>
      <w:pPr>
        <w:pStyle w:val="ListBullet"/>
      </w:pPr>
      <w:r>
        <w:t>El motor multicriterio CVSS-EPSS-KEV-criticidad-exposición-impacto constituye una base explicable de priorización, pendiente de calibración con evidencia histórica.</w:t>
      </w:r>
    </w:p>
    <w:p>
      <w:pPr>
        <w:pStyle w:val="ListBullet"/>
      </w:pPr>
      <w:r>
        <w:t>La baseline V12 debe mantenerse congelada para el informe final; V13 y Performance Lab deben documentarse separadamente como evolución experimental.</w:t>
      </w:r>
    </w:p>
    <w:p>
      <w:pPr>
        <w:pStyle w:val="Heading1"/>
      </w:pPr>
      <w:r>
        <w:t>APÉNDICE A. PLAN DE VALIDACIÓN PARA NIVEL AVANZADO</w:t>
      </w:r>
    </w:p>
    <w:tbl>
      <w:tblPr>
        <w:tblStyle w:val="TableGrid"/>
        <w:tblW w:type="auto" w:w="0"/>
        <w:jc w:val="center"/>
        <w:tblLook w:firstColumn="1" w:firstRow="1" w:lastColumn="0" w:lastRow="0" w:noHBand="0" w:noVBand="1" w:val="04A0"/>
      </w:tblPr>
      <w:tblGrid>
        <w:gridCol w:w="5141"/>
        <w:gridCol w:w="5141"/>
      </w:tblGrid>
      <w:tr>
        <w:tc>
          <w:tcPr>
            <w:tcW w:type="dxa" w:w="5141"/>
            <w:shd w:fill="D9EAD3"/>
          </w:tcPr>
          <w:p>
            <w:r>
              <w:rPr>
                <w:b/>
              </w:rPr>
              <w:t>Actividad</w:t>
            </w:r>
          </w:p>
        </w:tc>
        <w:tc>
          <w:tcPr>
            <w:tcW w:type="dxa" w:w="5141"/>
            <w:shd w:fill="D9EAD3"/>
          </w:tcPr>
          <w:p>
            <w:r>
              <w:rPr>
                <w:b/>
              </w:rPr>
              <w:t>Métrica / evidencia esperada</w:t>
            </w:r>
          </w:p>
        </w:tc>
      </w:tr>
      <w:tr>
        <w:tc>
          <w:tcPr>
            <w:tcW w:type="dxa" w:w="5141"/>
          </w:tcPr>
          <w:p>
            <w:r>
              <w:t>Dataset de referencia</w:t>
            </w:r>
          </w:p>
        </w:tc>
        <w:tc>
          <w:tcPr>
            <w:tcW w:type="dxa" w:w="5141"/>
          </w:tcPr>
          <w:p>
            <w:r>
              <w:t>CVE/hallazgos etiquetados y validados por expertos</w:t>
            </w:r>
          </w:p>
        </w:tc>
      </w:tr>
      <w:tr>
        <w:tc>
          <w:tcPr>
            <w:tcW w:type="dxa" w:w="5141"/>
          </w:tcPr>
          <w:p>
            <w:r>
              <w:t>Benchmark LLM</w:t>
            </w:r>
          </w:p>
        </w:tc>
        <w:tc>
          <w:tcPr>
            <w:tcW w:type="dxa" w:w="5141"/>
          </w:tcPr>
          <w:p>
            <w:r>
              <w:t>Latencia, tokens, RAM/VRAM, consistencia y calidad</w:t>
            </w:r>
          </w:p>
        </w:tc>
      </w:tr>
      <w:tr>
        <w:tc>
          <w:tcPr>
            <w:tcW w:type="dxa" w:w="5141"/>
          </w:tcPr>
          <w:p>
            <w:r>
              <w:t>Evaluación RAG</w:t>
            </w:r>
          </w:p>
        </w:tc>
        <w:tc>
          <w:tcPr>
            <w:tcW w:type="dxa" w:w="5141"/>
          </w:tcPr>
          <w:p>
            <w:r>
              <w:t>Precision@k, Recall@k, groundedness y revisión humana</w:t>
            </w:r>
          </w:p>
        </w:tc>
      </w:tr>
      <w:tr>
        <w:tc>
          <w:tcPr>
            <w:tcW w:type="dxa" w:w="5141"/>
          </w:tcPr>
          <w:p>
            <w:r>
              <w:t>Pruebas de carga</w:t>
            </w:r>
          </w:p>
        </w:tc>
        <w:tc>
          <w:tcPr>
            <w:tcW w:type="dxa" w:w="5141"/>
          </w:tcPr>
          <w:p>
            <w:r>
              <w:t>Usuarios concurrentes, throughput, p95/p99</w:t>
            </w:r>
          </w:p>
        </w:tc>
      </w:tr>
      <w:tr>
        <w:tc>
          <w:tcPr>
            <w:tcW w:type="dxa" w:w="5141"/>
          </w:tcPr>
          <w:p>
            <w:r>
              <w:t>MLOps</w:t>
            </w:r>
          </w:p>
        </w:tc>
        <w:tc>
          <w:tcPr>
            <w:tcW w:type="dxa" w:w="5141"/>
          </w:tcPr>
          <w:p>
            <w:r>
              <w:t>Versionado de modelo, prompt, corpus y configuración</w:t>
            </w:r>
          </w:p>
        </w:tc>
      </w:tr>
      <w:tr>
        <w:tc>
          <w:tcPr>
            <w:tcW w:type="dxa" w:w="5141"/>
          </w:tcPr>
          <w:p>
            <w:r>
              <w:t>CI/CD</w:t>
            </w:r>
          </w:p>
        </w:tc>
        <w:tc>
          <w:tcPr>
            <w:tcW w:type="dxa" w:w="5141"/>
          </w:tcPr>
          <w:p>
            <w:r>
              <w:t>Build, pruebas, análisis de seguridad y despliegue reproducible</w:t>
            </w:r>
          </w:p>
        </w:tc>
      </w:tr>
      <w:tr>
        <w:tc>
          <w:tcPr>
            <w:tcW w:type="dxa" w:w="5141"/>
          </w:tcPr>
          <w:p>
            <w:r>
              <w:t>Seguridad</w:t>
            </w:r>
          </w:p>
        </w:tc>
        <w:tc>
          <w:tcPr>
            <w:tcW w:type="dxa" w:w="5141"/>
          </w:tcPr>
          <w:p>
            <w:r>
              <w:t>RBAC, secretos, auditoría y segregación de ambientes</w:t>
            </w:r>
          </w:p>
        </w:tc>
      </w:tr>
    </w:tbl>
    <w:p/>
    <w:p>
      <w:pPr>
        <w:pStyle w:val="Heading1"/>
      </w:pPr>
      <w:r>
        <w:t>APÉNDICE B. CONTROL DE CONFIGURACIÓN V12</w:t>
      </w:r>
    </w:p>
    <w:tbl>
      <w:tblPr>
        <w:tblStyle w:val="TableGrid"/>
        <w:tblW w:type="auto" w:w="0"/>
        <w:jc w:val="center"/>
        <w:tblLook w:firstColumn="1" w:firstRow="1" w:lastColumn="0" w:lastRow="0" w:noHBand="0" w:noVBand="1" w:val="04A0"/>
      </w:tblPr>
      <w:tblGrid>
        <w:gridCol w:w="5141"/>
        <w:gridCol w:w="5141"/>
      </w:tblGrid>
      <w:tr>
        <w:tc>
          <w:tcPr>
            <w:tcW w:type="dxa" w:w="5141"/>
            <w:shd w:fill="D9EAD3"/>
          </w:tcPr>
          <w:p>
            <w:r>
              <w:rPr>
                <w:b/>
              </w:rPr>
              <w:t>Elemento</w:t>
            </w:r>
          </w:p>
        </w:tc>
        <w:tc>
          <w:tcPr>
            <w:tcW w:type="dxa" w:w="5141"/>
            <w:shd w:fill="D9EAD3"/>
          </w:tcPr>
          <w:p>
            <w:r>
              <w:rPr>
                <w:b/>
              </w:rPr>
              <w:t>Baseline V12</w:t>
            </w:r>
          </w:p>
        </w:tc>
      </w:tr>
      <w:tr>
        <w:tc>
          <w:tcPr>
            <w:tcW w:type="dxa" w:w="5141"/>
          </w:tcPr>
          <w:p>
            <w:r>
              <w:t>Backend local</w:t>
            </w:r>
          </w:p>
        </w:tc>
        <w:tc>
          <w:tcPr>
            <w:tcW w:type="dxa" w:w="5141"/>
          </w:tcPr>
          <w:p>
            <w:r>
              <w:t>Ollama</w:t>
            </w:r>
          </w:p>
        </w:tc>
      </w:tr>
      <w:tr>
        <w:tc>
          <w:tcPr>
            <w:tcW w:type="dxa" w:w="5141"/>
          </w:tcPr>
          <w:p>
            <w:r>
              <w:t>Modelo de referencia</w:t>
            </w:r>
          </w:p>
        </w:tc>
        <w:tc>
          <w:tcPr>
            <w:tcW w:type="dxa" w:w="5141"/>
          </w:tcPr>
          <w:p>
            <w:r>
              <w:t>phi3:mini</w:t>
            </w:r>
          </w:p>
        </w:tc>
      </w:tr>
      <w:tr>
        <w:tc>
          <w:tcPr>
            <w:tcW w:type="dxa" w:w="5141"/>
          </w:tcPr>
          <w:p>
            <w:r>
              <w:t>Interfaz</w:t>
            </w:r>
          </w:p>
        </w:tc>
        <w:tc>
          <w:tcPr>
            <w:tcW w:type="dxa" w:w="5141"/>
          </w:tcPr>
          <w:p>
            <w:r>
              <w:t>Streamlit / localhost:8501</w:t>
            </w:r>
          </w:p>
        </w:tc>
      </w:tr>
      <w:tr>
        <w:tc>
          <w:tcPr>
            <w:tcW w:type="dxa" w:w="5141"/>
          </w:tcPr>
          <w:p>
            <w:r>
              <w:t>Endpoint Ollama habitual</w:t>
            </w:r>
          </w:p>
        </w:tc>
        <w:tc>
          <w:tcPr>
            <w:tcW w:type="dxa" w:w="5141"/>
          </w:tcPr>
          <w:p>
            <w:r>
              <w:t>127.0.0.1:11434</w:t>
            </w:r>
          </w:p>
        </w:tc>
      </w:tr>
      <w:tr>
        <w:tc>
          <w:tcPr>
            <w:tcW w:type="dxa" w:w="5141"/>
          </w:tcPr>
          <w:p>
            <w:r>
              <w:t>Fallback</w:t>
            </w:r>
          </w:p>
        </w:tc>
        <w:tc>
          <w:tcPr>
            <w:tcW w:type="dxa" w:w="5141"/>
          </w:tcPr>
          <w:p>
            <w:r>
              <w:t>Controlado por configuración; cloud no obligatorio</w:t>
            </w:r>
          </w:p>
        </w:tc>
      </w:tr>
      <w:tr>
        <w:tc>
          <w:tcPr>
            <w:tcW w:type="dxa" w:w="5141"/>
          </w:tcPr>
          <w:p>
            <w:r>
              <w:t>Aceleración</w:t>
            </w:r>
          </w:p>
        </w:tc>
        <w:tc>
          <w:tcPr>
            <w:tcW w:type="dxa" w:w="5141"/>
          </w:tcPr>
          <w:p>
            <w:r>
              <w:t>Diagnóstico NVIDIA/CPU, VRAM, uso y benchmark local</w:t>
            </w:r>
          </w:p>
        </w:tc>
      </w:tr>
      <w:tr>
        <w:tc>
          <w:tcPr>
            <w:tcW w:type="dxa" w:w="5141"/>
          </w:tcPr>
          <w:p>
            <w:r>
              <w:t>Estado documental</w:t>
            </w:r>
          </w:p>
        </w:tc>
        <w:tc>
          <w:tcPr>
            <w:tcW w:type="dxa" w:w="5141"/>
          </w:tcPr>
          <w:p>
            <w:r>
              <w:t>Aprobada y estable</w:t>
            </w:r>
          </w:p>
        </w:tc>
      </w:tr>
      <w:tr>
        <w:tc>
          <w:tcPr>
            <w:tcW w:type="dxa" w:w="5141"/>
          </w:tcPr>
          <w:p>
            <w:r>
              <w:t>Performance Lab</w:t>
            </w:r>
          </w:p>
        </w:tc>
        <w:tc>
          <w:tcPr>
            <w:tcW w:type="dxa" w:w="5141"/>
          </w:tcPr>
          <w:p>
            <w:r>
              <w:t>No incluido; corresponde a V13</w:t>
            </w:r>
          </w:p>
        </w:tc>
      </w:tr>
    </w:tbl>
    <w:p/>
    <w:p>
      <w:pPr>
        <w:pStyle w:val="Heading1"/>
      </w:pPr>
      <w:r>
        <w:t>REFERENCIAS</w:t>
      </w:r>
    </w:p>
    <w:p>
      <w:r>
        <w:t>[1] ISO/IEC, ISO/IEC 27001:2022, Information security management systems - Requirements, 2022.</w:t>
      </w:r>
    </w:p>
    <w:p>
      <w:r>
        <w:t>[2] NIST, Cybersecurity Framework (CSF) 2.0, 2024.</w:t>
      </w:r>
    </w:p>
    <w:p>
      <w:r>
        <w:t>[3] NIST, SP 800-40 Rev. 4, Guide to Enterprise Patch Management Planning, 2022.</w:t>
      </w:r>
    </w:p>
    <w:p>
      <w:r>
        <w:t>[4] FIRST, Common Vulnerability Scoring System (CVSS) v4.0 Specification, 2023.</w:t>
      </w:r>
    </w:p>
    <w:p>
      <w:r>
        <w:t>[5] FIRST, Exploit Prediction Scoring System (EPSS), documentation and model.</w:t>
      </w:r>
    </w:p>
    <w:p>
      <w:r>
        <w:t>[6] CISA, Known Exploited Vulnerabilities Catalog.</w:t>
      </w:r>
    </w:p>
    <w:p>
      <w:r>
        <w:t>[7] NIST, National Vulnerability Database (NVD).</w:t>
      </w:r>
    </w:p>
    <w:p>
      <w:r>
        <w:t>[8] MITRE, Common Vulnerabilities and Exposures (CVE) Program.</w:t>
      </w:r>
    </w:p>
    <w:p>
      <w:r>
        <w:t>[9] OWASP Foundation, vulnerability management and GenAI/LLM security resources.</w:t>
      </w:r>
    </w:p>
    <w:p>
      <w:r>
        <w:t>[10] Ollama, Documentation for local large language model execution.</w:t>
      </w:r>
    </w:p>
    <w:p>
      <w:r>
        <w:t>[11] P. Lewis et al., Retrieval-Augmented Generation for Knowledge-Intensive NLP Tasks, NeurIPS, 2020.</w:t>
      </w:r>
    </w:p>
    <w:p>
      <w:r>
        <w:t>[12] Microsoft, Phi-3 Technical Report, 2024.</w:t>
      </w:r>
    </w:p>
    <w:p>
      <w:r>
        <w:t>[13] Meta AI, Llama 3 model documentation.</w:t>
      </w:r>
    </w:p>
    <w:p>
      <w:r>
        <w:t>[14] Mistral AI, model documentation.</w:t>
      </w:r>
    </w:p>
    <w:p>
      <w:r>
        <w:t>[15] NIST, AI Risk Management Framework (AI RMF 1.0), 2023.</w:t>
      </w:r>
    </w:p>
    <w:p>
      <w:r>
        <w:t>[16] ISO/IEC, ISO/IEC 23894:2023, Artificial intelligence - Guidance on risk management.</w:t>
      </w:r>
    </w:p>
    <w:p>
      <w:r>
        <w:t>[17] MITRE, CWE - Common Weakness Enumeration.</w:t>
      </w:r>
    </w:p>
    <w:p>
      <w:r>
        <w:t>[18] MITRE, ATT&amp;CK Knowledge Base.</w:t>
      </w:r>
    </w:p>
    <w:p>
      <w:r>
        <w:t>[19] Documentación interna EMCALI Cyber 2.0 Híbrido V12, baseline aprobada y estable, 2026.</w:t>
      </w: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Proyecto III - EMCALI Cyber 2.0 Híbrido V12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Universidad Icesi - Facultad Barberi de Ingeniería, Diseño y Ciencias Aplicadas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5B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B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5B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