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EMCALI Cyber 2.0 Híbrido Enterprise</w:t>
      </w:r>
    </w:p>
    <w:p>
      <w:pPr>
        <w:jc w:val="center"/>
      </w:pPr>
      <w:r>
        <w:rPr>
          <w:b/>
        </w:rPr>
        <w:t>Plataforma inteligente para gestión de vulnerabilidades con IA generativa, RAG e inferencia híbrida local-nube</w:t>
      </w:r>
    </w:p>
    <w:p>
      <w:r>
        <w:t>Edición consolidada V12 - Figuras 1-10 normalizadas; Figuras 8-10 actualizadas para la baseline APROBADA Y ESTABLE.</w:t>
      </w:r>
    </w:p>
    <w:p>
      <w:pPr>
        <w:jc w:val="center"/>
      </w:pPr>
      <w:r>
        <w:t>Rubén Darío Sabogal Urbano</w:t>
        <w:br/>
        <w:t>Proyecto III - Universidad Icesi</w:t>
        <w:br/>
        <w:t>Cali, Colombia - 2026</w:t>
      </w:r>
    </w:p>
    <w:p>
      <w:pPr>
        <w:pStyle w:val="Heading1"/>
        <w:jc w:val="left"/>
      </w:pPr>
      <w:r>
        <w:t>RESUMEN</w:t>
      </w:r>
    </w:p>
    <w:p>
      <w:pPr>
        <w:jc w:val="both"/>
      </w:pPr>
      <w:r>
        <w:t>EMCALI Cyber 2.0 Híbrido Enterprise es un prototipo de gestión defensiva de vulnerabilidades orientado a consolidar hallazgos técnicos, enriquecerlos con inteligencia pública, priorizar el riesgo y asistir la remediación mediante modelos de lenguaje. La solución integra fuentes como NVD/CVE/CVSS, CISA KEV, EPSS y resultados provenientes de plataformas de escaneo; normaliza los hallazgos en un conjunto de datos activo y los distribuye a módulos de análisis LLM, riesgo, remediación, RAG, informes y métricas. El diseño adopta una estrategia local-first mediante Ollama y modelos livianos, con fallback controlado hacia servicios de nube cuando la política y la disponibilidad lo permiten. Se incorporan recuperación aumentada por generación (RAG), trazabilidad del hallazgo, monitoreo de recursos y comparación de ejecución en hardware heterogéneo. El trabajo demuestra la viabilidad arquitectónica de una plataforma híbrida que reduce dependencia de proveedores externos, preserva la capacidad de operación local y estructura un flujo reproducible desde la ingesta hasta el cierre y reescaneo. Como trabajo futuro se plantea fortalecer ground truth, evaluación cuantitativa, MLOps, CI/CD, pruebas de carga e integración empresarial con SIEM/SOAR/XDR.</w:t>
      </w:r>
    </w:p>
    <w:p>
      <w:pPr>
        <w:jc w:val="both"/>
      </w:pPr>
      <w:r>
        <w:t>Índice de términos - Ciberseguridad, gestión de vulnerabilidades, IA generativa, LLM, Ollama, RAG, CVSS, EPSS.</w:t>
      </w:r>
    </w:p>
    <w:p>
      <w:pPr>
        <w:pStyle w:val="Heading1"/>
        <w:jc w:val="left"/>
      </w:pPr>
      <w:r>
        <w:t>I. INTRODUCCIÓN</w:t>
      </w:r>
    </w:p>
    <w:p>
      <w:pPr>
        <w:jc w:val="both"/>
      </w:pPr>
      <w:r>
        <w:t>La gestión de vulnerabilidades en una empresa de servicios públicos exige transformar grandes volúmenes de hallazgos en decisiones priorizadas, trazables y accionables. El problema no consiste únicamente en detectar CVE: es necesario relacionar severidad técnica, probabilidad de explotación, evidencia de explotación conocida, criticidad del activo, exposición e impacto operacional.</w:t>
      </w:r>
    </w:p>
    <w:p>
      <w:pPr>
        <w:jc w:val="both"/>
      </w:pPr>
      <w:r>
        <w:t>EMCALI Cyber 2.0 Híbrido se desarrolló para automatizar ese ciclo con una arquitectura que combina analítica determinística e inteligencia artificial generativa. Su propósito es apoyar al analista, no sustituir los controles técnicos: la IA sintetiza contexto, propone acciones y explica prioridades, mientras el motor de riesgo conserva variables verificables y la trazabilidad de las fuentes.</w:t>
      </w:r>
    </w:p>
    <w:p>
      <w:pPr>
        <w:jc w:val="both"/>
      </w:pPr>
      <w:r>
        <w:t>El aporte diferenciador es la inferencia híbrida. El procesamiento puede mantenerse local con Ollama, reduciendo exposición de información sensible y dependencia de conectividad, y escalar de forma controlada a modelos cloud mediante fallback. A ello se suma RAG para recuperar conocimiento técnico pertinente antes de generar recomendaciones.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96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) Modelo único de arquitectura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1. Modelo único de arquitectura de EMCALI Cyber 2.0 Híbrido Enterprise.</w:t>
      </w:r>
    </w:p>
    <w:p>
      <w:pPr>
        <w:pStyle w:val="Heading1"/>
        <w:jc w:val="left"/>
      </w:pPr>
      <w:r>
        <w:t>II. MATERIALES Y MÉTODOS</w:t>
      </w:r>
    </w:p>
    <w:p>
      <w:pPr>
        <w:pStyle w:val="Heading2"/>
      </w:pPr>
      <w:r>
        <w:t>A. Arquitectura y flujo de datos</w:t>
      </w:r>
    </w:p>
    <w:p>
      <w:pPr>
        <w:jc w:val="both"/>
      </w:pPr>
      <w:r>
        <w:t>La arquitectura se organiza en seis capas funcionales: fuentes de vulnerabilidades e inteligencia; ingesta y normalización; motor LLM; motor de riesgo; remediación y conocimiento RAG; y visualización/reportes. El dataset activo compartido evita que cada módulo opere sobre datos de demostración aislados y permite mantener continuidad analítica entre detección, análisis, priorización y cierre.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85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 Diagrama de Arquitectura de Datos -  Flujo de Datos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8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2. Flujo de datos desde fuentes de vulnerabilidades hasta análisis, riesgo y remediación.</w:t>
      </w:r>
    </w:p>
    <w:p>
      <w:pPr>
        <w:pStyle w:val="Heading2"/>
      </w:pPr>
      <w:r>
        <w:t>B. Fuentes y normalización</w:t>
      </w:r>
    </w:p>
    <w:p>
      <w:pPr>
        <w:jc w:val="center"/>
      </w:pPr>
      <w:r>
        <w:rPr>
          <w:b/>
          <w:sz w:val="18"/>
        </w:rPr>
        <w:t>TABLA I. FUENTES DE DATOS E INTELIGENCIA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Dato principal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Uso en EMCALI Cyber 2.0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NVD / CVE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Identificador, descripción, CVSS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Contexto técnico y severidad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CISA KEV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Explotación conocida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Aumenta prioridad operativa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EPSS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Probabilidad de explotación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Priorización probabilística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Tenable / Qualys / OpenVAS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Hallazgos de escaneo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Inventario técnico de vulnerabilidades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CSV / JSON / Excel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Intercambio y cargas externas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Ingesta multiformato</w:t>
            </w:r>
          </w:p>
        </w:tc>
      </w:tr>
    </w:tbl>
    <w:p/>
    <w:p>
      <w:pPr>
        <w:jc w:val="both"/>
      </w:pPr>
      <w:r>
        <w:t>Durante la ingesta se homogenizan campos como identificador CVE, activo, dirección, servicio, severidad, CVSS, EPSS, estado KEV, evidencia, criticidad y recomendación. La normalización permite que los módulos posteriores consuman una estructura consistente.</w:t>
      </w:r>
    </w:p>
    <w:p>
      <w:pPr>
        <w:pStyle w:val="Heading2"/>
      </w:pPr>
      <w:r>
        <w:t>C. Motor de riesgo</w:t>
      </w:r>
    </w:p>
    <w:p>
      <w:pPr>
        <w:jc w:val="both"/>
      </w:pPr>
      <w:r>
        <w:t>La priorización propuesta combina CVSS, EPSS, presencia en KEV, criticidad del activo, exposición e impacto. En el desarrollo previo se definió una ponderación de referencia de 25 %, 20 %, 20 %, 15 %, 10 % y 10 %, respectivamente. Esta ponderación es configurable y debe calibrarse con datos históricos y criterios de negocio antes de considerarse un modelo productivo.</w:t>
      </w:r>
    </w:p>
    <w:p>
      <w:pPr>
        <w:jc w:val="center"/>
      </w:pPr>
      <w:r>
        <w:rPr>
          <w:b/>
          <w:sz w:val="18"/>
        </w:rPr>
        <w:t>TABLA II. MODELO MULTICRITERIO DE PRIORIZACIÓN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Peso de referencia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CVSS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25 %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Severidad técnica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EPSS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20 %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Probabilidad de explotación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CISA KEV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20 %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Explotación conocida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Criticidad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15 %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Importancia del activo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Exposición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10 %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Superficie/alcance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Impacto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10 %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Consecuencia operacional</w:t>
            </w:r>
          </w:p>
        </w:tc>
      </w:tr>
    </w:tbl>
    <w:p/>
    <w:p>
      <w:pPr>
        <w:pStyle w:val="Heading2"/>
      </w:pPr>
      <w:r>
        <w:t>D. Inferencia híbrida y modelos</w:t>
      </w:r>
    </w:p>
    <w:p>
      <w:pPr>
        <w:jc w:val="both"/>
      </w:pPr>
      <w:r>
        <w:t>El backend local utiliza Ollama, detección automática de modelos y health check. La versión estabilizada adoptó phi3:mini como configuración operativa para equipos de recursos limitados, manteniendo alternativas como Llama 3.1, Mistral y modelos especializados. El flujo de contingencia contempla ejecución local y fallback cloud controlado hacia Gemini y OpenAI.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521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 Diagrama de Despliegue — Arquitectura Híbrida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5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3. Despliegue híbrido local-nube y rutas de inferencia.</w:t>
      </w:r>
    </w:p>
    <w:p>
      <w:pPr>
        <w:pStyle w:val="Heading2"/>
      </w:pPr>
      <w:r>
        <w:t>E. Recuperación aumentada por generación (RAG)</w:t>
      </w:r>
    </w:p>
    <w:p>
      <w:pPr>
        <w:jc w:val="both"/>
      </w:pPr>
      <w:r>
        <w:t>RAG incorpora una base de conocimiento local y recuperación semántica para suministrar contexto relevante al modelo antes de generar una respuesta. El objetivo es disminuir respuestas genéricas y vincular recomendaciones con procedimientos, estándares, advisories y conocimiento técnico autorizado.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22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 Diagrama de Componentes — Arquitectura RAG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4. Componentes del subsistema RAG.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25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 Diagrama de Arquitectura — Componente RAG Local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2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5. Arquitectura del componente RAG local.</w:t>
      </w:r>
    </w:p>
    <w:p>
      <w:pPr>
        <w:pStyle w:val="Heading2"/>
      </w:pPr>
      <w:r>
        <w:t>F. Secuencia de análisis</w:t>
      </w:r>
    </w:p>
    <w:p>
      <w:pPr>
        <w:jc w:val="both"/>
      </w:pPr>
      <w:r>
        <w:t>El ciclo comienza con la selección de un hallazgo normalizado. El sistema enriquece el contexto, calcula riesgo, recupera conocimiento RAG, selecciona el backend disponible, construye el prompt y genera una explicación técnica y acciones sugeridas. La salida se conserva para informes, métricas y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756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 Diagrama de Secuencia — Análisis de Vulnerabilidades(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5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6. Secuencia de análisis de una vulnerabilidad.</w:t>
      </w:r>
    </w:p>
    <w:p>
      <w:pPr>
        <w:pStyle w:val="Heading2"/>
      </w:pPr>
      <w:r>
        <w:t>G. Implementación</w:t>
      </w:r>
    </w:p>
    <w:p>
      <w:pPr>
        <w:jc w:val="center"/>
      </w:pPr>
      <w:r>
        <w:rPr>
          <w:b/>
          <w:sz w:val="18"/>
        </w:rPr>
        <w:t>TABLA III. STACK TECNOLÓGICO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Tecnología / función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Python + Streamlit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Procesamiento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Pandas / 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LLM local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Ollama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LLM cloud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Gemini / OpenAI, según configuración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RAG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Embeddings + FAISS/ChromaDB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Persistencia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SQLite / archivos estructurados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Visualización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Plotly / tablas ejecutivas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Empaquetado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Windows portable / instalador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730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) Topología funcional y módulos internos con ingesta de datos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7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7. Topología funcional y módulos internos.</w:t>
      </w:r>
    </w:p>
    <w:p>
      <w:pPr>
        <w:pStyle w:val="Heading1"/>
        <w:jc w:val="left"/>
      </w:pPr>
      <w:r>
        <w:t>III. RESULTADOS</w:t>
      </w:r>
    </w:p>
    <w:p>
      <w:pPr>
        <w:pStyle w:val="Heading2"/>
      </w:pPr>
      <w:r>
        <w:t>A. Módulos funcionales</w:t>
      </w:r>
    </w:p>
    <w:p>
      <w:pPr>
        <w:jc w:val="both"/>
      </w:pPr>
      <w:r>
        <w:t>El prototipo consolidó los módulos Tablero, Ingesta, Análisis LLM, Riesgo, Remediación, RAG Local, Informes, Métricas y Configuración. La evolución principal consistió en enlazarlos mediante un dataset activo compartido, de modo que la información cargada en Ingesta alimenta las demás vistas.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2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8_Diagnostico_Aceleracion_IA_GPU_Seleccion_Modelos_V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Fig. 8. Diagnóstico de aceleración IA/GPU y selección de modelos livianos en EMCALI Cyber 2.0 Híbrido V12.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39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Despliegue_On_Premise_Hibrido_V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Fig. 9. Despliegue on-premise e híbrido de EMCALI Cyber 2.0 Híbrido V12.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39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0_Seguridad_Gobernanza_Inferencia_V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Fig. 10. Seguridad y gobernanza de inferencia de la baseline V12 aprobada y estable.</w:t>
      </w:r>
    </w:p>
    <w:p>
      <w:pPr>
        <w:pStyle w:val="Heading2"/>
      </w:pPr>
      <w:r>
        <w:t>B. Comparación temporal del proceso</w:t>
      </w:r>
    </w:p>
    <w:p>
      <w:pPr>
        <w:jc w:val="both"/>
      </w:pPr>
      <w:r>
        <w:t>En las pruebas documentadas del proyecto se reportó un orden de magnitud de 10-30 min para análisis manual por vulnerabilidad frente a aproximadamente 10-60 s asistidos por EMCALI Cyber 2.0, mientras el análisis masivo pasa de horas o días a minutos. Estos valores corresponden al prototipo y deben interpretarse como evidencia experimental del entorno evaluado, no como SLA productivo.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13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empo_anali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11. Comparación documentada del tiempo de análisis manual frente al flujo asistido.</w:t>
      </w:r>
    </w:p>
    <w:p>
      <w:pPr>
        <w:pStyle w:val="Heading2"/>
      </w:pPr>
      <w:r>
        <w:t>C. Hardware y capacidad de inferencia</w:t>
      </w:r>
    </w:p>
    <w:p>
      <w:pPr>
        <w:jc w:val="both"/>
      </w:pPr>
      <w:r>
        <w:t>Las pruebas se realizaron sobre equipos heterogéneos, incluyendo Lenovo ThinkPad X230, Dell Precision T1650 y HP Z600. Esta diversidad permitió observar la relevancia de RAM, VRAM y selección del modelo para la viabilidad de inferencia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082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rdware_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12. Memoria RAM de plataformas utilizadas en pruebas.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082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pu_v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13. VRAM disponible en configuraciones GPU consideradas.</w:t>
      </w:r>
    </w:p>
    <w:p>
      <w:pPr>
        <w:pStyle w:val="Heading2"/>
      </w:pPr>
      <w:r>
        <w:t>D. Evolución del prototipo</w:t>
      </w:r>
    </w:p>
    <w:p>
      <w:pPr>
        <w:jc w:val="center"/>
      </w:pPr>
      <w:r>
        <w:rPr>
          <w:b/>
          <w:sz w:val="18"/>
        </w:rPr>
        <w:t>TABLA IV. EVOLUCIÓN FUNCIONAL RELEVANTE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Aporte principal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V11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Base funcional consolidada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V12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Aceleración GPU, modelos livianos, Ollama robusto y fallback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V13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V12 preservada + Performance Lab para pruebas de rendimiento</w:t>
            </w:r>
          </w:p>
        </w:tc>
      </w:tr>
    </w:tbl>
    <w:p/>
    <w:p>
      <w:pPr>
        <w:pStyle w:val="Heading2"/>
      </w:pPr>
      <w:r>
        <w:t>E. Evidencia frente a Proyecto III</w:t>
      </w:r>
    </w:p>
    <w:p>
      <w:pPr>
        <w:jc w:val="center"/>
      </w:pPr>
      <w:r>
        <w:rPr>
          <w:b/>
          <w:sz w:val="18"/>
        </w:rPr>
        <w:t>TABLA V. TRAZABILIDAD TÉCNICA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Evidencia incorporada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Arquitectura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Capas, componentes, secuencia y despliegue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Datos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Ingesta, normalización y fuentes externas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IA aplicada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LLM local/cloud + RAG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Prototipo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Módulos integrados y flujo end-to-end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Evaluación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Tiempo, recursos y Performance Lab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Avanzado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MLOps/CI-CD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Diseño y ruta de implementación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Pendiente de cierre productivo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Validación cuantitativa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Requiere ground truth y benchmark repetible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7"/>
              </w:rPr>
              <w:t>Pendiente</w:t>
            </w:r>
          </w:p>
        </w:tc>
      </w:tr>
    </w:tbl>
    <w:p/>
    <w:p>
      <w:pPr>
        <w:pStyle w:val="Heading1"/>
        <w:jc w:val="left"/>
      </w:pPr>
      <w:r>
        <w:t>IV. DISCUSIÓN</w:t>
      </w:r>
    </w:p>
    <w:p>
      <w:pPr>
        <w:jc w:val="both"/>
      </w:pPr>
      <w:r>
        <w:t>Los resultados apoyan la viabilidad de una arquitectura local-first para gestión asistida de vulnerabilidades. El beneficio principal no es únicamente la velocidad: la plataforma centraliza fuentes heterogéneas, hace explícita la priorización y conserva la posibilidad de operar sin depender totalmente de servicios externos.</w:t>
      </w:r>
    </w:p>
    <w:p>
      <w:pPr>
        <w:jc w:val="both"/>
      </w:pPr>
      <w:r>
        <w:t>El uso de RAG es especialmente relevante porque la gestión de vulnerabilidades requiere respuestas contextualizadas. Sin embargo, RAG no elimina por sí mismo el riesgo de alucinación; la calidad depende del corpus, recuperación, versionado y evaluación. Por ello, las recomendaciones de remediación deben mantenerse bajo revisión humana.</w:t>
      </w:r>
    </w:p>
    <w:p>
      <w:pPr>
        <w:jc w:val="both"/>
      </w:pPr>
      <w:r>
        <w:t>La principal limitación metodológica es la falta de un ground truth suficientemente amplio y validado por especialistas para medir precisión, consistencia y calidad de remediación con intervalos de confianza. También permanecen como trabajo de maduración las pruebas de carga, RBAC, gestión empresarial de secretos, observabilidad, CI/CD y MLOps.</w:t>
      </w:r>
    </w:p>
    <w:p>
      <w:pPr>
        <w:jc w:val="both"/>
      </w:pPr>
      <w:r>
        <w:t>Desde el punto de vista de EMCALI, la arquitectura híbrida aporta soberanía operativa: permite mantener análisis local de información sensible y usar nube de forma selectiva. Para un eventual paso a producción, la solución deberá integrarse con gobierno de seguridad, segregación IT/OT, gestión de cambios, inventario de activos y controles del SGSI.</w:t>
      </w:r>
    </w:p>
    <w:p>
      <w:pPr>
        <w:pStyle w:val="Heading1"/>
        <w:jc w:val="left"/>
      </w:pPr>
      <w:r>
        <w:t>V. CONCLUSIONES</w:t>
      </w:r>
    </w:p>
    <w:p>
      <w:pPr>
        <w:pStyle w:val="ListBullet"/>
      </w:pPr>
      <w:r>
        <w:t>EMCALI Cyber 2.0 Híbrido materializa un flujo end-to-end que conecta ingesta, enriquecimiento, análisis LLM, riesgo, remediación, RAG, informes y métricas.</w:t>
      </w:r>
    </w:p>
    <w:p>
      <w:pPr>
        <w:pStyle w:val="ListBullet"/>
      </w:pPr>
      <w:r>
        <w:t>La inferencia local mediante Ollama es técnicamente viable y permite reducir dependencia de nube; la selección de modelos livianos es determinante en hardware con recursos limitados.</w:t>
      </w:r>
    </w:p>
    <w:p>
      <w:pPr>
        <w:pStyle w:val="ListBullet"/>
      </w:pPr>
      <w:r>
        <w:t>El modelo híbrido mejora resiliencia operativa al disponer de rutas locales y fallback controlado, sin convertir la nube en requisito obligatorio.</w:t>
      </w:r>
    </w:p>
    <w:p>
      <w:pPr>
        <w:pStyle w:val="ListBullet"/>
      </w:pPr>
      <w:r>
        <w:t>RAG aporta contexto técnico recuperable y trazable, pero requiere corpus gobernado y evaluación formal.</w:t>
      </w:r>
    </w:p>
    <w:p>
      <w:pPr>
        <w:pStyle w:val="ListBullet"/>
      </w:pPr>
      <w:r>
        <w:t>El motor multicriterio CVSS-EPSS-KEV-criticidad-exposición-impacto ofrece una base explicable para priorización, pendiente de calibración con evidencia histórica.</w:t>
      </w:r>
    </w:p>
    <w:p>
      <w:pPr>
        <w:pStyle w:val="ListBullet"/>
      </w:pPr>
      <w:r>
        <w:t>El siguiente nivel de madurez debe concentrarse en benchmark reproducible, ground truth, MLOps, CI/CD, seguridad de secretos, pruebas de carga e integración SIEM/SOAR/XDR.</w:t>
      </w:r>
    </w:p>
    <w:p>
      <w:pPr>
        <w:pStyle w:val="Heading1"/>
        <w:jc w:val="left"/>
      </w:pPr>
      <w:r>
        <w:t>APÉNDICE A. PLAN DE VALIDACIÓN PARA NIVEL AVANZADO</w:t>
      </w:r>
    </w:p>
    <w:p>
      <w:pPr>
        <w:jc w:val="center"/>
      </w:pPr>
      <w:r>
        <w:rPr>
          <w:b/>
          <w:sz w:val="18"/>
        </w:rPr>
        <w:t>TABLA VI. CIERRE DE BRECHAS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Métrica / evidencia esperada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Dataset de referencia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CVE/hallazgos etiquetados y validados por expertos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Benchmark LLM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Latencia, tokens, RAM/VRAM, consistencia y calidad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Evaluación RAG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Precision@k, Recall@k, groundedness y revisión humana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Pruebas de carga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Usuarios concurrentes, throughput, p95/p99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MLOps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Versionado de modelo, prompt, corpus y configuración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CI/CD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Build, pruebas, análisis de seguridad y despliegue reproducible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Seguridad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7"/>
              </w:rPr>
              <w:t>RBAC, secretos, auditoría y segregación de ambientes</w:t>
            </w:r>
          </w:p>
        </w:tc>
      </w:tr>
    </w:tbl>
    <w:p/>
    <w:p>
      <w:pPr>
        <w:pStyle w:val="Heading1"/>
        <w:jc w:val="left"/>
      </w:pPr>
      <w:r>
        <w:t>REFERENCIAS</w:t>
      </w:r>
    </w:p>
    <w:p>
      <w:pPr>
        <w:ind w:hanging="259" w:left="259"/>
      </w:pPr>
      <w:r>
        <w:rPr>
          <w:sz w:val="18"/>
        </w:rPr>
        <w:t>[1] ISO/IEC, ISO/IEC 27001:2022, Information security management systems - Requirements, 2022.</w:t>
      </w:r>
    </w:p>
    <w:p>
      <w:pPr>
        <w:ind w:hanging="259" w:left="259"/>
      </w:pPr>
      <w:r>
        <w:rPr>
          <w:sz w:val="18"/>
        </w:rPr>
        <w:t>[2] NIST, Cybersecurity Framework (CSF) 2.0, National Institute of Standards and Technology, 2024.</w:t>
      </w:r>
    </w:p>
    <w:p>
      <w:pPr>
        <w:ind w:hanging="259" w:left="259"/>
      </w:pPr>
      <w:r>
        <w:rPr>
          <w:sz w:val="18"/>
        </w:rPr>
        <w:t>[3] NIST, SP 800-40 Rev. 4, Guide to Enterprise Patch Management Planning, 2022.</w:t>
      </w:r>
    </w:p>
    <w:p>
      <w:pPr>
        <w:ind w:hanging="259" w:left="259"/>
      </w:pPr>
      <w:r>
        <w:rPr>
          <w:sz w:val="18"/>
        </w:rPr>
        <w:t>[4] FIRST, Common Vulnerability Scoring System (CVSS) v4.0 Specification, 2023.</w:t>
      </w:r>
    </w:p>
    <w:p>
      <w:pPr>
        <w:ind w:hanging="259" w:left="259"/>
      </w:pPr>
      <w:r>
        <w:rPr>
          <w:sz w:val="18"/>
        </w:rPr>
        <w:t>[5] FIRST, Exploit Prediction Scoring System (EPSS), documentation and model.</w:t>
      </w:r>
    </w:p>
    <w:p>
      <w:pPr>
        <w:ind w:hanging="259" w:left="259"/>
      </w:pPr>
      <w:r>
        <w:rPr>
          <w:sz w:val="18"/>
        </w:rPr>
        <w:t>[6] CISA, Known Exploited Vulnerabilities Catalog.</w:t>
      </w:r>
    </w:p>
    <w:p>
      <w:pPr>
        <w:ind w:hanging="259" w:left="259"/>
      </w:pPr>
      <w:r>
        <w:rPr>
          <w:sz w:val="18"/>
        </w:rPr>
        <w:t>[7] NIST, National Vulnerability Database (NVD).</w:t>
      </w:r>
    </w:p>
    <w:p>
      <w:pPr>
        <w:ind w:hanging="259" w:left="259"/>
      </w:pPr>
      <w:r>
        <w:rPr>
          <w:sz w:val="18"/>
        </w:rPr>
        <w:t>[8] MITRE, Common Vulnerabilities and Exposures (CVE) Program.</w:t>
      </w:r>
    </w:p>
    <w:p>
      <w:pPr>
        <w:ind w:hanging="259" w:left="259"/>
      </w:pPr>
      <w:r>
        <w:rPr>
          <w:sz w:val="18"/>
        </w:rPr>
        <w:t>[9] OWASP Foundation, OWASP Top 10 and vulnerability management resources.</w:t>
      </w:r>
    </w:p>
    <w:p>
      <w:pPr>
        <w:ind w:hanging="259" w:left="259"/>
      </w:pPr>
      <w:r>
        <w:rPr>
          <w:sz w:val="18"/>
        </w:rPr>
        <w:t>[10] Ollama, Documentation for local large language model execution.</w:t>
      </w:r>
    </w:p>
    <w:p>
      <w:pPr>
        <w:ind w:hanging="259" w:left="259"/>
      </w:pPr>
      <w:r>
        <w:rPr>
          <w:sz w:val="18"/>
        </w:rPr>
        <w:t>[11] P. Lewis et al., “Retrieval-Augmented Generation for Knowledge-Intensive NLP Tasks,” NeurIPS, 2020.</w:t>
      </w:r>
    </w:p>
    <w:p>
      <w:pPr>
        <w:ind w:hanging="259" w:left="259"/>
      </w:pPr>
      <w:r>
        <w:rPr>
          <w:sz w:val="18"/>
        </w:rPr>
        <w:t>[12] T. Brown et al., “Language Models are Few-Shot Learners,” NeurIPS, 2020.</w:t>
      </w:r>
    </w:p>
    <w:p>
      <w:pPr>
        <w:ind w:hanging="259" w:left="259"/>
      </w:pPr>
      <w:r>
        <w:rPr>
          <w:sz w:val="18"/>
        </w:rPr>
        <w:t>[13] Meta AI, Llama 3 model documentation.</w:t>
      </w:r>
    </w:p>
    <w:p>
      <w:pPr>
        <w:ind w:hanging="259" w:left="259"/>
      </w:pPr>
      <w:r>
        <w:rPr>
          <w:sz w:val="18"/>
        </w:rPr>
        <w:t>[14] Microsoft, Phi-3 Technical Report, 2024.</w:t>
      </w:r>
    </w:p>
    <w:p>
      <w:pPr>
        <w:ind w:hanging="259" w:left="259"/>
      </w:pPr>
      <w:r>
        <w:rPr>
          <w:sz w:val="18"/>
        </w:rPr>
        <w:t>[15] Mistral AI, Mistral model documentation.</w:t>
      </w:r>
    </w:p>
    <w:p>
      <w:pPr>
        <w:ind w:hanging="259" w:left="259"/>
      </w:pPr>
      <w:r>
        <w:rPr>
          <w:sz w:val="18"/>
        </w:rPr>
        <w:t>[16] CISA, Cybersecurity Performance Goals and vulnerability remediation guidance.</w:t>
      </w:r>
    </w:p>
    <w:p>
      <w:pPr>
        <w:ind w:hanging="259" w:left="259"/>
      </w:pPr>
      <w:r>
        <w:rPr>
          <w:sz w:val="18"/>
        </w:rPr>
        <w:t>[17] NIST, AI Risk Management Framework (AI RMF 1.0), 2023.</w:t>
      </w:r>
    </w:p>
    <w:p>
      <w:pPr>
        <w:ind w:hanging="259" w:left="259"/>
      </w:pPr>
      <w:r>
        <w:rPr>
          <w:sz w:val="18"/>
        </w:rPr>
        <w:t>[18] ISO/IEC, ISO/IEC 23894:2023, Artificial intelligence - Guidance on risk management.</w:t>
      </w:r>
    </w:p>
    <w:p>
      <w:pPr>
        <w:ind w:hanging="259" w:left="259"/>
      </w:pPr>
      <w:r>
        <w:rPr>
          <w:sz w:val="18"/>
        </w:rPr>
        <w:t>[19] MITRE, CWE - Common Weakness Enumeration.</w:t>
      </w:r>
    </w:p>
    <w:p>
      <w:pPr>
        <w:ind w:hanging="259" w:left="259"/>
      </w:pPr>
      <w:r>
        <w:rPr>
          <w:sz w:val="18"/>
        </w:rPr>
        <w:t>[20] MITRE, ATT&amp;CK Knowledge 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Proyecto III - EMCALI Cyber 2.0 Híbrido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Universidad Icesi - Facultad Barberi de Ingeniería, Diseño y Ciencias Aplicadas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