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1281" w14:textId="77777777" w:rsidR="00E96582" w:rsidRPr="00BA396B" w:rsidRDefault="00000000">
      <w:pPr>
        <w:jc w:val="center"/>
        <w:rPr>
          <w:lang w:val="es-PE"/>
        </w:rPr>
      </w:pPr>
      <w:r w:rsidRPr="00BA396B">
        <w:rPr>
          <w:b/>
          <w:sz w:val="22"/>
          <w:lang w:val="es-PE"/>
        </w:rPr>
        <w:t>INFORME</w:t>
      </w:r>
    </w:p>
    <w:p w14:paraId="7CE1C955" w14:textId="77777777" w:rsidR="00E96582" w:rsidRPr="00BA396B" w:rsidRDefault="00000000">
      <w:pPr>
        <w:pStyle w:val="Ttulo"/>
        <w:jc w:val="center"/>
        <w:rPr>
          <w:lang w:val="es-PE"/>
        </w:rPr>
      </w:pPr>
      <w:r w:rsidRPr="00BA396B">
        <w:rPr>
          <w:lang w:val="es-PE"/>
        </w:rPr>
        <w:t>Rúbrica externa del tomate</w:t>
      </w:r>
    </w:p>
    <w:p w14:paraId="7CF5C66C" w14:textId="77777777" w:rsidR="00E96582" w:rsidRPr="00BA396B" w:rsidRDefault="00000000">
      <w:pPr>
        <w:jc w:val="center"/>
        <w:rPr>
          <w:lang w:val="es-PE"/>
        </w:rPr>
      </w:pPr>
      <w:proofErr w:type="spellStart"/>
      <w:r w:rsidRPr="00BA396B">
        <w:rPr>
          <w:i/>
          <w:lang w:val="es-PE"/>
        </w:rPr>
        <w:t>AgroScan</w:t>
      </w:r>
      <w:proofErr w:type="spellEnd"/>
      <w:r w:rsidRPr="00BA396B">
        <w:rPr>
          <w:i/>
          <w:lang w:val="es-PE"/>
        </w:rPr>
        <w:t xml:space="preserve"> – Proyecto Final de Carrera III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96582" w14:paraId="677CE39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BCA29DF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b/>
                <w:sz w:val="22"/>
                <w:szCs w:val="32"/>
              </w:rPr>
              <w:t>Campo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5B54DF8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b/>
                <w:sz w:val="22"/>
                <w:szCs w:val="32"/>
              </w:rPr>
              <w:t>Detalle</w:t>
            </w:r>
          </w:p>
        </w:tc>
      </w:tr>
      <w:tr w:rsidR="00E96582" w:rsidRPr="004C17BE" w14:paraId="5373FFBB" w14:textId="77777777">
        <w:trPr>
          <w:jc w:val="center"/>
        </w:trPr>
        <w:tc>
          <w:tcPr>
            <w:tcW w:w="5112" w:type="dxa"/>
            <w:vAlign w:val="center"/>
          </w:tcPr>
          <w:p w14:paraId="3D349A35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Actividad Jira</w:t>
            </w:r>
          </w:p>
        </w:tc>
        <w:tc>
          <w:tcPr>
            <w:tcW w:w="5112" w:type="dxa"/>
            <w:vAlign w:val="center"/>
          </w:tcPr>
          <w:p w14:paraId="260CC87C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  <w:lang w:val="es-PE"/>
              </w:rPr>
              <w:t>AGROP-14 — Definir rúbrica externa del tomate para variedad piloto</w:t>
            </w:r>
          </w:p>
        </w:tc>
      </w:tr>
      <w:tr w:rsidR="00E96582" w14:paraId="2F4F3761" w14:textId="77777777">
        <w:trPr>
          <w:jc w:val="center"/>
        </w:trPr>
        <w:tc>
          <w:tcPr>
            <w:tcW w:w="5112" w:type="dxa"/>
            <w:vAlign w:val="center"/>
          </w:tcPr>
          <w:p w14:paraId="24269C1A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Sprint</w:t>
            </w:r>
          </w:p>
        </w:tc>
        <w:tc>
          <w:tcPr>
            <w:tcW w:w="5112" w:type="dxa"/>
            <w:vAlign w:val="center"/>
          </w:tcPr>
          <w:p w14:paraId="783F4BE3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SP2 – Criterios de Evaluación</w:t>
            </w:r>
          </w:p>
        </w:tc>
      </w:tr>
      <w:tr w:rsidR="00E96582" w14:paraId="4AEB2E94" w14:textId="77777777">
        <w:trPr>
          <w:jc w:val="center"/>
        </w:trPr>
        <w:tc>
          <w:tcPr>
            <w:tcW w:w="5112" w:type="dxa"/>
            <w:vAlign w:val="center"/>
          </w:tcPr>
          <w:p w14:paraId="0D0C5E15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Responsable</w:t>
            </w:r>
          </w:p>
        </w:tc>
        <w:tc>
          <w:tcPr>
            <w:tcW w:w="5112" w:type="dxa"/>
            <w:vAlign w:val="center"/>
          </w:tcPr>
          <w:p w14:paraId="2E81F6F0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Josmely Naupay Hipolo</w:t>
            </w:r>
          </w:p>
        </w:tc>
      </w:tr>
      <w:tr w:rsidR="00E96582" w14:paraId="0C7DBD86" w14:textId="77777777">
        <w:trPr>
          <w:jc w:val="center"/>
        </w:trPr>
        <w:tc>
          <w:tcPr>
            <w:tcW w:w="5112" w:type="dxa"/>
            <w:vAlign w:val="center"/>
          </w:tcPr>
          <w:p w14:paraId="3B66B1FE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Fecha de entrega documental</w:t>
            </w:r>
          </w:p>
        </w:tc>
        <w:tc>
          <w:tcPr>
            <w:tcW w:w="5112" w:type="dxa"/>
            <w:vAlign w:val="center"/>
          </w:tcPr>
          <w:p w14:paraId="6DC72906" w14:textId="5562921C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2</w:t>
            </w:r>
            <w:r w:rsidR="004C17BE">
              <w:rPr>
                <w:rFonts w:asciiTheme="majorHAnsi" w:hAnsiTheme="majorHAnsi" w:cstheme="majorHAnsi"/>
                <w:sz w:val="22"/>
                <w:szCs w:val="32"/>
              </w:rPr>
              <w:t>5</w:t>
            </w: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 xml:space="preserve"> de </w:t>
            </w:r>
            <w:proofErr w:type="spellStart"/>
            <w:r w:rsidR="004C17BE">
              <w:rPr>
                <w:rFonts w:asciiTheme="majorHAnsi" w:hAnsiTheme="majorHAnsi" w:cstheme="majorHAnsi"/>
                <w:sz w:val="22"/>
                <w:szCs w:val="32"/>
              </w:rPr>
              <w:t>agosto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  <w:szCs w:val="32"/>
              </w:rPr>
              <w:t xml:space="preserve"> de 2026</w:t>
            </w:r>
          </w:p>
        </w:tc>
      </w:tr>
      <w:tr w:rsidR="00E96582" w:rsidRPr="00BA396B" w14:paraId="0FB3A2C9" w14:textId="77777777">
        <w:trPr>
          <w:jc w:val="center"/>
        </w:trPr>
        <w:tc>
          <w:tcPr>
            <w:tcW w:w="5112" w:type="dxa"/>
            <w:vAlign w:val="center"/>
          </w:tcPr>
          <w:p w14:paraId="4EDC7859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Producto</w:t>
            </w:r>
          </w:p>
        </w:tc>
        <w:tc>
          <w:tcPr>
            <w:tcW w:w="5112" w:type="dxa"/>
            <w:vAlign w:val="center"/>
          </w:tcPr>
          <w:p w14:paraId="7B01D0C9" w14:textId="31F4D170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  <w:lang w:val="es-PE"/>
              </w:rPr>
              <w:t>Tomate fresco</w:t>
            </w:r>
          </w:p>
        </w:tc>
      </w:tr>
      <w:tr w:rsidR="00E96582" w:rsidRPr="004C17BE" w14:paraId="685997F1" w14:textId="77777777">
        <w:trPr>
          <w:jc w:val="center"/>
        </w:trPr>
        <w:tc>
          <w:tcPr>
            <w:tcW w:w="5112" w:type="dxa"/>
            <w:vAlign w:val="center"/>
          </w:tcPr>
          <w:p w14:paraId="7978C4EB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</w:rPr>
            </w:pPr>
            <w:proofErr w:type="spellStart"/>
            <w:r w:rsidRPr="007B01BA">
              <w:rPr>
                <w:rFonts w:asciiTheme="majorHAnsi" w:hAnsiTheme="majorHAnsi" w:cstheme="majorHAnsi"/>
                <w:sz w:val="22"/>
                <w:szCs w:val="32"/>
              </w:rPr>
              <w:t>Entregable</w:t>
            </w:r>
            <w:proofErr w:type="spellEnd"/>
          </w:p>
        </w:tc>
        <w:tc>
          <w:tcPr>
            <w:tcW w:w="5112" w:type="dxa"/>
            <w:vAlign w:val="center"/>
          </w:tcPr>
          <w:p w14:paraId="29276BA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szCs w:val="3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szCs w:val="32"/>
                <w:lang w:val="es-PE"/>
              </w:rPr>
              <w:t>Rúbrica documental tomato-ext-v0.1</w:t>
            </w:r>
          </w:p>
        </w:tc>
      </w:tr>
    </w:tbl>
    <w:p w14:paraId="01727DAE" w14:textId="77777777" w:rsidR="00E96582" w:rsidRPr="007B01BA" w:rsidRDefault="00000000">
      <w:pPr>
        <w:pStyle w:val="Ttulo1"/>
        <w:rPr>
          <w:rFonts w:cstheme="majorHAnsi"/>
          <w:color w:val="000000" w:themeColor="text1"/>
          <w:lang w:val="es-PE"/>
        </w:rPr>
      </w:pPr>
      <w:r w:rsidRPr="007B01BA">
        <w:rPr>
          <w:rFonts w:cstheme="majorHAnsi"/>
          <w:color w:val="000000" w:themeColor="text1"/>
          <w:lang w:val="es-PE"/>
        </w:rPr>
        <w:t>Introducción y objetivo</w:t>
      </w:r>
    </w:p>
    <w:p w14:paraId="68E35BF3" w14:textId="77777777" w:rsidR="00BA396B" w:rsidRPr="007B01BA" w:rsidRDefault="00BA396B">
      <w:pPr>
        <w:rPr>
          <w:rFonts w:asciiTheme="majorHAnsi" w:hAnsiTheme="majorHAnsi" w:cstheme="majorHAnsi"/>
          <w:sz w:val="24"/>
          <w:szCs w:val="32"/>
          <w:lang w:val="es-PE"/>
        </w:rPr>
      </w:pPr>
    </w:p>
    <w:p w14:paraId="2261169F" w14:textId="77777777" w:rsidR="007B01BA" w:rsidRDefault="00000000" w:rsidP="007B01BA">
      <w:pPr>
        <w:rPr>
          <w:rFonts w:asciiTheme="majorHAnsi" w:hAnsiTheme="majorHAnsi" w:cstheme="majorHAnsi"/>
          <w:sz w:val="22"/>
          <w:szCs w:val="28"/>
          <w:lang w:val="es-PE"/>
        </w:rPr>
      </w:pPr>
      <w:r w:rsidRPr="007B01BA">
        <w:rPr>
          <w:rFonts w:asciiTheme="majorHAnsi" w:hAnsiTheme="majorHAnsi" w:cstheme="majorHAnsi"/>
          <w:sz w:val="22"/>
          <w:szCs w:val="28"/>
          <w:lang w:val="es-PE"/>
        </w:rPr>
        <w:t xml:space="preserve">Este informe define una propuesta de evaluación externa del tomate para </w:t>
      </w:r>
      <w:proofErr w:type="spellStart"/>
      <w:r w:rsidRPr="007B01BA">
        <w:rPr>
          <w:rFonts w:asciiTheme="majorHAnsi" w:hAnsiTheme="majorHAnsi" w:cstheme="majorHAnsi"/>
          <w:sz w:val="22"/>
          <w:szCs w:val="28"/>
          <w:lang w:val="es-PE"/>
        </w:rPr>
        <w:t>AgroScan</w:t>
      </w:r>
      <w:proofErr w:type="spellEnd"/>
      <w:r w:rsidRPr="007B01BA">
        <w:rPr>
          <w:rFonts w:asciiTheme="majorHAnsi" w:hAnsiTheme="majorHAnsi" w:cstheme="majorHAnsi"/>
          <w:sz w:val="22"/>
          <w:szCs w:val="28"/>
          <w:lang w:val="es-PE"/>
        </w:rPr>
        <w:t xml:space="preserve">. Organiza criterios observables, referencias de calibre y reglas de revisión para coordinar el trabajo de </w:t>
      </w:r>
      <w:proofErr w:type="spellStart"/>
      <w:r w:rsidRPr="007B01BA">
        <w:rPr>
          <w:rFonts w:asciiTheme="majorHAnsi" w:hAnsiTheme="majorHAnsi" w:cstheme="majorHAnsi"/>
          <w:sz w:val="22"/>
          <w:szCs w:val="28"/>
          <w:lang w:val="es-PE"/>
        </w:rPr>
        <w:t>IoT</w:t>
      </w:r>
      <w:proofErr w:type="spellEnd"/>
      <w:r w:rsidRPr="007B01BA">
        <w:rPr>
          <w:rFonts w:asciiTheme="majorHAnsi" w:hAnsiTheme="majorHAnsi" w:cstheme="majorHAnsi"/>
          <w:sz w:val="22"/>
          <w:szCs w:val="28"/>
          <w:lang w:val="es-PE"/>
        </w:rPr>
        <w:t>, visión artificial y software. La revisión del especialista y los ajustes acordados se registrarán por el equipo.</w:t>
      </w:r>
      <w:r w:rsidR="00BA396B" w:rsidRPr="007B01BA">
        <w:rPr>
          <w:rFonts w:asciiTheme="majorHAnsi" w:hAnsiTheme="majorHAnsi" w:cstheme="majorHAnsi"/>
          <w:sz w:val="22"/>
          <w:szCs w:val="28"/>
          <w:lang w:val="es-PE"/>
        </w:rPr>
        <w:t xml:space="preserve"> </w:t>
      </w:r>
      <w:r w:rsidR="007B01BA" w:rsidRPr="007B01BA">
        <w:rPr>
          <w:rFonts w:asciiTheme="majorHAnsi" w:hAnsiTheme="majorHAnsi" w:cstheme="majorHAnsi"/>
          <w:sz w:val="22"/>
          <w:szCs w:val="28"/>
          <w:lang w:val="es-PE"/>
        </w:rPr>
        <w:t xml:space="preserve"> </w:t>
      </w:r>
    </w:p>
    <w:p w14:paraId="232AC301" w14:textId="5B9FF404" w:rsidR="00E96582" w:rsidRPr="007B01BA" w:rsidRDefault="00000000" w:rsidP="007B01BA">
      <w:pPr>
        <w:rPr>
          <w:rFonts w:asciiTheme="majorHAnsi" w:hAnsiTheme="majorHAnsi" w:cstheme="majorHAnsi"/>
          <w:b/>
          <w:bCs/>
          <w:sz w:val="24"/>
          <w:szCs w:val="24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PE"/>
        </w:rPr>
        <w:t>Fundamento y límites</w:t>
      </w:r>
    </w:p>
    <w:p w14:paraId="6848B2D8" w14:textId="4801EB4D" w:rsidR="00BA396B" w:rsidRPr="007B01BA" w:rsidRDefault="00000000" w:rsidP="00BA396B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La referencia normativa es la Norma para los tomates Codex CXS 293-2008. Los criterios siguientes adaptan sus aspectos observables al piloto; no acreditan conformidad comercial completa, inocuidad ni aptitud de exportación.</w:t>
      </w:r>
      <w:r w:rsidR="00BA396B" w:rsidRPr="007B01BA">
        <w:rPr>
          <w:rFonts w:asciiTheme="majorHAnsi" w:hAnsiTheme="majorHAnsi" w:cstheme="majorHAnsi"/>
          <w:sz w:val="22"/>
          <w:lang w:val="es-PE"/>
        </w:rPr>
        <w:t xml:space="preserve"> </w:t>
      </w:r>
      <w:r w:rsidRPr="007B01BA">
        <w:rPr>
          <w:rFonts w:asciiTheme="majorHAnsi" w:hAnsiTheme="majorHAnsi" w:cstheme="majorHAnsi"/>
          <w:sz w:val="22"/>
          <w:lang w:val="es-PE"/>
        </w:rPr>
        <w:t>La variedad piloto debe confirmarse antes de aprobar la rúbrica. La forma y el color varían según el tipo de tomate y el estado de madurez. No se inferirán firmeza, sabor, grados Brix, madurez interna ni condición microbiológica exclusivamente mediante RGB.</w:t>
      </w:r>
    </w:p>
    <w:p w14:paraId="7D49D7EC" w14:textId="0CACB2DB" w:rsidR="00E96582" w:rsidRPr="007B01BA" w:rsidRDefault="00000000">
      <w:pPr>
        <w:pStyle w:val="Ttulo1"/>
        <w:rPr>
          <w:rFonts w:cstheme="majorHAnsi"/>
          <w:color w:val="000000" w:themeColor="text1"/>
          <w:lang w:val="es-PE"/>
        </w:rPr>
      </w:pPr>
      <w:r w:rsidRPr="007B01BA">
        <w:rPr>
          <w:rFonts w:cstheme="majorHAnsi"/>
          <w:color w:val="000000" w:themeColor="text1"/>
          <w:lang w:val="es-PE"/>
        </w:rPr>
        <w:t>Matriz de criterios y evidencia</w:t>
      </w:r>
      <w:r w:rsidR="00BA396B" w:rsidRPr="007B01BA">
        <w:rPr>
          <w:rFonts w:cstheme="majorHAnsi"/>
          <w:color w:val="000000" w:themeColor="text1"/>
          <w:lang w:val="es-PE"/>
        </w:rPr>
        <w:t xml:space="preserve"> </w:t>
      </w:r>
    </w:p>
    <w:p w14:paraId="2207883B" w14:textId="77777777" w:rsidR="00BA396B" w:rsidRPr="00BA396B" w:rsidRDefault="00BA396B" w:rsidP="00BA396B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5"/>
      </w:tblGrid>
      <w:tr w:rsidR="00E96582" w14:paraId="2ED30B3F" w14:textId="77777777" w:rsidTr="007B01BA">
        <w:trPr>
          <w:trHeight w:val="366"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4ED76FE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B01BA">
              <w:rPr>
                <w:rFonts w:asciiTheme="majorHAnsi" w:hAnsiTheme="majorHAnsi" w:cstheme="majorHAnsi"/>
                <w:b/>
                <w:sz w:val="22"/>
              </w:rPr>
              <w:t>Criterio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4FAA44B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b/>
                <w:sz w:val="22"/>
              </w:rPr>
              <w:t>Evidencia / método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E7DD00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b/>
                <w:sz w:val="22"/>
              </w:rPr>
              <w:t>Regla operativa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BA25CE8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b/>
                <w:sz w:val="22"/>
              </w:rPr>
              <w:t>Salida / límite</w:t>
            </w:r>
          </w:p>
        </w:tc>
      </w:tr>
      <w:tr w:rsidR="00E96582" w:rsidRPr="004C17BE" w14:paraId="303B034D" w14:textId="77777777">
        <w:trPr>
          <w:jc w:val="center"/>
        </w:trPr>
        <w:tc>
          <w:tcPr>
            <w:tcW w:w="2556" w:type="dxa"/>
            <w:vAlign w:val="center"/>
          </w:tcPr>
          <w:p w14:paraId="716336FE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R01 Identidad y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cobertura</w:t>
            </w:r>
            <w:proofErr w:type="spellEnd"/>
          </w:p>
        </w:tc>
        <w:tc>
          <w:tcPr>
            <w:tcW w:w="2556" w:type="dxa"/>
            <w:vAlign w:val="center"/>
          </w:tcPr>
          <w:p w14:paraId="06419694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Lote, tipo declarado y vistas</w:t>
            </w:r>
          </w:p>
        </w:tc>
        <w:tc>
          <w:tcPr>
            <w:tcW w:w="2556" w:type="dxa"/>
            <w:vAlign w:val="center"/>
          </w:tcPr>
          <w:p w14:paraId="1D3A5940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tomate y variedad/tipo declarado; comprobar cobertura.</w:t>
            </w:r>
          </w:p>
        </w:tc>
        <w:tc>
          <w:tcPr>
            <w:tcW w:w="2556" w:type="dxa"/>
            <w:vAlign w:val="center"/>
          </w:tcPr>
          <w:p w14:paraId="627EA98A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No reconocido o no evaluable si falta identidad/cobertura.</w:t>
            </w:r>
          </w:p>
        </w:tc>
      </w:tr>
      <w:tr w:rsidR="00E96582" w:rsidRPr="004C17BE" w14:paraId="5B3815A4" w14:textId="77777777">
        <w:trPr>
          <w:jc w:val="center"/>
        </w:trPr>
        <w:tc>
          <w:tcPr>
            <w:tcW w:w="2556" w:type="dxa"/>
            <w:vAlign w:val="center"/>
          </w:tcPr>
          <w:p w14:paraId="62FA7797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R02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Calibre</w:t>
            </w:r>
            <w:proofErr w:type="spellEnd"/>
          </w:p>
        </w:tc>
        <w:tc>
          <w:tcPr>
            <w:tcW w:w="2556" w:type="dxa"/>
            <w:vAlign w:val="center"/>
          </w:tcPr>
          <w:p w14:paraId="3DCAB4CC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Diámetro ecuatorial con instrumento verificado</w:t>
            </w:r>
          </w:p>
        </w:tc>
        <w:tc>
          <w:tcPr>
            <w:tcW w:w="2556" w:type="dxa"/>
            <w:vAlign w:val="center"/>
          </w:tcPr>
          <w:p w14:paraId="2486C0E4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Guardar milímetros, equipo y calibración; aplicar referencia solo con lectura válida.</w:t>
            </w:r>
          </w:p>
        </w:tc>
        <w:tc>
          <w:tcPr>
            <w:tcW w:w="2556" w:type="dxa"/>
            <w:vAlign w:val="center"/>
          </w:tcPr>
          <w:p w14:paraId="60A2A8F1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Código de calibre o pendiente; independiente de calidad visual.</w:t>
            </w:r>
          </w:p>
        </w:tc>
      </w:tr>
      <w:tr w:rsidR="00E96582" w:rsidRPr="004C17BE" w14:paraId="685C73CB" w14:textId="77777777">
        <w:trPr>
          <w:jc w:val="center"/>
        </w:trPr>
        <w:tc>
          <w:tcPr>
            <w:tcW w:w="2556" w:type="dxa"/>
            <w:vAlign w:val="center"/>
          </w:tcPr>
          <w:p w14:paraId="11A32A98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R03 Forma y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desarrollo</w:t>
            </w:r>
            <w:proofErr w:type="spellEnd"/>
          </w:p>
        </w:tc>
        <w:tc>
          <w:tcPr>
            <w:tcW w:w="2556" w:type="dxa"/>
            <w:vAlign w:val="center"/>
          </w:tcPr>
          <w:p w14:paraId="3BA5BFEB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Vistas del fruto y pauta del tipo</w:t>
            </w:r>
          </w:p>
        </w:tc>
        <w:tc>
          <w:tcPr>
            <w:tcW w:w="2556" w:type="dxa"/>
            <w:vAlign w:val="center"/>
          </w:tcPr>
          <w:p w14:paraId="60C064C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deformaciones visibles sin imponer una forma única a todos los tipos.</w:t>
            </w:r>
          </w:p>
        </w:tc>
        <w:tc>
          <w:tcPr>
            <w:tcW w:w="2556" w:type="dxa"/>
            <w:vAlign w:val="center"/>
          </w:tcPr>
          <w:p w14:paraId="4FE6E7EE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E1 o revisión si no hay pauta definida.</w:t>
            </w:r>
          </w:p>
        </w:tc>
      </w:tr>
      <w:tr w:rsidR="00E96582" w:rsidRPr="004C17BE" w14:paraId="07F939AE" w14:textId="77777777">
        <w:trPr>
          <w:jc w:val="center"/>
        </w:trPr>
        <w:tc>
          <w:tcPr>
            <w:tcW w:w="2556" w:type="dxa"/>
            <w:vAlign w:val="center"/>
          </w:tcPr>
          <w:p w14:paraId="3DD326E3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R04 Color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externo</w:t>
            </w:r>
            <w:proofErr w:type="spellEnd"/>
          </w:p>
        </w:tc>
        <w:tc>
          <w:tcPr>
            <w:tcW w:w="2556" w:type="dxa"/>
            <w:vAlign w:val="center"/>
          </w:tcPr>
          <w:p w14:paraId="68879AC5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Imágenes RGB y revisión humana</w:t>
            </w:r>
          </w:p>
        </w:tc>
        <w:tc>
          <w:tcPr>
            <w:tcW w:w="2556" w:type="dxa"/>
            <w:vAlign w:val="center"/>
          </w:tcPr>
          <w:p w14:paraId="35495C45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Describir color y uniformidad; no inferir madurez interna solo por color.</w:t>
            </w:r>
          </w:p>
        </w:tc>
        <w:tc>
          <w:tcPr>
            <w:tcW w:w="2556" w:type="dxa"/>
            <w:vAlign w:val="center"/>
          </w:tcPr>
          <w:p w14:paraId="5A65A1B3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Color descriptivo; conformidad solo con pauta validada.</w:t>
            </w:r>
          </w:p>
        </w:tc>
      </w:tr>
      <w:tr w:rsidR="00E96582" w:rsidRPr="004C17BE" w14:paraId="38F3FBCA" w14:textId="77777777">
        <w:trPr>
          <w:jc w:val="center"/>
        </w:trPr>
        <w:tc>
          <w:tcPr>
            <w:tcW w:w="2556" w:type="dxa"/>
            <w:vAlign w:val="center"/>
          </w:tcPr>
          <w:p w14:paraId="7F268007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lastRenderedPageBreak/>
              <w:t xml:space="preserve">R05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Integridad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</w:rPr>
              <w:t xml:space="preserve"> superficial</w:t>
            </w:r>
          </w:p>
        </w:tc>
        <w:tc>
          <w:tcPr>
            <w:tcW w:w="2556" w:type="dxa"/>
            <w:vAlign w:val="center"/>
          </w:tcPr>
          <w:p w14:paraId="030A991D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>Imágenes y revisión humana</w:t>
            </w:r>
          </w:p>
        </w:tc>
        <w:tc>
          <w:tcPr>
            <w:tcW w:w="2556" w:type="dxa"/>
            <w:vAlign w:val="center"/>
          </w:tcPr>
          <w:p w14:paraId="48A097B8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grietas, cortes, roturas y lesiones visibles.</w:t>
            </w:r>
          </w:p>
        </w:tc>
        <w:tc>
          <w:tcPr>
            <w:tcW w:w="2556" w:type="dxa"/>
            <w:vAlign w:val="center"/>
          </w:tcPr>
          <w:p w14:paraId="53E951CD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E1; E2 y revisión ante daño grave.</w:t>
            </w:r>
          </w:p>
        </w:tc>
      </w:tr>
      <w:tr w:rsidR="00E96582" w:rsidRPr="004C17BE" w14:paraId="57CA41C3" w14:textId="77777777">
        <w:trPr>
          <w:jc w:val="center"/>
        </w:trPr>
        <w:tc>
          <w:tcPr>
            <w:tcW w:w="2556" w:type="dxa"/>
            <w:vAlign w:val="center"/>
          </w:tcPr>
          <w:p w14:paraId="030F57D1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R06 Golpes y daños mecánicos</w:t>
            </w:r>
          </w:p>
        </w:tc>
        <w:tc>
          <w:tcPr>
            <w:tcW w:w="2556" w:type="dxa"/>
            <w:vAlign w:val="center"/>
          </w:tcPr>
          <w:p w14:paraId="7EA8A1D2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Vistas de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superficie</w:t>
            </w:r>
            <w:proofErr w:type="spellEnd"/>
          </w:p>
        </w:tc>
        <w:tc>
          <w:tcPr>
            <w:tcW w:w="2556" w:type="dxa"/>
            <w:vAlign w:val="center"/>
          </w:tcPr>
          <w:p w14:paraId="2654FEA3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magulladuras, abrasiones y aplastamiento; no inferir daño interno por píxeles.</w:t>
            </w:r>
          </w:p>
        </w:tc>
        <w:tc>
          <w:tcPr>
            <w:tcW w:w="2556" w:type="dxa"/>
            <w:vAlign w:val="center"/>
          </w:tcPr>
          <w:p w14:paraId="25B97BAC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E1 o revisión según evidencia.</w:t>
            </w:r>
          </w:p>
        </w:tc>
      </w:tr>
      <w:tr w:rsidR="00E96582" w14:paraId="0307EAA7" w14:textId="77777777">
        <w:trPr>
          <w:jc w:val="center"/>
        </w:trPr>
        <w:tc>
          <w:tcPr>
            <w:tcW w:w="2556" w:type="dxa"/>
            <w:vAlign w:val="center"/>
          </w:tcPr>
          <w:p w14:paraId="0549AC3C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R07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Deterioro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</w:rPr>
              <w:t xml:space="preserve"> visible</w:t>
            </w:r>
          </w:p>
        </w:tc>
        <w:tc>
          <w:tcPr>
            <w:tcW w:w="2556" w:type="dxa"/>
            <w:vAlign w:val="center"/>
          </w:tcPr>
          <w:p w14:paraId="76613DD4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>Imágenes y operador</w:t>
            </w:r>
          </w:p>
        </w:tc>
        <w:tc>
          <w:tcPr>
            <w:tcW w:w="2556" w:type="dxa"/>
            <w:vAlign w:val="center"/>
          </w:tcPr>
          <w:p w14:paraId="0B8DEB8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señales compatibles con podredumbre o tejido deteriorado; no diagnosticar causa.</w:t>
            </w:r>
          </w:p>
        </w:tc>
        <w:tc>
          <w:tcPr>
            <w:tcW w:w="2556" w:type="dxa"/>
            <w:vAlign w:val="center"/>
          </w:tcPr>
          <w:p w14:paraId="5E9130BF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E2 y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revisión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prioritaria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</w:rPr>
              <w:t>.</w:t>
            </w:r>
          </w:p>
        </w:tc>
      </w:tr>
      <w:tr w:rsidR="00E96582" w:rsidRPr="004C17BE" w14:paraId="58696B5B" w14:textId="77777777">
        <w:trPr>
          <w:jc w:val="center"/>
        </w:trPr>
        <w:tc>
          <w:tcPr>
            <w:tcW w:w="2556" w:type="dxa"/>
            <w:vAlign w:val="center"/>
          </w:tcPr>
          <w:p w14:paraId="61C1C549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R08 Limpieza e indicios de plagas</w:t>
            </w:r>
          </w:p>
        </w:tc>
        <w:tc>
          <w:tcPr>
            <w:tcW w:w="2556" w:type="dxa"/>
            <w:vAlign w:val="center"/>
          </w:tcPr>
          <w:p w14:paraId="61BA595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Inspección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</w:rPr>
              <w:t xml:space="preserve"> superficial</w:t>
            </w:r>
          </w:p>
        </w:tc>
        <w:tc>
          <w:tcPr>
            <w:tcW w:w="2556" w:type="dxa"/>
            <w:vAlign w:val="center"/>
          </w:tcPr>
          <w:p w14:paraId="45022497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suciedad, materia extraña, perforaciones o daño visible sin atribuir causa incierta.</w:t>
            </w:r>
          </w:p>
        </w:tc>
        <w:tc>
          <w:tcPr>
            <w:tcW w:w="2556" w:type="dxa"/>
            <w:vAlign w:val="center"/>
          </w:tcPr>
          <w:p w14:paraId="7E42815B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y revisar; recapturar si no se distingue.</w:t>
            </w:r>
          </w:p>
        </w:tc>
      </w:tr>
      <w:tr w:rsidR="00E96582" w:rsidRPr="004C17BE" w14:paraId="7A52DC01" w14:textId="77777777">
        <w:trPr>
          <w:jc w:val="center"/>
        </w:trPr>
        <w:tc>
          <w:tcPr>
            <w:tcW w:w="2556" w:type="dxa"/>
            <w:vAlign w:val="center"/>
          </w:tcPr>
          <w:p w14:paraId="5F486018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R09 Cicatriz peduncular y apical</w:t>
            </w:r>
          </w:p>
        </w:tc>
        <w:tc>
          <w:tcPr>
            <w:tcW w:w="2556" w:type="dxa"/>
            <w:vAlign w:val="center"/>
          </w:tcPr>
          <w:p w14:paraId="769B50FB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Vistas de ambos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extremos</w:t>
            </w:r>
            <w:proofErr w:type="spellEnd"/>
          </w:p>
        </w:tc>
        <w:tc>
          <w:tcPr>
            <w:tcW w:w="2556" w:type="dxa"/>
            <w:vAlign w:val="center"/>
          </w:tcPr>
          <w:p w14:paraId="3F7EAC5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Registrar cicatrices o lesiones visibles según el tipo declarado.</w:t>
            </w:r>
          </w:p>
        </w:tc>
        <w:tc>
          <w:tcPr>
            <w:tcW w:w="2556" w:type="dxa"/>
            <w:vAlign w:val="center"/>
          </w:tcPr>
          <w:p w14:paraId="79A64285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E1 o revisión según pauta.</w:t>
            </w:r>
          </w:p>
        </w:tc>
      </w:tr>
      <w:tr w:rsidR="00E96582" w:rsidRPr="004C17BE" w14:paraId="16DB8EF7" w14:textId="77777777">
        <w:trPr>
          <w:jc w:val="center"/>
        </w:trPr>
        <w:tc>
          <w:tcPr>
            <w:tcW w:w="2556" w:type="dxa"/>
            <w:vAlign w:val="center"/>
          </w:tcPr>
          <w:p w14:paraId="57CEFD96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 xml:space="preserve">R10 </w:t>
            </w:r>
            <w:proofErr w:type="spellStart"/>
            <w:r w:rsidRPr="007B01BA">
              <w:rPr>
                <w:rFonts w:asciiTheme="majorHAnsi" w:hAnsiTheme="majorHAnsi" w:cstheme="majorHAnsi"/>
                <w:sz w:val="22"/>
              </w:rPr>
              <w:t>Atributos</w:t>
            </w:r>
            <w:proofErr w:type="spellEnd"/>
            <w:r w:rsidRPr="007B01BA">
              <w:rPr>
                <w:rFonts w:asciiTheme="majorHAnsi" w:hAnsiTheme="majorHAnsi" w:cstheme="majorHAnsi"/>
                <w:sz w:val="22"/>
              </w:rPr>
              <w:t xml:space="preserve"> no observables</w:t>
            </w:r>
          </w:p>
        </w:tc>
        <w:tc>
          <w:tcPr>
            <w:tcW w:w="2556" w:type="dxa"/>
            <w:vAlign w:val="center"/>
          </w:tcPr>
          <w:p w14:paraId="3AE33AA2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B01BA">
              <w:rPr>
                <w:rFonts w:asciiTheme="majorHAnsi" w:hAnsiTheme="majorHAnsi" w:cstheme="majorHAnsi"/>
                <w:sz w:val="22"/>
              </w:rPr>
              <w:t>Control de alcance</w:t>
            </w:r>
          </w:p>
        </w:tc>
        <w:tc>
          <w:tcPr>
            <w:tcW w:w="2556" w:type="dxa"/>
            <w:vAlign w:val="center"/>
          </w:tcPr>
          <w:p w14:paraId="3A4D3C35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Firmeza, Brix, sabor y condición interna requieren métodos adicionales.</w:t>
            </w:r>
          </w:p>
        </w:tc>
        <w:tc>
          <w:tcPr>
            <w:tcW w:w="2556" w:type="dxa"/>
            <w:vAlign w:val="center"/>
          </w:tcPr>
          <w:p w14:paraId="400B918C" w14:textId="77777777" w:rsidR="00E96582" w:rsidRPr="007B01BA" w:rsidRDefault="00000000">
            <w:pPr>
              <w:spacing w:after="0"/>
              <w:rPr>
                <w:rFonts w:asciiTheme="majorHAnsi" w:hAnsiTheme="majorHAnsi" w:cstheme="majorHAnsi"/>
                <w:sz w:val="22"/>
                <w:lang w:val="es-PE"/>
              </w:rPr>
            </w:pPr>
            <w:r w:rsidRPr="007B01BA">
              <w:rPr>
                <w:rFonts w:asciiTheme="majorHAnsi" w:hAnsiTheme="majorHAnsi" w:cstheme="majorHAnsi"/>
                <w:sz w:val="22"/>
                <w:lang w:val="es-PE"/>
              </w:rPr>
              <w:t>No evaluados por RGB/peso.</w:t>
            </w:r>
          </w:p>
        </w:tc>
      </w:tr>
    </w:tbl>
    <w:p w14:paraId="592AC010" w14:textId="77777777" w:rsidR="00E96582" w:rsidRDefault="00000000">
      <w:pPr>
        <w:pStyle w:val="Ttulo1"/>
        <w:rPr>
          <w:rFonts w:cstheme="majorHAnsi"/>
          <w:color w:val="000000" w:themeColor="text1"/>
          <w:sz w:val="24"/>
          <w:szCs w:val="24"/>
          <w:lang w:val="es-PE"/>
        </w:rPr>
      </w:pPr>
      <w:r w:rsidRPr="007B01BA">
        <w:rPr>
          <w:rFonts w:cstheme="majorHAnsi"/>
          <w:color w:val="000000" w:themeColor="text1"/>
          <w:sz w:val="24"/>
          <w:szCs w:val="24"/>
          <w:lang w:val="es-PE"/>
        </w:rPr>
        <w:t>Calibre de referencia por diámetro</w:t>
      </w:r>
    </w:p>
    <w:p w14:paraId="3E8C5275" w14:textId="77777777" w:rsidR="00221CD3" w:rsidRPr="00221CD3" w:rsidRDefault="00221CD3" w:rsidP="00221CD3">
      <w:pPr>
        <w:rPr>
          <w:lang w:val="es-PE"/>
        </w:rPr>
      </w:pPr>
    </w:p>
    <w:p w14:paraId="58170FFC" w14:textId="77777777" w:rsidR="00E96582" w:rsidRPr="007B01BA" w:rsidRDefault="00000000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Codex CXS 293-2008 contempla el diámetro máximo de la sección ecuatorial como referencia de calibre. Para el piloto, conservar el diámetro medido en milímetros y aplicar el código correspondiente solo si el instrumento está verificado. No convertir píxeles en milímetros sin escala y validación geométrica.</w:t>
      </w:r>
    </w:p>
    <w:p w14:paraId="574C77A2" w14:textId="0997C66D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 xml:space="preserve">Los códigos de calibre describen tamaño, </w:t>
      </w:r>
      <w:r w:rsidR="007B01BA" w:rsidRPr="007B01BA">
        <w:rPr>
          <w:rFonts w:asciiTheme="majorHAnsi" w:hAnsiTheme="majorHAnsi" w:cstheme="majorHAnsi"/>
          <w:sz w:val="22"/>
          <w:lang w:val="es-PE"/>
        </w:rPr>
        <w:t>120 a los 180 gramos,</w:t>
      </w:r>
      <w:r w:rsidR="007B01BA">
        <w:rPr>
          <w:rFonts w:asciiTheme="majorHAnsi" w:hAnsiTheme="majorHAnsi" w:cstheme="majorHAnsi"/>
          <w:sz w:val="22"/>
          <w:lang w:val="es-PE"/>
        </w:rPr>
        <w:t xml:space="preserve"> </w:t>
      </w:r>
      <w:r w:rsidRPr="007B01BA">
        <w:rPr>
          <w:rFonts w:asciiTheme="majorHAnsi" w:hAnsiTheme="majorHAnsi" w:cstheme="majorHAnsi"/>
          <w:sz w:val="22"/>
          <w:lang w:val="es-PE"/>
        </w:rPr>
        <w:t>no calidad visual ni aceptación comercial. Si una lectura está en el límite, el instrumento no está calibrado o la incertidumbre cruza el límite</w:t>
      </w:r>
      <w:r w:rsidR="007B01BA">
        <w:rPr>
          <w:rFonts w:asciiTheme="majorHAnsi" w:hAnsiTheme="majorHAnsi" w:cstheme="majorHAnsi"/>
          <w:sz w:val="22"/>
          <w:lang w:val="es-PE"/>
        </w:rPr>
        <w:t xml:space="preserve">. </w:t>
      </w:r>
      <w:r w:rsidRPr="007B01BA">
        <w:rPr>
          <w:rFonts w:asciiTheme="majorHAnsi" w:hAnsiTheme="majorHAnsi" w:cstheme="majorHAnsi"/>
          <w:sz w:val="22"/>
          <w:lang w:val="es-PE"/>
        </w:rPr>
        <w:t>No trasladar al tomate los rangos de peso A/B/C usados para el mango.</w:t>
      </w:r>
    </w:p>
    <w:p w14:paraId="58523591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653BE69F" w14:textId="69F0D5F1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t>Referencia de defectos y etiquetas operativas</w:t>
      </w:r>
    </w:p>
    <w:p w14:paraId="460B462A" w14:textId="77777777" w:rsidR="00E96582" w:rsidRPr="007B01BA" w:rsidRDefault="00000000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Codex distingue las clases Extra, I y II según requisitos y tolerancias. No se asignará una clase comercial automáticamente por una fotografía ni por una suma de defectos; la decisión requiere revisar el conjunto de requisitos aplicables al tipo de tomate.</w:t>
      </w:r>
    </w:p>
    <w:p w14:paraId="1973BA1C" w14:textId="77777777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Las etiquetas del piloto son E0: sin defecto relevante observado en las vistas disponibles; E1: defecto externo visible que requiere valoración del operador; E2: indicio visible de deterioro grave para revisión prioritaria. No equivalen automáticamente a las clases Extra, I o II. El estado de evaluación se guarda por separado: evaluable, no evaluable, pendiente de revisión o no reconocido. Una foto borrosa o un fallo de captura no convierte al tomate en defectuoso.</w:t>
      </w:r>
    </w:p>
    <w:p w14:paraId="2C88E3CF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5EF348C8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56555D5F" w14:textId="455643CC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lastRenderedPageBreak/>
        <w:t>Procedimiento de aplicación</w:t>
      </w:r>
    </w:p>
    <w:p w14:paraId="23EBE233" w14:textId="77777777" w:rsidR="00E96582" w:rsidRPr="007B01BA" w:rsidRDefault="00000000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Identificar pieza, lote y tipo declarado. Verificar fondo, iluminación, enfoque y ausencia de oclusiones. Obtener vistas de ambos lados y de los extremos, girando la pieza; registrar las vistas efectivas y recapturar las insuficientes. Medir el diámetro con un instrumento verificado cuando corresponda y registrar el equipo y el estado de calibración.</w:t>
      </w:r>
    </w:p>
    <w:p w14:paraId="52D9EA6B" w14:textId="77777777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Registrar cada indicio y su ubicación. Priorizar E2 ante deterioro grave; E1 requiere un defecto visible identificable; los casos dudosos pasan a revisión. Mantener separadas la evaluación visual, el calibre y la decisión del operador. La predicción del modelo debe conservarse separada de la decisión final y de cualquier corrección posterior.</w:t>
      </w:r>
    </w:p>
    <w:p w14:paraId="36E301DA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72861461" w14:textId="267E3592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t>Formato y coordinación con visión artificial</w:t>
      </w:r>
    </w:p>
    <w:p w14:paraId="1CC8D011" w14:textId="77777777" w:rsidR="00E96582" w:rsidRPr="007B01BA" w:rsidRDefault="00000000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 xml:space="preserve">Campos propuestos: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pieza_id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lote_id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producto,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variedad_declarada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tipo_comercial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rubric_version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imagen_id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/vista,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diámetro_mm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equipo_medición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estado_calibración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criterio_id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presencia (sí/no/no determinable), ubicación,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etiqueta_visual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estado_evaluación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decisión_operador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, motivo, evaluador y fecha. Son campos conceptuales que deberán mapearse al contrato del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backend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>, no una afirmación de que ya estén implementados.</w:t>
      </w:r>
    </w:p>
    <w:p w14:paraId="6734EFBF" w14:textId="77777777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El conjunto de imágenes debe incluir ejemplos E0, E1, E2 y casos no evaluables. Las etiquetas describirán señales visibles, no enfermedades confirmadas. Las distintas vistas de una misma pieza deben mantenerse en un único conjunto de entrenamiento, validación o prueba.</w:t>
      </w:r>
    </w:p>
    <w:p w14:paraId="29AD77B2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3F1F8183" w14:textId="45B90D02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t>Casos de comprobación propuestos</w:t>
      </w:r>
    </w:p>
    <w:p w14:paraId="01C58D4F" w14:textId="444582AA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Un tomate con color verde parcial y sin daño visible no recibe automáticamente una etiqueta de defecto; una imagen borrosa requiere recaptura; un diámetro medido de 68 mm corresponde al código de referencia 8; una medición sin instrumento validado queda pendiente; un indicio visible de podredumbre se deriva a revisión prioritaria; y la firmeza no se confirma mediante RGB. Estos casos son especificaciones de prueba, no ensayos ejecutados.</w:t>
      </w:r>
      <w:r w:rsidR="00221CD3">
        <w:rPr>
          <w:rFonts w:asciiTheme="majorHAnsi" w:hAnsiTheme="majorHAnsi" w:cstheme="majorHAnsi"/>
          <w:sz w:val="22"/>
          <w:lang w:val="es-PE"/>
        </w:rPr>
        <w:t xml:space="preserve"> </w:t>
      </w:r>
    </w:p>
    <w:p w14:paraId="66EC405F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58229145" w14:textId="14FE7B1C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t>Validación y criterios de cierre</w:t>
      </w:r>
    </w:p>
    <w:p w14:paraId="44C635F9" w14:textId="70749A04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Revisar reglas y ejemplos con un operador o especialista; registrar rol, fecha, acuerdos y correcciones. Realizar anotaciones independientes sobre piezas comunes y revisar discrepancias. Publicar tomato-ext-v1.0 únicamente después de confirmar el tipo piloto y aprobar reglas, ejemplos y manejo de incertidumbre. La elaboración documental no implica que la aprobación experta o la evaluación práctica ya se hayan realizado.</w:t>
      </w:r>
      <w:r w:rsidR="00221CD3">
        <w:rPr>
          <w:rFonts w:asciiTheme="majorHAnsi" w:hAnsiTheme="majorHAnsi" w:cstheme="majorHAnsi"/>
          <w:sz w:val="22"/>
          <w:lang w:val="es-PE"/>
        </w:rPr>
        <w:t xml:space="preserve"> </w:t>
      </w:r>
    </w:p>
    <w:p w14:paraId="7962CDC5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4EB2B380" w14:textId="11E378C6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t xml:space="preserve">Vinculación con la línea base del sprint </w:t>
      </w:r>
      <w:r w:rsidR="00221CD3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t>2</w:t>
      </w:r>
    </w:p>
    <w:p w14:paraId="389D0B4B" w14:textId="77777777" w:rsidR="00E96582" w:rsidRPr="007B01BA" w:rsidRDefault="00000000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AGROP-13 recoge una línea base cualitativa de revisión manual, identificación individual poco uniforme, anotaciones en papel y fotografías separadas. Estos antecedentes justifican una rúbrica común y evidencia vinculada, pero no proporcionan umbrales de calidad ni resultados de precisión específicos del tomate.</w:t>
      </w:r>
    </w:p>
    <w:p w14:paraId="39B60B92" w14:textId="5E9D0770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 xml:space="preserve">Para comparar con la práctica habitual, mantener por separado la decisión según experiencia o pauta disponible y la evaluación con rúbrica versionada. La aplicación de la rúbrica es una intervención y no debe presentarse como observación del método habitual. </w:t>
      </w:r>
    </w:p>
    <w:p w14:paraId="7C40DD92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1F877D17" w14:textId="508FDA49" w:rsidR="00E96582" w:rsidRPr="007B01BA" w:rsidRDefault="00000000" w:rsidP="007B01BA">
      <w:pPr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color w:val="000000" w:themeColor="text1"/>
          <w:sz w:val="22"/>
          <w:lang w:val="es-PE"/>
        </w:rPr>
        <w:lastRenderedPageBreak/>
        <w:t>Dependencias de cierre</w:t>
      </w:r>
    </w:p>
    <w:p w14:paraId="6B909169" w14:textId="77777777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Para aprobar tomato-ext-v1.0 faltan confirmar la variedad/tipo comercial y la pauta del cliente, si existe; revisar ejemplos con operador o especialista; acordar criterios con visión artificial; y realizar pruebas independientes. La validación normativa no sustituye la revisión práctica.</w:t>
      </w:r>
    </w:p>
    <w:p w14:paraId="75B4E6EE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622F47AB" w14:textId="13D4F390" w:rsidR="00E96582" w:rsidRPr="007B01BA" w:rsidRDefault="00000000" w:rsidP="007B01BA">
      <w:pPr>
        <w:rPr>
          <w:rFonts w:asciiTheme="majorHAnsi" w:hAnsiTheme="majorHAnsi" w:cstheme="majorHAnsi"/>
          <w:b/>
          <w:bCs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sz w:val="22"/>
          <w:lang w:val="es-PE"/>
        </w:rPr>
        <w:t>Conclusiones y entrega</w:t>
      </w:r>
    </w:p>
    <w:p w14:paraId="7B7DAC82" w14:textId="77777777" w:rsidR="007B01BA" w:rsidRDefault="00000000" w:rsidP="007B01BA">
      <w:pPr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Se entrega una propuesta de rúbrica externa para tomate con criterios observables, referencia de calibre, estados y reglas de aplicación. La revisión experta y la validación práctica siguen pendientes. Esta versión no constituye certificación comercial ni validación experimental.</w:t>
      </w:r>
    </w:p>
    <w:p w14:paraId="71792B91" w14:textId="77777777" w:rsidR="00221CD3" w:rsidRDefault="00221CD3" w:rsidP="007B01BA">
      <w:pPr>
        <w:rPr>
          <w:rFonts w:asciiTheme="majorHAnsi" w:hAnsiTheme="majorHAnsi" w:cstheme="majorHAnsi"/>
          <w:sz w:val="22"/>
          <w:lang w:val="es-PE"/>
        </w:rPr>
      </w:pPr>
    </w:p>
    <w:p w14:paraId="28BEFF9B" w14:textId="121645BA" w:rsidR="00E96582" w:rsidRPr="007B01BA" w:rsidRDefault="00000000" w:rsidP="007B01BA">
      <w:pPr>
        <w:rPr>
          <w:rFonts w:asciiTheme="majorHAnsi" w:hAnsiTheme="majorHAnsi" w:cstheme="majorHAnsi"/>
          <w:b/>
          <w:bCs/>
          <w:sz w:val="22"/>
          <w:lang w:val="es-PE"/>
        </w:rPr>
      </w:pPr>
      <w:r w:rsidRPr="007B01BA">
        <w:rPr>
          <w:rFonts w:asciiTheme="majorHAnsi" w:hAnsiTheme="majorHAnsi" w:cstheme="majorHAnsi"/>
          <w:b/>
          <w:bCs/>
          <w:sz w:val="22"/>
          <w:lang w:val="es-PE"/>
        </w:rPr>
        <w:t>Referencias</w:t>
      </w:r>
    </w:p>
    <w:p w14:paraId="4260A610" w14:textId="77777777" w:rsidR="00E96582" w:rsidRPr="007B01BA" w:rsidRDefault="00000000">
      <w:pPr>
        <w:pStyle w:val="Listaconnmeros"/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 xml:space="preserve">FAO y OMS. (2008). Norma para los tomates CXS 293-2008. Codex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Alimentarius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>. https://workspace.fao.org/sites/codex/Standards/CXS%20293-2008/CXS_293e.pdf</w:t>
      </w:r>
    </w:p>
    <w:p w14:paraId="10CF9BF7" w14:textId="77777777" w:rsidR="00E96582" w:rsidRPr="007B01BA" w:rsidRDefault="00000000">
      <w:pPr>
        <w:pStyle w:val="Listaconnmeros"/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</w:rPr>
        <w:t xml:space="preserve">UC Davis Postharvest Research and Extension Center. </w:t>
      </w:r>
      <w:r w:rsidRPr="007B01BA">
        <w:rPr>
          <w:rFonts w:asciiTheme="majorHAnsi" w:hAnsiTheme="majorHAnsi" w:cstheme="majorHAnsi"/>
          <w:sz w:val="22"/>
          <w:lang w:val="es-PE"/>
        </w:rPr>
        <w:t>(s. f.). Tomato. https://postharvest.ucdavis.edu/produce-facts-sheets/tomato</w:t>
      </w:r>
    </w:p>
    <w:p w14:paraId="079F18A4" w14:textId="77777777" w:rsidR="00E96582" w:rsidRPr="007B01BA" w:rsidRDefault="00000000">
      <w:pPr>
        <w:pStyle w:val="Listaconnmeros"/>
        <w:rPr>
          <w:rFonts w:asciiTheme="majorHAnsi" w:hAnsiTheme="majorHAnsi" w:cstheme="majorHAnsi"/>
          <w:sz w:val="22"/>
        </w:rPr>
      </w:pPr>
      <w:r w:rsidRPr="007B01BA">
        <w:rPr>
          <w:rFonts w:asciiTheme="majorHAnsi" w:hAnsiTheme="majorHAnsi" w:cstheme="majorHAnsi"/>
          <w:sz w:val="22"/>
          <w:lang w:val="es-PE"/>
        </w:rPr>
        <w:t xml:space="preserve">Equipo </w:t>
      </w:r>
      <w:proofErr w:type="spellStart"/>
      <w:r w:rsidRPr="007B01BA">
        <w:rPr>
          <w:rFonts w:asciiTheme="majorHAnsi" w:hAnsiTheme="majorHAnsi" w:cstheme="majorHAnsi"/>
          <w:sz w:val="22"/>
          <w:lang w:val="es-PE"/>
        </w:rPr>
        <w:t>AgroScan</w:t>
      </w:r>
      <w:proofErr w:type="spellEnd"/>
      <w:r w:rsidRPr="007B01BA">
        <w:rPr>
          <w:rFonts w:asciiTheme="majorHAnsi" w:hAnsiTheme="majorHAnsi" w:cstheme="majorHAnsi"/>
          <w:sz w:val="22"/>
          <w:lang w:val="es-PE"/>
        </w:rPr>
        <w:t xml:space="preserve">. (2026). AGROP-13: Rúbrica externa del mango Kent. </w:t>
      </w:r>
      <w:proofErr w:type="spellStart"/>
      <w:r w:rsidRPr="007B01BA">
        <w:rPr>
          <w:rFonts w:asciiTheme="majorHAnsi" w:hAnsiTheme="majorHAnsi" w:cstheme="majorHAnsi"/>
          <w:sz w:val="22"/>
        </w:rPr>
        <w:t>Documento</w:t>
      </w:r>
      <w:proofErr w:type="spellEnd"/>
      <w:r w:rsidRPr="007B01BA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B01BA">
        <w:rPr>
          <w:rFonts w:asciiTheme="majorHAnsi" w:hAnsiTheme="majorHAnsi" w:cstheme="majorHAnsi"/>
          <w:sz w:val="22"/>
        </w:rPr>
        <w:t>interno</w:t>
      </w:r>
      <w:proofErr w:type="spellEnd"/>
      <w:r w:rsidRPr="007B01BA">
        <w:rPr>
          <w:rFonts w:asciiTheme="majorHAnsi" w:hAnsiTheme="majorHAnsi" w:cstheme="majorHAnsi"/>
          <w:sz w:val="22"/>
        </w:rPr>
        <w:t xml:space="preserve"> del </w:t>
      </w:r>
      <w:proofErr w:type="spellStart"/>
      <w:r w:rsidRPr="007B01BA">
        <w:rPr>
          <w:rFonts w:asciiTheme="majorHAnsi" w:hAnsiTheme="majorHAnsi" w:cstheme="majorHAnsi"/>
          <w:sz w:val="22"/>
        </w:rPr>
        <w:t>proyecto</w:t>
      </w:r>
      <w:proofErr w:type="spellEnd"/>
      <w:r w:rsidRPr="007B01BA">
        <w:rPr>
          <w:rFonts w:asciiTheme="majorHAnsi" w:hAnsiTheme="majorHAnsi" w:cstheme="majorHAnsi"/>
          <w:sz w:val="22"/>
        </w:rPr>
        <w:t>.</w:t>
      </w:r>
    </w:p>
    <w:p w14:paraId="7D81111C" w14:textId="77777777" w:rsidR="00E96582" w:rsidRPr="007B01BA" w:rsidRDefault="00000000">
      <w:pPr>
        <w:pStyle w:val="Listaconnmeros"/>
        <w:rPr>
          <w:rFonts w:asciiTheme="majorHAnsi" w:hAnsiTheme="majorHAnsi" w:cstheme="majorHAnsi"/>
          <w:sz w:val="22"/>
          <w:lang w:val="es-PE"/>
        </w:rPr>
      </w:pPr>
      <w:r w:rsidRPr="007B01BA">
        <w:rPr>
          <w:rFonts w:asciiTheme="majorHAnsi" w:hAnsiTheme="majorHAnsi" w:cstheme="majorHAnsi"/>
          <w:sz w:val="22"/>
          <w:lang w:val="es-PE"/>
        </w:rPr>
        <w:t>Naupay Hipolo, J. (2026). Informe interno AGROP-10, referido en AGROP-13; consultar el documento original para confirmar los datos aplicables al tomate.</w:t>
      </w:r>
    </w:p>
    <w:sectPr w:rsidR="00E96582" w:rsidRPr="007B01BA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A81A" w14:textId="77777777" w:rsidR="00BB6B7F" w:rsidRDefault="00BB6B7F">
      <w:pPr>
        <w:spacing w:after="0" w:line="240" w:lineRule="auto"/>
      </w:pPr>
      <w:r>
        <w:separator/>
      </w:r>
    </w:p>
  </w:endnote>
  <w:endnote w:type="continuationSeparator" w:id="0">
    <w:p w14:paraId="785C5F39" w14:textId="77777777" w:rsidR="00BB6B7F" w:rsidRDefault="00BB6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622B" w14:textId="3CB20721" w:rsidR="00E96582" w:rsidRPr="00BA396B" w:rsidRDefault="00E96582">
    <w:pPr>
      <w:pStyle w:val="Piedepgina"/>
      <w:jc w:val="center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B501" w14:textId="77777777" w:rsidR="00BB6B7F" w:rsidRDefault="00BB6B7F">
      <w:pPr>
        <w:spacing w:after="0" w:line="240" w:lineRule="auto"/>
      </w:pPr>
      <w:r>
        <w:separator/>
      </w:r>
    </w:p>
  </w:footnote>
  <w:footnote w:type="continuationSeparator" w:id="0">
    <w:p w14:paraId="5BB7B56C" w14:textId="77777777" w:rsidR="00BB6B7F" w:rsidRDefault="00BB6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921886">
    <w:abstractNumId w:val="8"/>
  </w:num>
  <w:num w:numId="2" w16cid:durableId="682055412">
    <w:abstractNumId w:val="6"/>
  </w:num>
  <w:num w:numId="3" w16cid:durableId="204411124">
    <w:abstractNumId w:val="5"/>
  </w:num>
  <w:num w:numId="4" w16cid:durableId="354161002">
    <w:abstractNumId w:val="4"/>
  </w:num>
  <w:num w:numId="5" w16cid:durableId="116609795">
    <w:abstractNumId w:val="7"/>
  </w:num>
  <w:num w:numId="6" w16cid:durableId="1168789402">
    <w:abstractNumId w:val="3"/>
  </w:num>
  <w:num w:numId="7" w16cid:durableId="765420259">
    <w:abstractNumId w:val="2"/>
  </w:num>
  <w:num w:numId="8" w16cid:durableId="1757703181">
    <w:abstractNumId w:val="1"/>
  </w:num>
  <w:num w:numId="9" w16cid:durableId="67773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CD3"/>
    <w:rsid w:val="0029639D"/>
    <w:rsid w:val="00326F90"/>
    <w:rsid w:val="004C17BE"/>
    <w:rsid w:val="007B01BA"/>
    <w:rsid w:val="007F17D1"/>
    <w:rsid w:val="00884E36"/>
    <w:rsid w:val="0088707C"/>
    <w:rsid w:val="0095680C"/>
    <w:rsid w:val="00A34CCA"/>
    <w:rsid w:val="00AA1D8D"/>
    <w:rsid w:val="00B47730"/>
    <w:rsid w:val="00BA396B"/>
    <w:rsid w:val="00BB6B7F"/>
    <w:rsid w:val="00CB0664"/>
    <w:rsid w:val="00E96582"/>
    <w:rsid w:val="00EF2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E0C358"/>
  <w14:defaultImageDpi w14:val="300"/>
  <w15:docId w15:val="{CE815EA2-E7F2-4B12-AFC9-1DE73048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1325</Words>
  <Characters>7289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JOSMELY CRISTINA NAUPAY HIPOLO</cp:lastModifiedBy>
  <cp:revision>4</cp:revision>
  <dcterms:created xsi:type="dcterms:W3CDTF">2026-10-28T21:20:00Z</dcterms:created>
  <dcterms:modified xsi:type="dcterms:W3CDTF">2026-10-28T22:39:00Z</dcterms:modified>
  <cp:category/>
</cp:coreProperties>
</file>