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Pruebas unitarias de HateDetect</w:t>
      </w:r>
    </w:p>
    <w:p>
      <w:r>
        <w:t>Informe de laboratorio adaptado al proyecto en Python</w:t>
      </w:r>
    </w:p>
    <w:p>
      <w:r>
        <w:t>Proyecto: Análisis y clasificación automática del discurso de odio en comunidades de Reddit r/Millennials y r/GenZ.</w:t>
      </w:r>
    </w:p>
    <w:p>
      <w:r>
        <w:t>Presentado por Jeanpierre Amilcar Casimiro Guerra. Universidad Privada del Norte. Fecha de ejecución local: 14 de octubre de 2026.</w:t>
      </w:r>
    </w:p>
    <w:p>
      <w:pPr>
        <w:pStyle w:val="Heading1"/>
      </w:pPr>
      <w:r>
        <w:t>Objetivo y resultado</w:t>
      </w:r>
    </w:p>
    <w:p>
      <w:r>
        <w:t>Verificamos diez comportamientos unitarios de HateDetect mediante pytest. La ejecución inicial aprobó los diez casos. Al introducir un defecto en una copia aislada, una prueba detectó la selección incorrecta del modelo. Después de restaurar esa copia, los diez casos volvieron a aprobarse. Los archivos originales conservaron sus hashes SHA256.</w:t>
      </w:r>
    </w:p>
    <w:p>
      <w:r>
        <w:t>La suite completa registró 84 pruebas, 0 fallos y 0 errores. Esta suite combina pruebas unitarias y otras comprobaciones de integración e interfaz; no se presenta su totalidad como pruebas unitarias.</w:t>
      </w:r>
    </w:p>
    <w:p>
      <w:pPr>
        <w:pStyle w:val="Heading1"/>
      </w:pPr>
      <w:r>
        <w:t>Adaptación de la guía del docente</w:t>
      </w:r>
    </w:p>
    <w:p>
      <w:r>
        <w:t>La guía proporcionada utiliza Java, Maven y JUnit en Apache NetBeans 28 con un sistema de ventas. Este informe aplica sus objetivos de diseño, ejecución, detección de fallos y regresión al sistema real desarrollado en Python. La aceptación de esta equivalencia tecnológica corresponde al docente; no consta su aprobación en este informe.</w:t>
      </w:r>
    </w:p>
    <w:tbl>
      <w:tblPr>
        <w:tblStyle w:val="LightShading-Accent1"/>
        <w:tblW w:type="auto" w:w="0"/>
        <w:tblLook w:firstColumn="1" w:firstRow="1" w:lastColumn="0" w:lastRow="0" w:noHBand="0" w:noVBand="1" w:val="04A0"/>
      </w:tblPr>
      <w:tblGrid>
        <w:gridCol w:w="4874"/>
        <w:gridCol w:w="4874"/>
      </w:tblGrid>
      <w:tr>
        <w:trPr>
          <w:tblHeader/>
        </w:trPr>
        <w:tc>
          <w:tcPr>
            <w:tcW w:type="dxa" w:w="4874"/>
            <w:shd w:fill="E8EDF2"/>
          </w:tcPr>
          <w:p>
            <w:pPr>
              <w:spacing w:after="100"/>
            </w:pPr>
            <w:r>
              <w:rPr>
                <w:b/>
                <w:color w:val="000000"/>
                <w:sz w:val="18"/>
              </w:rPr>
              <w:t>Guía de laboratorio</w:t>
            </w:r>
          </w:p>
        </w:tc>
        <w:tc>
          <w:tcPr>
            <w:tcW w:type="dxa" w:w="4874"/>
            <w:shd w:fill="E8EDF2"/>
          </w:tcPr>
          <w:p>
            <w:pPr>
              <w:spacing w:after="100"/>
            </w:pPr>
            <w:r>
              <w:rPr>
                <w:b/>
                <w:color w:val="000000"/>
                <w:sz w:val="18"/>
              </w:rPr>
              <w:t>Aplicación en HateDetect</w:t>
            </w:r>
          </w:p>
        </w:tc>
      </w:tr>
      <w:tr>
        <w:trPr>
          <w:cantSplit/>
        </w:trPr>
        <w:tc>
          <w:tcPr>
            <w:tcW w:type="dxa" w:w="4874"/>
          </w:tcPr>
          <w:p>
            <w:pPr>
              <w:spacing w:after="100"/>
            </w:pPr>
            <w:r>
              <w:rPr>
                <w:sz w:val="18"/>
              </w:rPr>
              <w:t>Java y lógica de ventas</w:t>
            </w:r>
          </w:p>
        </w:tc>
        <w:tc>
          <w:tcPr>
            <w:tcW w:type="dxa" w:w="4874"/>
          </w:tcPr>
          <w:p>
            <w:pPr>
              <w:spacing w:after="100"/>
            </w:pPr>
            <w:r>
              <w:rPr>
                <w:sz w:val="18"/>
              </w:rPr>
              <w:t>Python y funciones de limpieza y evaluación</w:t>
            </w:r>
          </w:p>
        </w:tc>
      </w:tr>
      <w:tr>
        <w:trPr>
          <w:cantSplit/>
        </w:trPr>
        <w:tc>
          <w:tcPr>
            <w:tcW w:type="dxa" w:w="4874"/>
          </w:tcPr>
          <w:p>
            <w:pPr>
              <w:spacing w:after="100"/>
            </w:pPr>
            <w:r>
              <w:rPr>
                <w:sz w:val="18"/>
              </w:rPr>
              <w:t>JUnit y métodos @Test</w:t>
            </w:r>
          </w:p>
        </w:tc>
        <w:tc>
          <w:tcPr>
            <w:tcW w:type="dxa" w:w="4874"/>
          </w:tcPr>
          <w:p>
            <w:pPr>
              <w:spacing w:after="100"/>
            </w:pPr>
            <w:r>
              <w:rPr>
                <w:sz w:val="18"/>
              </w:rPr>
              <w:t>pytest y diez funciones test_p01 a test_p10</w:t>
            </w:r>
          </w:p>
        </w:tc>
      </w:tr>
      <w:tr>
        <w:trPr>
          <w:cantSplit/>
        </w:trPr>
        <w:tc>
          <w:tcPr>
            <w:tcW w:type="dxa" w:w="4874"/>
          </w:tcPr>
          <w:p>
            <w:pPr>
              <w:spacing w:after="100"/>
            </w:pPr>
            <w:r>
              <w:rPr>
                <w:sz w:val="18"/>
              </w:rPr>
              <w:t>assertEquals y assertThrows</w:t>
            </w:r>
          </w:p>
        </w:tc>
        <w:tc>
          <w:tcPr>
            <w:tcW w:type="dxa" w:w="4874"/>
          </w:tcPr>
          <w:p>
            <w:pPr>
              <w:spacing w:after="100"/>
            </w:pPr>
            <w:r>
              <w:rPr>
                <w:sz w:val="18"/>
              </w:rPr>
              <w:t>assert, pytest.approx y pytest.raises</w:t>
            </w:r>
          </w:p>
        </w:tc>
      </w:tr>
      <w:tr>
        <w:trPr>
          <w:cantSplit/>
        </w:trPr>
        <w:tc>
          <w:tcPr>
            <w:tcW w:type="dxa" w:w="4874"/>
          </w:tcPr>
          <w:p>
            <w:pPr>
              <w:spacing w:after="100"/>
            </w:pPr>
            <w:r>
              <w:rPr>
                <w:sz w:val="18"/>
              </w:rPr>
              <w:t>Maven Surefire y reportes XML</w:t>
            </w:r>
          </w:p>
        </w:tc>
        <w:tc>
          <w:tcPr>
            <w:tcW w:type="dxa" w:w="4874"/>
          </w:tcPr>
          <w:p>
            <w:pPr>
              <w:spacing w:after="100"/>
            </w:pPr>
            <w:r>
              <w:rPr>
                <w:sz w:val="18"/>
              </w:rPr>
              <w:t>pytest con --junitxml y registros TXT</w:t>
            </w:r>
          </w:p>
        </w:tc>
      </w:tr>
      <w:tr>
        <w:trPr>
          <w:cantSplit/>
        </w:trPr>
        <w:tc>
          <w:tcPr>
            <w:tcW w:type="dxa" w:w="4874"/>
          </w:tcPr>
          <w:p>
            <w:pPr>
              <w:spacing w:after="100"/>
            </w:pPr>
            <w:r>
              <w:rPr>
                <w:sz w:val="18"/>
              </w:rPr>
              <w:t>Defecto en el cálculo de IGV</w:t>
            </w:r>
          </w:p>
        </w:tc>
        <w:tc>
          <w:tcPr>
            <w:tcW w:type="dxa" w:w="4874"/>
          </w:tcPr>
          <w:p>
            <w:pPr>
              <w:spacing w:after="100"/>
            </w:pPr>
            <w:r>
              <w:rPr>
                <w:sz w:val="18"/>
              </w:rPr>
              <w:t>Mutación max a min en select_model</w:t>
            </w:r>
          </w:p>
        </w:tc>
      </w:tr>
    </w:tbl>
    <w:p>
      <w:pPr>
        <w:pStyle w:val="Heading1"/>
      </w:pPr>
      <w:r>
        <w:t>Alcance de las pruebas</w:t>
      </w:r>
    </w:p>
    <w:p>
      <w:r>
        <w:t>Los casos invocan funciones directamente, sin abrir Streamlit, conectar con Reddit ni acceder a una base de datos. Cubren resultados normales, entradas límite, excepciones y una métrica numérica. No miden carga concurrente ni la exactitud del clasificador sobre un corpus real.</w:t>
      </w:r>
    </w:p>
    <w:p>
      <w:r>
        <w:br w:type="page"/>
      </w:r>
    </w:p>
    <w:p>
      <w:pPr>
        <w:pStyle w:val="Heading1"/>
      </w:pPr>
      <w:r>
        <w:t>Matriz de diez casos unitarios</w:t>
      </w:r>
    </w:p>
    <w:p>
      <w:r>
        <w:t>Las entradas, resultados esperados y observados proceden de las propiedades del reporte XML de la ejecución final. La matriz completa también se entrega en CSV. Cadena vacía se representa como ''.</w:t>
      </w:r>
    </w:p>
    <w:tbl>
      <w:tblPr>
        <w:tblStyle w:val="LightShading-Accent1"/>
        <w:tblW w:type="auto" w:w="0"/>
        <w:tblLook w:firstColumn="1" w:firstRow="1" w:lastColumn="0" w:lastRow="0" w:noHBand="0" w:noVBand="1" w:val="04A0"/>
      </w:tblPr>
      <w:tblGrid>
        <w:gridCol w:w="1950"/>
        <w:gridCol w:w="1950"/>
        <w:gridCol w:w="1950"/>
        <w:gridCol w:w="1950"/>
        <w:gridCol w:w="1950"/>
      </w:tblGrid>
      <w:tr>
        <w:trPr>
          <w:tblHeader/>
        </w:trPr>
        <w:tc>
          <w:tcPr>
            <w:tcW w:type="dxa" w:w="1950"/>
            <w:shd w:fill="E8EDF2"/>
          </w:tcPr>
          <w:p>
            <w:pPr>
              <w:spacing w:after="100"/>
            </w:pPr>
            <w:r>
              <w:rPr>
                <w:b/>
                <w:color w:val="000000"/>
                <w:sz w:val="18"/>
              </w:rPr>
              <w:t>Caso</w:t>
            </w:r>
          </w:p>
        </w:tc>
        <w:tc>
          <w:tcPr>
            <w:tcW w:type="dxa" w:w="1950"/>
            <w:shd w:fill="E8EDF2"/>
          </w:tcPr>
          <w:p>
            <w:pPr>
              <w:spacing w:after="100"/>
            </w:pPr>
            <w:r>
              <w:rPr>
                <w:b/>
                <w:color w:val="000000"/>
                <w:sz w:val="18"/>
              </w:rPr>
              <w:t>Entrada</w:t>
            </w:r>
          </w:p>
        </w:tc>
        <w:tc>
          <w:tcPr>
            <w:tcW w:type="dxa" w:w="1950"/>
            <w:shd w:fill="E8EDF2"/>
          </w:tcPr>
          <w:p>
            <w:pPr>
              <w:spacing w:after="100"/>
            </w:pPr>
            <w:r>
              <w:rPr>
                <w:b/>
                <w:color w:val="000000"/>
                <w:sz w:val="18"/>
              </w:rPr>
              <w:t>Esperado</w:t>
            </w:r>
          </w:p>
        </w:tc>
        <w:tc>
          <w:tcPr>
            <w:tcW w:type="dxa" w:w="1950"/>
            <w:shd w:fill="E8EDF2"/>
          </w:tcPr>
          <w:p>
            <w:pPr>
              <w:spacing w:after="100"/>
            </w:pPr>
            <w:r>
              <w:rPr>
                <w:b/>
                <w:color w:val="000000"/>
                <w:sz w:val="18"/>
              </w:rPr>
              <w:t>Observado</w:t>
            </w:r>
          </w:p>
        </w:tc>
        <w:tc>
          <w:tcPr>
            <w:tcW w:type="dxa" w:w="1950"/>
            <w:shd w:fill="E8EDF2"/>
          </w:tcPr>
          <w:p>
            <w:pPr>
              <w:spacing w:after="100"/>
            </w:pPr>
            <w:r>
              <w:rPr>
                <w:b/>
                <w:color w:val="000000"/>
                <w:sz w:val="18"/>
              </w:rPr>
              <w:t>Estado</w:t>
            </w:r>
          </w:p>
        </w:tc>
      </w:tr>
      <w:tr>
        <w:trPr>
          <w:cantSplit/>
        </w:trPr>
        <w:tc>
          <w:tcPr>
            <w:tcW w:type="dxa" w:w="1950"/>
          </w:tcPr>
          <w:p>
            <w:pPr>
              <w:spacing w:after="100"/>
            </w:pPr>
            <w:r>
              <w:rPr>
                <w:sz w:val="18"/>
              </w:rPr>
              <w:t>P01</w:t>
            </w:r>
          </w:p>
        </w:tc>
        <w:tc>
          <w:tcPr>
            <w:tcW w:type="dxa" w:w="1950"/>
          </w:tcPr>
          <w:p>
            <w:pPr>
              <w:spacing w:after="100"/>
            </w:pPr>
            <w:r>
              <w:rPr>
                <w:sz w:val="18"/>
              </w:rPr>
              <w:t xml:space="preserve">  Hola\n  mundo  </w:t>
            </w:r>
          </w:p>
        </w:tc>
        <w:tc>
          <w:tcPr>
            <w:tcW w:type="dxa" w:w="1950"/>
          </w:tcPr>
          <w:p>
            <w:pPr>
              <w:spacing w:after="100"/>
            </w:pPr>
            <w:r>
              <w:rPr>
                <w:sz w:val="18"/>
              </w:rPr>
              <w:t>Hola mundo</w:t>
            </w:r>
          </w:p>
        </w:tc>
        <w:tc>
          <w:tcPr>
            <w:tcW w:type="dxa" w:w="1950"/>
          </w:tcPr>
          <w:p>
            <w:pPr>
              <w:spacing w:after="100"/>
            </w:pPr>
            <w:r>
              <w:rPr>
                <w:sz w:val="18"/>
              </w:rPr>
              <w:t>Hola mundo</w:t>
            </w:r>
          </w:p>
        </w:tc>
        <w:tc>
          <w:tcPr>
            <w:tcW w:type="dxa" w:w="1950"/>
          </w:tcPr>
          <w:p>
            <w:pPr>
              <w:spacing w:after="100"/>
            </w:pPr>
            <w:r>
              <w:rPr>
                <w:sz w:val="18"/>
              </w:rPr>
              <w:t>PASÓ</w:t>
            </w:r>
          </w:p>
        </w:tc>
      </w:tr>
      <w:tr>
        <w:trPr>
          <w:cantSplit/>
        </w:trPr>
        <w:tc>
          <w:tcPr>
            <w:tcW w:type="dxa" w:w="1950"/>
          </w:tcPr>
          <w:p>
            <w:pPr>
              <w:spacing w:after="100"/>
            </w:pPr>
            <w:r>
              <w:rPr>
                <w:sz w:val="18"/>
              </w:rPr>
              <w:t>P02</w:t>
            </w:r>
          </w:p>
        </w:tc>
        <w:tc>
          <w:tcPr>
            <w:tcW w:type="dxa" w:w="1950"/>
          </w:tcPr>
          <w:p>
            <w:pPr>
              <w:spacing w:after="100"/>
            </w:pPr>
            <w:r>
              <w:rPr>
                <w:sz w:val="18"/>
              </w:rPr>
              <w:t>Escribe a persona@example.com</w:t>
            </w:r>
          </w:p>
        </w:tc>
        <w:tc>
          <w:tcPr>
            <w:tcW w:type="dxa" w:w="1950"/>
          </w:tcPr>
          <w:p>
            <w:pPr>
              <w:spacing w:after="100"/>
            </w:pPr>
            <w:r>
              <w:rPr>
                <w:sz w:val="18"/>
              </w:rPr>
              <w:t>Escribe a [EMAIL]</w:t>
            </w:r>
          </w:p>
        </w:tc>
        <w:tc>
          <w:tcPr>
            <w:tcW w:type="dxa" w:w="1950"/>
          </w:tcPr>
          <w:p>
            <w:pPr>
              <w:spacing w:after="100"/>
            </w:pPr>
            <w:r>
              <w:rPr>
                <w:sz w:val="18"/>
              </w:rPr>
              <w:t>Escribe a [EMAIL]</w:t>
            </w:r>
          </w:p>
        </w:tc>
        <w:tc>
          <w:tcPr>
            <w:tcW w:type="dxa" w:w="1950"/>
          </w:tcPr>
          <w:p>
            <w:pPr>
              <w:spacing w:after="100"/>
            </w:pPr>
            <w:r>
              <w:rPr>
                <w:sz w:val="18"/>
              </w:rPr>
              <w:t>PASÓ</w:t>
            </w:r>
          </w:p>
        </w:tc>
      </w:tr>
      <w:tr>
        <w:trPr>
          <w:cantSplit/>
        </w:trPr>
        <w:tc>
          <w:tcPr>
            <w:tcW w:type="dxa" w:w="1950"/>
          </w:tcPr>
          <w:p>
            <w:pPr>
              <w:spacing w:after="100"/>
            </w:pPr>
            <w:r>
              <w:rPr>
                <w:sz w:val="18"/>
              </w:rPr>
              <w:t>P03</w:t>
            </w:r>
          </w:p>
        </w:tc>
        <w:tc>
          <w:tcPr>
            <w:tcW w:type="dxa" w:w="1950"/>
          </w:tcPr>
          <w:p>
            <w:pPr>
              <w:spacing w:after="100"/>
            </w:pPr>
            <w:r>
              <w:rPr>
                <w:sz w:val="18"/>
              </w:rPr>
              <w:t>No odio a nadie. Qué alegría.</w:t>
            </w:r>
          </w:p>
        </w:tc>
        <w:tc>
          <w:tcPr>
            <w:tcW w:type="dxa" w:w="1950"/>
          </w:tcPr>
          <w:p>
            <w:pPr>
              <w:spacing w:after="100"/>
            </w:pPr>
            <w:r>
              <w:rPr>
                <w:sz w:val="18"/>
              </w:rPr>
              <w:t>No odio a nadie. Qué alegría.</w:t>
            </w:r>
          </w:p>
        </w:tc>
        <w:tc>
          <w:tcPr>
            <w:tcW w:type="dxa" w:w="1950"/>
          </w:tcPr>
          <w:p>
            <w:pPr>
              <w:spacing w:after="100"/>
            </w:pPr>
            <w:r>
              <w:rPr>
                <w:sz w:val="18"/>
              </w:rPr>
              <w:t>No odio a nadie. Qué alegría.</w:t>
            </w:r>
          </w:p>
        </w:tc>
        <w:tc>
          <w:tcPr>
            <w:tcW w:type="dxa" w:w="1950"/>
          </w:tcPr>
          <w:p>
            <w:pPr>
              <w:spacing w:after="100"/>
            </w:pPr>
            <w:r>
              <w:rPr>
                <w:sz w:val="18"/>
              </w:rPr>
              <w:t>PASÓ</w:t>
            </w:r>
          </w:p>
        </w:tc>
      </w:tr>
      <w:tr>
        <w:trPr>
          <w:cantSplit/>
        </w:trPr>
        <w:tc>
          <w:tcPr>
            <w:tcW w:type="dxa" w:w="1950"/>
          </w:tcPr>
          <w:p>
            <w:pPr>
              <w:spacing w:after="100"/>
            </w:pPr>
            <w:r>
              <w:rPr>
                <w:sz w:val="18"/>
              </w:rPr>
              <w:t>P04</w:t>
            </w:r>
          </w:p>
        </w:tc>
        <w:tc>
          <w:tcPr>
            <w:tcW w:type="dxa" w:w="1950"/>
          </w:tcPr>
          <w:p>
            <w:pPr>
              <w:spacing w:after="100"/>
            </w:pPr>
            <w:r>
              <w:rPr>
                <w:sz w:val="18"/>
              </w:rPr>
              <w:t>None</w:t>
            </w:r>
          </w:p>
        </w:tc>
        <w:tc>
          <w:tcPr>
            <w:tcW w:type="dxa" w:w="1950"/>
          </w:tcPr>
          <w:p>
            <w:pPr>
              <w:spacing w:after="100"/>
            </w:pPr>
            <w:r>
              <w:rPr>
                <w:sz w:val="18"/>
              </w:rPr>
              <w:t>''</w:t>
            </w:r>
          </w:p>
        </w:tc>
        <w:tc>
          <w:tcPr>
            <w:tcW w:type="dxa" w:w="1950"/>
          </w:tcPr>
          <w:p>
            <w:pPr>
              <w:spacing w:after="100"/>
            </w:pPr>
            <w:r>
              <w:rPr>
                <w:sz w:val="18"/>
              </w:rPr>
              <w:t>''</w:t>
            </w:r>
          </w:p>
        </w:tc>
        <w:tc>
          <w:tcPr>
            <w:tcW w:type="dxa" w:w="1950"/>
          </w:tcPr>
          <w:p>
            <w:pPr>
              <w:spacing w:after="100"/>
            </w:pPr>
            <w:r>
              <w:rPr>
                <w:sz w:val="18"/>
              </w:rPr>
              <w:t>PASÓ</w:t>
            </w:r>
          </w:p>
        </w:tc>
      </w:tr>
      <w:tr>
        <w:trPr>
          <w:cantSplit/>
        </w:trPr>
        <w:tc>
          <w:tcPr>
            <w:tcW w:type="dxa" w:w="1950"/>
          </w:tcPr>
          <w:p>
            <w:pPr>
              <w:spacing w:after="100"/>
            </w:pPr>
            <w:r>
              <w:rPr>
                <w:sz w:val="18"/>
              </w:rPr>
              <w:t>P05</w:t>
            </w:r>
          </w:p>
        </w:tc>
        <w:tc>
          <w:tcPr>
            <w:tcW w:type="dxa" w:w="1950"/>
          </w:tcPr>
          <w:p>
            <w:pPr>
              <w:spacing w:after="100"/>
            </w:pPr>
            <w:r>
              <w:rPr>
                <w:sz w:val="18"/>
              </w:rPr>
              <w:t>''</w:t>
            </w:r>
          </w:p>
        </w:tc>
        <w:tc>
          <w:tcPr>
            <w:tcW w:type="dxa" w:w="1950"/>
          </w:tcPr>
          <w:p>
            <w:pPr>
              <w:spacing w:after="100"/>
            </w:pPr>
            <w:r>
              <w:rPr>
                <w:sz w:val="18"/>
              </w:rPr>
              <w:t>''</w:t>
            </w:r>
          </w:p>
        </w:tc>
        <w:tc>
          <w:tcPr>
            <w:tcW w:type="dxa" w:w="1950"/>
          </w:tcPr>
          <w:p>
            <w:pPr>
              <w:spacing w:after="100"/>
            </w:pPr>
            <w:r>
              <w:rPr>
                <w:sz w:val="18"/>
              </w:rPr>
              <w:t>''</w:t>
            </w:r>
          </w:p>
        </w:tc>
        <w:tc>
          <w:tcPr>
            <w:tcW w:type="dxa" w:w="1950"/>
          </w:tcPr>
          <w:p>
            <w:pPr>
              <w:spacing w:after="100"/>
            </w:pPr>
            <w:r>
              <w:rPr>
                <w:sz w:val="18"/>
              </w:rPr>
              <w:t>PASÓ</w:t>
            </w:r>
          </w:p>
        </w:tc>
      </w:tr>
      <w:tr>
        <w:trPr>
          <w:cantSplit/>
        </w:trPr>
        <w:tc>
          <w:tcPr>
            <w:tcW w:type="dxa" w:w="1950"/>
          </w:tcPr>
          <w:p>
            <w:pPr>
              <w:spacing w:after="100"/>
            </w:pPr>
            <w:r>
              <w:rPr>
                <w:sz w:val="18"/>
              </w:rPr>
              <w:t>P06</w:t>
            </w:r>
          </w:p>
        </w:tc>
        <w:tc>
          <w:tcPr>
            <w:tcW w:type="dxa" w:w="1950"/>
          </w:tcPr>
          <w:p>
            <w:pPr>
              <w:spacing w:after="100"/>
            </w:pPr>
            <w:r>
              <w:rPr>
                <w:sz w:val="18"/>
              </w:rPr>
              <w:t>{'modelo_a': 0.8, 'modelo_b': 0.3}</w:t>
            </w:r>
          </w:p>
        </w:tc>
        <w:tc>
          <w:tcPr>
            <w:tcW w:type="dxa" w:w="1950"/>
          </w:tcPr>
          <w:p>
            <w:pPr>
              <w:spacing w:after="100"/>
            </w:pPr>
            <w:r>
              <w:rPr>
                <w:sz w:val="18"/>
              </w:rPr>
              <w:t>modelo_a</w:t>
            </w:r>
          </w:p>
        </w:tc>
        <w:tc>
          <w:tcPr>
            <w:tcW w:type="dxa" w:w="1950"/>
          </w:tcPr>
          <w:p>
            <w:pPr>
              <w:spacing w:after="100"/>
            </w:pPr>
            <w:r>
              <w:rPr>
                <w:sz w:val="18"/>
              </w:rPr>
              <w:t>modelo_a</w:t>
            </w:r>
          </w:p>
        </w:tc>
        <w:tc>
          <w:tcPr>
            <w:tcW w:type="dxa" w:w="1950"/>
          </w:tcPr>
          <w:p>
            <w:pPr>
              <w:spacing w:after="100"/>
            </w:pPr>
            <w:r>
              <w:rPr>
                <w:sz w:val="18"/>
              </w:rPr>
              <w:t>PASÓ</w:t>
            </w:r>
          </w:p>
        </w:tc>
      </w:tr>
      <w:tr>
        <w:trPr>
          <w:cantSplit/>
        </w:trPr>
        <w:tc>
          <w:tcPr>
            <w:tcW w:type="dxa" w:w="1950"/>
          </w:tcPr>
          <w:p>
            <w:pPr>
              <w:spacing w:after="100"/>
            </w:pPr>
            <w:r>
              <w:rPr>
                <w:sz w:val="18"/>
              </w:rPr>
              <w:t>P07</w:t>
            </w:r>
          </w:p>
        </w:tc>
        <w:tc>
          <w:tcPr>
            <w:tcW w:type="dxa" w:w="1950"/>
          </w:tcPr>
          <w:p>
            <w:pPr>
              <w:spacing w:after="100"/>
            </w:pPr>
            <w:r>
              <w:rPr>
                <w:sz w:val="18"/>
              </w:rPr>
              <w:t>{}</w:t>
            </w:r>
          </w:p>
        </w:tc>
        <w:tc>
          <w:tcPr>
            <w:tcW w:type="dxa" w:w="1950"/>
          </w:tcPr>
          <w:p>
            <w:pPr>
              <w:spacing w:after="100"/>
            </w:pPr>
            <w:r>
              <w:rPr>
                <w:sz w:val="18"/>
              </w:rPr>
              <w:t>ValueError</w:t>
            </w:r>
          </w:p>
        </w:tc>
        <w:tc>
          <w:tcPr>
            <w:tcW w:type="dxa" w:w="1950"/>
          </w:tcPr>
          <w:p>
            <w:pPr>
              <w:spacing w:after="100"/>
            </w:pPr>
            <w:r>
              <w:rPr>
                <w:sz w:val="18"/>
              </w:rPr>
              <w:t>ValueError</w:t>
            </w:r>
          </w:p>
        </w:tc>
        <w:tc>
          <w:tcPr>
            <w:tcW w:type="dxa" w:w="1950"/>
          </w:tcPr>
          <w:p>
            <w:pPr>
              <w:spacing w:after="100"/>
            </w:pPr>
            <w:r>
              <w:rPr>
                <w:sz w:val="18"/>
              </w:rPr>
              <w:t>PASÓ</w:t>
            </w:r>
          </w:p>
        </w:tc>
      </w:tr>
      <w:tr>
        <w:trPr>
          <w:cantSplit/>
        </w:trPr>
        <w:tc>
          <w:tcPr>
            <w:tcW w:type="dxa" w:w="1950"/>
          </w:tcPr>
          <w:p>
            <w:pPr>
              <w:spacing w:after="100"/>
            </w:pPr>
            <w:r>
              <w:rPr>
                <w:sz w:val="18"/>
              </w:rPr>
              <w:t>P08</w:t>
            </w:r>
          </w:p>
        </w:tc>
        <w:tc>
          <w:tcPr>
            <w:tcW w:type="dxa" w:w="1950"/>
          </w:tcPr>
          <w:p>
            <w:pPr>
              <w:spacing w:after="100"/>
            </w:pPr>
            <w:r>
              <w:rPr>
                <w:sz w:val="18"/>
              </w:rPr>
              <w:t>modelo_a: NaN</w:t>
            </w:r>
          </w:p>
        </w:tc>
        <w:tc>
          <w:tcPr>
            <w:tcW w:type="dxa" w:w="1950"/>
          </w:tcPr>
          <w:p>
            <w:pPr>
              <w:spacing w:after="100"/>
            </w:pPr>
            <w:r>
              <w:rPr>
                <w:sz w:val="18"/>
              </w:rPr>
              <w:t>ValueError</w:t>
            </w:r>
          </w:p>
        </w:tc>
        <w:tc>
          <w:tcPr>
            <w:tcW w:type="dxa" w:w="1950"/>
          </w:tcPr>
          <w:p>
            <w:pPr>
              <w:spacing w:after="100"/>
            </w:pPr>
            <w:r>
              <w:rPr>
                <w:sz w:val="18"/>
              </w:rPr>
              <w:t>ValueError</w:t>
            </w:r>
          </w:p>
        </w:tc>
        <w:tc>
          <w:tcPr>
            <w:tcW w:type="dxa" w:w="1950"/>
          </w:tcPr>
          <w:p>
            <w:pPr>
              <w:spacing w:after="100"/>
            </w:pPr>
            <w:r>
              <w:rPr>
                <w:sz w:val="18"/>
              </w:rPr>
              <w:t>PASÓ</w:t>
            </w:r>
          </w:p>
        </w:tc>
      </w:tr>
      <w:tr>
        <w:trPr>
          <w:cantSplit/>
        </w:trPr>
        <w:tc>
          <w:tcPr>
            <w:tcW w:type="dxa" w:w="1950"/>
          </w:tcPr>
          <w:p>
            <w:pPr>
              <w:spacing w:after="100"/>
            </w:pPr>
            <w:r>
              <w:rPr>
                <w:sz w:val="18"/>
              </w:rPr>
              <w:t>P09</w:t>
            </w:r>
          </w:p>
        </w:tc>
        <w:tc>
          <w:tcPr>
            <w:tcW w:type="dxa" w:w="1950"/>
          </w:tcPr>
          <w:p>
            <w:pPr>
              <w:spacing w:after="100"/>
            </w:pPr>
            <w:r>
              <w:rPr>
                <w:sz w:val="18"/>
              </w:rPr>
              <w:t>Real: Odio,Odio,Neutro; predicho: Odio,Neutro,Odio</w:t>
            </w:r>
          </w:p>
        </w:tc>
        <w:tc>
          <w:tcPr>
            <w:tcW w:type="dxa" w:w="1950"/>
          </w:tcPr>
          <w:p>
            <w:pPr>
              <w:spacing w:after="100"/>
            </w:pPr>
            <w:r>
              <w:rPr>
                <w:sz w:val="18"/>
              </w:rPr>
              <w:t>0.5</w:t>
            </w:r>
          </w:p>
        </w:tc>
        <w:tc>
          <w:tcPr>
            <w:tcW w:type="dxa" w:w="1950"/>
          </w:tcPr>
          <w:p>
            <w:pPr>
              <w:spacing w:after="100"/>
            </w:pPr>
            <w:r>
              <w:rPr>
                <w:sz w:val="18"/>
              </w:rPr>
              <w:t>0.5</w:t>
            </w:r>
          </w:p>
        </w:tc>
        <w:tc>
          <w:tcPr>
            <w:tcW w:type="dxa" w:w="1950"/>
          </w:tcPr>
          <w:p>
            <w:pPr>
              <w:spacing w:after="100"/>
            </w:pPr>
            <w:r>
              <w:rPr>
                <w:sz w:val="18"/>
              </w:rPr>
              <w:t>PASÓ</w:t>
            </w:r>
          </w:p>
        </w:tc>
      </w:tr>
      <w:tr>
        <w:trPr>
          <w:cantSplit/>
        </w:trPr>
        <w:tc>
          <w:tcPr>
            <w:tcW w:type="dxa" w:w="1950"/>
          </w:tcPr>
          <w:p>
            <w:pPr>
              <w:spacing w:after="100"/>
            </w:pPr>
            <w:r>
              <w:rPr>
                <w:sz w:val="18"/>
              </w:rPr>
              <w:t>P10</w:t>
            </w:r>
          </w:p>
        </w:tc>
        <w:tc>
          <w:tcPr>
            <w:tcW w:type="dxa" w:w="1950"/>
          </w:tcPr>
          <w:p>
            <w:pPr>
              <w:spacing w:after="100"/>
            </w:pPr>
            <w:r>
              <w:rPr>
                <w:sz w:val="18"/>
              </w:rPr>
              <w:t>Real: Neutro; predicho: Neutro; FNR de Odio</w:t>
            </w:r>
          </w:p>
        </w:tc>
        <w:tc>
          <w:tcPr>
            <w:tcW w:type="dxa" w:w="1950"/>
          </w:tcPr>
          <w:p>
            <w:pPr>
              <w:spacing w:after="100"/>
            </w:pPr>
            <w:r>
              <w:rPr>
                <w:sz w:val="18"/>
              </w:rPr>
              <w:t>None</w:t>
            </w:r>
          </w:p>
        </w:tc>
        <w:tc>
          <w:tcPr>
            <w:tcW w:type="dxa" w:w="1950"/>
          </w:tcPr>
          <w:p>
            <w:pPr>
              <w:spacing w:after="100"/>
            </w:pPr>
            <w:r>
              <w:rPr>
                <w:sz w:val="18"/>
              </w:rPr>
              <w:t>None</w:t>
            </w:r>
          </w:p>
        </w:tc>
        <w:tc>
          <w:tcPr>
            <w:tcW w:type="dxa" w:w="1950"/>
          </w:tcPr>
          <w:p>
            <w:pPr>
              <w:spacing w:after="100"/>
            </w:pPr>
            <w:r>
              <w:rPr>
                <w:sz w:val="18"/>
              </w:rPr>
              <w:t>PASÓ</w:t>
            </w:r>
          </w:p>
        </w:tc>
      </w:tr>
    </w:tbl>
    <w:p>
      <w:pPr>
        <w:pStyle w:val="Heading1"/>
      </w:pPr>
      <w:r>
        <w:t>Criterios de comprobación</w:t>
      </w:r>
    </w:p>
    <w:p>
      <w:r>
        <w:t>P01 a P05 verifican la limpieza y conservación del texto, incluido el ocultamiento de un correo ficticio. P06 exige seleccionar la puntuación de validación más alta. P07 y P08 comprueban que las entradas inválidas generen ValueError.</w:t>
      </w:r>
    </w:p>
    <w:p>
      <w:r>
        <w:t>P09 verifica FNR = FN / (TP + FN): un falso negativo entre dos ejemplos reales de Odio produce 0,5. Utiliza pytest.approx con tolerancia absoluta de 10⁻⁹. P10 comprueba que, sin ejemplos reales de Odio, su FNR sea None y no un cero que sugiera desempeño perfecto.</w:t>
      </w:r>
    </w:p>
    <w:p>
      <w:r>
        <w:t>P10 genera una advertencia de scikit-learn por trabajar con una sola clase. La ejecución registra esa advertencia y la prueba pasa; no se oculta ni se confunde con un error.</w:t>
      </w:r>
    </w:p>
    <w:p>
      <w:r>
        <w:br w:type="page"/>
      </w:r>
    </w:p>
    <w:p>
      <w:pPr>
        <w:pStyle w:val="Heading1"/>
      </w:pPr>
      <w:r>
        <w:t>Demostración del fallo y la corrección</w:t>
      </w:r>
    </w:p>
    <w:tbl>
      <w:tblPr>
        <w:tblStyle w:val="LightShading-Accent1"/>
        <w:tblW w:type="auto" w:w="0"/>
        <w:tblLook w:firstColumn="1" w:firstRow="1" w:lastColumn="0" w:lastRow="0" w:noHBand="0" w:noVBand="1" w:val="04A0"/>
      </w:tblPr>
      <w:tblGrid>
        <w:gridCol w:w="2437"/>
        <w:gridCol w:w="2437"/>
        <w:gridCol w:w="2437"/>
        <w:gridCol w:w="2437"/>
      </w:tblGrid>
      <w:tr>
        <w:trPr>
          <w:tblHeader/>
        </w:trPr>
        <w:tc>
          <w:tcPr>
            <w:tcW w:type="dxa" w:w="2437"/>
            <w:shd w:fill="E8EDF2"/>
          </w:tcPr>
          <w:p>
            <w:pPr>
              <w:spacing w:after="100"/>
            </w:pPr>
            <w:r>
              <w:rPr>
                <w:b/>
                <w:color w:val="000000"/>
                <w:sz w:val="18"/>
              </w:rPr>
              <w:t>Ejecución</w:t>
            </w:r>
          </w:p>
        </w:tc>
        <w:tc>
          <w:tcPr>
            <w:tcW w:type="dxa" w:w="2437"/>
            <w:shd w:fill="E8EDF2"/>
          </w:tcPr>
          <w:p>
            <w:pPr>
              <w:spacing w:after="100"/>
            </w:pPr>
            <w:r>
              <w:rPr>
                <w:b/>
                <w:color w:val="000000"/>
                <w:sz w:val="18"/>
              </w:rPr>
              <w:t>Aprobadas</w:t>
            </w:r>
          </w:p>
        </w:tc>
        <w:tc>
          <w:tcPr>
            <w:tcW w:type="dxa" w:w="2437"/>
            <w:shd w:fill="E8EDF2"/>
          </w:tcPr>
          <w:p>
            <w:pPr>
              <w:spacing w:after="100"/>
            </w:pPr>
            <w:r>
              <w:rPr>
                <w:b/>
                <w:color w:val="000000"/>
                <w:sz w:val="18"/>
              </w:rPr>
              <w:t>Fallidas</w:t>
            </w:r>
          </w:p>
        </w:tc>
        <w:tc>
          <w:tcPr>
            <w:tcW w:type="dxa" w:w="2437"/>
            <w:shd w:fill="E8EDF2"/>
          </w:tcPr>
          <w:p>
            <w:pPr>
              <w:spacing w:after="100"/>
            </w:pPr>
            <w:r>
              <w:rPr>
                <w:b/>
                <w:color w:val="000000"/>
                <w:sz w:val="18"/>
              </w:rPr>
              <w:t>Salida</w:t>
            </w:r>
          </w:p>
        </w:tc>
      </w:tr>
      <w:tr>
        <w:trPr>
          <w:cantSplit/>
        </w:trPr>
        <w:tc>
          <w:tcPr>
            <w:tcW w:type="dxa" w:w="2437"/>
          </w:tcPr>
          <w:p>
            <w:pPr>
              <w:spacing w:after="100"/>
            </w:pPr>
            <w:r>
              <w:rPr>
                <w:sz w:val="18"/>
              </w:rPr>
              <w:t>01_correcto</w:t>
            </w:r>
          </w:p>
        </w:tc>
        <w:tc>
          <w:tcPr>
            <w:tcW w:type="dxa" w:w="2437"/>
          </w:tcPr>
          <w:p>
            <w:pPr>
              <w:spacing w:after="100"/>
            </w:pPr>
            <w:r>
              <w:rPr>
                <w:sz w:val="18"/>
              </w:rPr>
              <w:t>10</w:t>
            </w:r>
          </w:p>
        </w:tc>
        <w:tc>
          <w:tcPr>
            <w:tcW w:type="dxa" w:w="2437"/>
          </w:tcPr>
          <w:p>
            <w:pPr>
              <w:spacing w:after="100"/>
            </w:pPr>
            <w:r>
              <w:rPr>
                <w:sz w:val="18"/>
              </w:rPr>
              <w:t>0</w:t>
            </w:r>
          </w:p>
        </w:tc>
        <w:tc>
          <w:tcPr>
            <w:tcW w:type="dxa" w:w="2437"/>
          </w:tcPr>
          <w:p>
            <w:pPr>
              <w:spacing w:after="100"/>
            </w:pPr>
            <w:r>
              <w:rPr>
                <w:sz w:val="18"/>
              </w:rPr>
              <w:t>0</w:t>
            </w:r>
          </w:p>
        </w:tc>
      </w:tr>
      <w:tr>
        <w:trPr>
          <w:cantSplit/>
        </w:trPr>
        <w:tc>
          <w:tcPr>
            <w:tcW w:type="dxa" w:w="2437"/>
          </w:tcPr>
          <w:p>
            <w:pPr>
              <w:spacing w:after="100"/>
            </w:pPr>
            <w:r>
              <w:rPr>
                <w:sz w:val="18"/>
              </w:rPr>
              <w:t>02_fallo_controlado</w:t>
            </w:r>
          </w:p>
        </w:tc>
        <w:tc>
          <w:tcPr>
            <w:tcW w:type="dxa" w:w="2437"/>
          </w:tcPr>
          <w:p>
            <w:pPr>
              <w:spacing w:after="100"/>
            </w:pPr>
            <w:r>
              <w:rPr>
                <w:sz w:val="18"/>
              </w:rPr>
              <w:t>9</w:t>
            </w:r>
          </w:p>
        </w:tc>
        <w:tc>
          <w:tcPr>
            <w:tcW w:type="dxa" w:w="2437"/>
          </w:tcPr>
          <w:p>
            <w:pPr>
              <w:spacing w:after="100"/>
            </w:pPr>
            <w:r>
              <w:rPr>
                <w:sz w:val="18"/>
              </w:rPr>
              <w:t>1</w:t>
            </w:r>
          </w:p>
        </w:tc>
        <w:tc>
          <w:tcPr>
            <w:tcW w:type="dxa" w:w="2437"/>
          </w:tcPr>
          <w:p>
            <w:pPr>
              <w:spacing w:after="100"/>
            </w:pPr>
            <w:r>
              <w:rPr>
                <w:sz w:val="18"/>
              </w:rPr>
              <w:t>1</w:t>
            </w:r>
          </w:p>
        </w:tc>
      </w:tr>
      <w:tr>
        <w:trPr>
          <w:cantSplit/>
        </w:trPr>
        <w:tc>
          <w:tcPr>
            <w:tcW w:type="dxa" w:w="2437"/>
          </w:tcPr>
          <w:p>
            <w:pPr>
              <w:spacing w:after="100"/>
            </w:pPr>
            <w:r>
              <w:rPr>
                <w:sz w:val="18"/>
              </w:rPr>
              <w:t>03_restaurado</w:t>
            </w:r>
          </w:p>
        </w:tc>
        <w:tc>
          <w:tcPr>
            <w:tcW w:type="dxa" w:w="2437"/>
          </w:tcPr>
          <w:p>
            <w:pPr>
              <w:spacing w:after="100"/>
            </w:pPr>
            <w:r>
              <w:rPr>
                <w:sz w:val="18"/>
              </w:rPr>
              <w:t>10</w:t>
            </w:r>
          </w:p>
        </w:tc>
        <w:tc>
          <w:tcPr>
            <w:tcW w:type="dxa" w:w="2437"/>
          </w:tcPr>
          <w:p>
            <w:pPr>
              <w:spacing w:after="100"/>
            </w:pPr>
            <w:r>
              <w:rPr>
                <w:sz w:val="18"/>
              </w:rPr>
              <w:t>0</w:t>
            </w:r>
          </w:p>
        </w:tc>
        <w:tc>
          <w:tcPr>
            <w:tcW w:type="dxa" w:w="2437"/>
          </w:tcPr>
          <w:p>
            <w:pPr>
              <w:spacing w:after="100"/>
            </w:pPr>
            <w:r>
              <w:rPr>
                <w:sz w:val="18"/>
              </w:rPr>
              <w:t>0</w:t>
            </w:r>
          </w:p>
        </w:tc>
      </w:tr>
    </w:tbl>
    <w:p>
      <w:r>
        <w:t>El ejecutor copia data_pipeline.py, experiment.py y los diez casos a una carpeta temporal. Solo allí sustituye la selección del máximo por la del mínimo. La mutación es un defecto didáctico, no un defecto que estuviera presente en producción.</w:t>
      </w:r>
    </w:p>
    <w:p>
      <w:pPr>
        <w:spacing w:after="120"/>
      </w:pPr>
      <w:r>
        <w:rPr>
          <w:rFonts w:ascii="Consolas" w:hAnsi="Consolas"/>
          <w:sz w:val="18"/>
        </w:rPr>
        <w:t>Correcto: return max(validation_scores, key=validation_scores.get)</w:t>
        <w:br/>
        <w:t>Defecto:  return min(validation_scores, key=validation_scores.get)</w:t>
      </w:r>
    </w:p>
    <w:p>
      <w:r>
        <w:t>Con modelo_a = 0,80 y modelo_b = 0,30, P06 esperaba modelo_a. La versión alterada devolvió modelo_b y pytest produjo AssertionError. El registro 02_fallo_controlado.txt conserva la traza completa.</w:t>
      </w:r>
    </w:p>
    <w:p>
      <w:pPr>
        <w:spacing w:after="120"/>
      </w:pPr>
      <w:r>
        <w:rPr>
          <w:rFonts w:ascii="Consolas" w:hAnsi="Consolas"/>
          <w:sz w:val="18"/>
        </w:rPr>
        <w:t>E  AssertionError: assert 'modelo_b' == 'modelo_a'</w:t>
        <w:br/>
        <w:t>1 failed, 9 passed</w:t>
      </w:r>
    </w:p>
    <w:p>
      <w:r>
        <w:t>La tercera ejecución restauró el contenido original de experiment.py en la copia temporal. P06 volvió a pasar y el resultado final fue de diez casos aprobados. El archivo resumen.json contiene los hashes de las fuentes y fuentes_intactas = true.</w:t>
      </w:r>
    </w:p>
    <w:p>
      <w:pPr>
        <w:pStyle w:val="Heading1"/>
      </w:pPr>
      <w:r>
        <w:t>Código de la prueba que detecta el defecto</w:t>
      </w:r>
    </w:p>
    <w:p>
      <w:pPr>
        <w:spacing w:after="120"/>
      </w:pPr>
      <w:r>
        <w:rPr>
          <w:rFonts w:ascii="Consolas" w:hAnsi="Consolas"/>
          <w:sz w:val="18"/>
        </w:rPr>
        <w:t>def test_p06_elige_mayor_validacion(record_property):</w:t>
        <w:br/>
        <w:t xml:space="preserve">    scores = {"modelo_a": 0.80, "modelo_b": 0.30}</w:t>
        <w:br/>
        <w:t xml:space="preserve">    actual = select_model(scores)</w:t>
        <w:br/>
        <w:t xml:space="preserve">    evidence(record_property, "P06", scores, "modelo_a", actual)</w:t>
        <w:br/>
        <w:t xml:space="preserve">    assert actual == "modelo_a"</w:t>
      </w:r>
    </w:p>
    <w:p>
      <w:pPr>
        <w:pStyle w:val="Heading1"/>
      </w:pPr>
      <w:r>
        <w:t>Interpretación de las aserciones</w:t>
      </w:r>
    </w:p>
    <w:p>
      <w:r>
        <w:t>assert compara el resultado observado con el esperado. pytest.approx permite comparar valores numéricos considerando tolerancia. pytest.raises verifica tanto el tipo de excepción como, en estos casos, parte de su mensaje. Si no ocurre la excepción prevista, la prueba falla.</w:t>
      </w:r>
    </w:p>
    <w:p>
      <w:r>
        <w:t>Una prueba unitaria revisa una función de manera acotada; una prueba de integración comprueba la colaboración entre componentes. Las pruebas de rendimiento estudian latencia, volumen o concurrencia. Los tiempos registrados por pytest no equivalen a una prueba de carga con JMeter.</w:t>
      </w:r>
    </w:p>
    <w:p>
      <w:r>
        <w:br w:type="page"/>
      </w:r>
    </w:p>
    <w:p>
      <w:pPr>
        <w:pStyle w:val="Heading1"/>
      </w:pPr>
      <w:r>
        <w:t>Reproducción y evidencias</w:t>
      </w:r>
    </w:p>
    <w:p>
      <w:r>
        <w:t>Desde la raíz del repositorio, con sus dependencias instaladas, se pueden reproducir los resultados mediante los siguientes comandos de PowerShell.</w:t>
      </w:r>
    </w:p>
    <w:p>
      <w:pPr>
        <w:spacing w:after="120"/>
      </w:pPr>
      <w:r>
        <w:rPr>
          <w:rFonts w:ascii="Consolas" w:hAnsi="Consolas"/>
          <w:sz w:val="18"/>
        </w:rPr>
        <w:t>.\.venv\Scripts\python.exe -m pytest tests/test_laboratorio_unitarias.py -v -o junit_family=xunit1 --junitxml=resultado_laboratorio.xml</w:t>
      </w:r>
    </w:p>
    <w:p>
      <w:pPr>
        <w:spacing w:after="120"/>
      </w:pPr>
      <w:r>
        <w:rPr>
          <w:rFonts w:ascii="Consolas" w:hAnsi="Consolas"/>
          <w:sz w:val="18"/>
        </w:rPr>
        <w:t>.\.venv\Scripts\python.exe tools/ejecutar_laboratorio.py</w:t>
      </w:r>
    </w:p>
    <w:p>
      <w:pPr>
        <w:spacing w:after="120"/>
      </w:pPr>
      <w:r>
        <w:rPr>
          <w:rFonts w:ascii="Consolas" w:hAnsi="Consolas"/>
          <w:sz w:val="18"/>
        </w:rPr>
        <w:t>.\.venv\Scripts\python.exe -m pytest -q -o junit_family=xunit1 --junitxml=resultado_completo.xml</w:t>
      </w:r>
    </w:p>
    <w:p>
      <w:r>
        <w:t>El ejecutor sobrescribe únicamente los reportes de su carpeta de salida. Para conservar una ejecución anterior puede indicarse --output seguido de otra carpeta. La copia temporal se elimina al terminar y no contiene corpus, cuentas ni bases de datos de evaluadores.</w:t>
      </w:r>
    </w:p>
    <w:tbl>
      <w:tblPr>
        <w:tblStyle w:val="LightShading-Accent1"/>
        <w:tblW w:type="auto" w:w="0"/>
        <w:tblLook w:firstColumn="1" w:firstRow="1" w:lastColumn="0" w:lastRow="0" w:noHBand="0" w:noVBand="1" w:val="04A0"/>
      </w:tblPr>
      <w:tblGrid>
        <w:gridCol w:w="4874"/>
        <w:gridCol w:w="4874"/>
      </w:tblGrid>
      <w:tr>
        <w:trPr>
          <w:tblHeader/>
        </w:trPr>
        <w:tc>
          <w:tcPr>
            <w:tcW w:type="dxa" w:w="4874"/>
            <w:shd w:fill="E8EDF2"/>
          </w:tcPr>
          <w:p>
            <w:pPr>
              <w:spacing w:after="100"/>
            </w:pPr>
            <w:r>
              <w:rPr>
                <w:b/>
                <w:color w:val="000000"/>
                <w:sz w:val="18"/>
              </w:rPr>
              <w:t>Archivo o carpeta</w:t>
            </w:r>
          </w:p>
        </w:tc>
        <w:tc>
          <w:tcPr>
            <w:tcW w:type="dxa" w:w="4874"/>
            <w:shd w:fill="E8EDF2"/>
          </w:tcPr>
          <w:p>
            <w:pPr>
              <w:spacing w:after="100"/>
            </w:pPr>
            <w:r>
              <w:rPr>
                <w:b/>
                <w:color w:val="000000"/>
                <w:sz w:val="18"/>
              </w:rPr>
              <w:t>Contenido verificable</w:t>
            </w:r>
          </w:p>
        </w:tc>
      </w:tr>
      <w:tr>
        <w:trPr>
          <w:cantSplit/>
        </w:trPr>
        <w:tc>
          <w:tcPr>
            <w:tcW w:type="dxa" w:w="4874"/>
          </w:tcPr>
          <w:p>
            <w:pPr>
              <w:spacing w:after="100"/>
            </w:pPr>
            <w:r>
              <w:rPr>
                <w:sz w:val="18"/>
              </w:rPr>
              <w:t>tests/test_laboratorio_unitarias.py</w:t>
            </w:r>
          </w:p>
        </w:tc>
        <w:tc>
          <w:tcPr>
            <w:tcW w:type="dxa" w:w="4874"/>
          </w:tcPr>
          <w:p>
            <w:pPr>
              <w:spacing w:after="100"/>
            </w:pPr>
            <w:r>
              <w:rPr>
                <w:sz w:val="18"/>
              </w:rPr>
              <w:t>Diez casos y propiedades de entrada y salida</w:t>
            </w:r>
          </w:p>
        </w:tc>
      </w:tr>
      <w:tr>
        <w:trPr>
          <w:cantSplit/>
        </w:trPr>
        <w:tc>
          <w:tcPr>
            <w:tcW w:type="dxa" w:w="4874"/>
          </w:tcPr>
          <w:p>
            <w:pPr>
              <w:spacing w:after="100"/>
            </w:pPr>
            <w:r>
              <w:rPr>
                <w:sz w:val="18"/>
              </w:rPr>
              <w:t>tools/ejecutar_laboratorio.py</w:t>
            </w:r>
          </w:p>
        </w:tc>
        <w:tc>
          <w:tcPr>
            <w:tcW w:type="dxa" w:w="4874"/>
          </w:tcPr>
          <w:p>
            <w:pPr>
              <w:spacing w:after="100"/>
            </w:pPr>
            <w:r>
              <w:rPr>
                <w:sz w:val="18"/>
              </w:rPr>
              <w:t>Ejecución aislada y validación de las tres fases</w:t>
            </w:r>
          </w:p>
        </w:tc>
      </w:tr>
      <w:tr>
        <w:trPr>
          <w:cantSplit/>
        </w:trPr>
        <w:tc>
          <w:tcPr>
            <w:tcW w:type="dxa" w:w="4874"/>
          </w:tcPr>
          <w:p>
            <w:pPr>
              <w:spacing w:after="100"/>
            </w:pPr>
            <w:r>
              <w:rPr>
                <w:sz w:val="18"/>
              </w:rPr>
              <w:t>evidencias/01_correcto y 03_restaurado</w:t>
            </w:r>
          </w:p>
        </w:tc>
        <w:tc>
          <w:tcPr>
            <w:tcW w:type="dxa" w:w="4874"/>
          </w:tcPr>
          <w:p>
            <w:pPr>
              <w:spacing w:after="100"/>
            </w:pPr>
            <w:r>
              <w:rPr>
                <w:sz w:val="18"/>
              </w:rPr>
              <w:t>Reportes TXT y XML con diez casos aprobados</w:t>
            </w:r>
          </w:p>
        </w:tc>
      </w:tr>
      <w:tr>
        <w:trPr>
          <w:cantSplit/>
        </w:trPr>
        <w:tc>
          <w:tcPr>
            <w:tcW w:type="dxa" w:w="4874"/>
          </w:tcPr>
          <w:p>
            <w:pPr>
              <w:spacing w:after="100"/>
            </w:pPr>
            <w:r>
              <w:rPr>
                <w:sz w:val="18"/>
              </w:rPr>
              <w:t>evidencias/02_fallo_controlado</w:t>
            </w:r>
          </w:p>
        </w:tc>
        <w:tc>
          <w:tcPr>
            <w:tcW w:type="dxa" w:w="4874"/>
          </w:tcPr>
          <w:p>
            <w:pPr>
              <w:spacing w:after="100"/>
            </w:pPr>
            <w:r>
              <w:rPr>
                <w:sz w:val="18"/>
              </w:rPr>
              <w:t>Reportes TXT y XML con el fallo P06</w:t>
            </w:r>
          </w:p>
        </w:tc>
      </w:tr>
      <w:tr>
        <w:trPr>
          <w:cantSplit/>
        </w:trPr>
        <w:tc>
          <w:tcPr>
            <w:tcW w:type="dxa" w:w="4874"/>
          </w:tcPr>
          <w:p>
            <w:pPr>
              <w:spacing w:after="100"/>
            </w:pPr>
            <w:r>
              <w:rPr>
                <w:sz w:val="18"/>
              </w:rPr>
              <w:t>evidencias/matriz_final.csv y resumen.json</w:t>
            </w:r>
          </w:p>
        </w:tc>
        <w:tc>
          <w:tcPr>
            <w:tcW w:type="dxa" w:w="4874"/>
          </w:tcPr>
          <w:p>
            <w:pPr>
              <w:spacing w:after="100"/>
            </w:pPr>
            <w:r>
              <w:rPr>
                <w:sz w:val="18"/>
              </w:rPr>
              <w:t>Matriz y trazabilidad mediante SHA256</w:t>
            </w:r>
          </w:p>
        </w:tc>
      </w:tr>
      <w:tr>
        <w:trPr>
          <w:cantSplit/>
        </w:trPr>
        <w:tc>
          <w:tcPr>
            <w:tcW w:type="dxa" w:w="4874"/>
          </w:tcPr>
          <w:p>
            <w:pPr>
              <w:spacing w:after="100"/>
            </w:pPr>
            <w:r>
              <w:rPr>
                <w:sz w:val="18"/>
              </w:rPr>
              <w:t>evidencias/suite_completa.xml y .txt</w:t>
            </w:r>
          </w:p>
        </w:tc>
        <w:tc>
          <w:tcPr>
            <w:tcW w:type="dxa" w:w="4874"/>
          </w:tcPr>
          <w:p>
            <w:pPr>
              <w:spacing w:after="100"/>
            </w:pPr>
            <w:r>
              <w:rPr>
                <w:sz w:val="18"/>
              </w:rPr>
              <w:t>Suite completa de 84 pruebas</w:t>
            </w:r>
          </w:p>
        </w:tc>
      </w:tr>
      <w:tr>
        <w:trPr>
          <w:cantSplit/>
        </w:trPr>
        <w:tc>
          <w:tcPr>
            <w:tcW w:type="dxa" w:w="4874"/>
          </w:tcPr>
          <w:p>
            <w:pPr>
              <w:spacing w:after="100"/>
            </w:pPr>
            <w:r>
              <w:rPr>
                <w:sz w:val="18"/>
              </w:rPr>
              <w:t>evidencias.html</w:t>
            </w:r>
          </w:p>
        </w:tc>
        <w:tc>
          <w:tcPr>
            <w:tcW w:type="dxa" w:w="4874"/>
          </w:tcPr>
          <w:p>
            <w:pPr>
              <w:spacing w:after="100"/>
            </w:pPr>
            <w:r>
              <w:rPr>
                <w:sz w:val="18"/>
              </w:rPr>
              <w:t>Vista local del código y los registros originales</w:t>
            </w:r>
          </w:p>
        </w:tc>
      </w:tr>
    </w:tbl>
    <w:p>
      <w:pPr>
        <w:pStyle w:val="Heading1"/>
      </w:pPr>
      <w:r>
        <w:t>Correspondencia y límites del entregable</w:t>
      </w:r>
    </w:p>
    <w:p>
      <w:r>
        <w:t>Se entregan las fuentes, la matriz, los reportes y el ciclo de éxito, fallo y regresión. Las evidencias son registros reales de pytest. La vista HTML permite consultarlos junto con el código; no se presenta como una captura de NetBeans. Las capturas de pantalla del entorno solicitadas por la guía deben complementarse si el docente las exige, pues no hubo una superficie de navegador o escritorio disponible para capturarlas en esta sesión.</w:t>
      </w:r>
    </w:p>
    <w:p>
      <w:r>
        <w:t>Las actividades específicas de ventas, como descuentos o envío, no se incorporan a HateDetect porque no pertenecen a sus funciones. Tampoco se atribuye cumplimiento literal a la estructura Maven. Se solicita aceptar la adaptación a la tecnología del proyecto.</w:t>
      </w:r>
    </w:p>
    <w:p>
      <w:r>
        <w:t>Los resultados comprueban únicamente los comportamientos cubiertos. No resuelven los falsos negativos de discurso de odio detectados previamente ni acreditan la calidad del modelo con datos reales. Esa corrección y su evaluación mantienen un alcance separado.</w:t>
      </w:r>
    </w:p>
    <w:p>
      <w:pPr>
        <w:pStyle w:val="Heading1"/>
      </w:pPr>
      <w:r>
        <w:t>Fuente y trazabilidad</w:t>
      </w:r>
    </w:p>
    <w:p>
      <w:r>
        <w:t>Fuente académica: Guía práctica de pruebas unitarias con Apache NetBeans 28, documento proporcionado por el docente. Fuente experimental: ejecuciones locales guardadas en la carpeta evidencias. Python utilizado: 3.13.14.</w:t>
      </w:r>
    </w:p>
    <w:sectPr w:rsidR="00FC693F" w:rsidRPr="0006063C" w:rsidSect="00034616">
      <w:headerReference w:type="default" r:id="rId9"/>
      <w:foot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14 de octubre de 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UPN  |  HateDetect  |  Laboratorio de pruebas unitarias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