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3A5F"/>
          <w:sz w:val="32"/>
        </w:rPr>
        <w:t>Resumen de los principales pilares del proyecto de ley para la Reconstruccion Nacional</w:t>
      </w:r>
    </w:p>
    <w:p>
      <w:pPr>
        <w:spacing w:after="200"/>
        <w:jc w:val="center"/>
      </w:pPr>
      <w:r>
        <w:rPr>
          <w:i/>
          <w:sz w:val="20"/>
        </w:rPr>
        <w:t>Basado en el Mensaje Presidencial N° 018-374, de 22 de abril de 2026</w:t>
      </w:r>
    </w:p>
    <w:p>
      <w:pPr>
        <w:spacing w:after="160"/>
      </w:pPr>
      <w:r>
        <w:rPr>
          <w:b w:val="0"/>
          <w:i/>
          <w:color w:val="7A4E00"/>
        </w:rPr>
        <w:t>Nota importante: el texto fuente corresponde a un proyecto de ley (mensaje presidencial), por lo que este resumen describe sus ejes y medidas propuestas, no una ley ya promulgada.</w:t>
      </w:r>
    </w:p>
    <w:p>
      <w:pPr>
        <w:spacing w:after="160"/>
      </w:pPr>
      <w:r>
        <w:rPr>
          <w:b/>
          <w:i w:val="0"/>
        </w:rPr>
        <w:t>Objetivo general: reactivar el crecimiento economico, acelerar la reconstruccion tras los incendios, recuperar la inversion, crear empleo formal, racionalizar permisos y fortalecer la sostenibilidad fiscal del Estado.</w:t>
      </w:r>
    </w:p>
    <w:p>
      <w:pPr>
        <w:spacing w:after="120"/>
      </w:pPr>
      <w:r>
        <w:rPr>
          <w:b w:val="0"/>
          <w:i w:val="0"/>
        </w:rPr>
        <w:t>El mensaje organiza su propuesta en cuatro ejes complementarios: reconstruccion fisica, reconstruccion economica, reconstruccion institucional y reconstruccion fiscal.</w:t>
      </w:r>
    </w:p>
    <w:p>
      <w:pPr>
        <w:spacing w:before="120" w:after="60"/>
      </w:pPr>
      <w:r>
        <w:rPr>
          <w:b/>
          <w:color w:val="1F3A5F"/>
          <w:sz w:val="24"/>
        </w:rPr>
        <w:t>1. Reconstruccion fisica</w:t>
      </w:r>
    </w:p>
    <w:p>
      <w:pPr>
        <w:pStyle w:val="ListBullet"/>
        <w:spacing w:after="40"/>
        <w:ind w:left="397"/>
      </w:pPr>
      <w:r>
        <w:rPr>
          <w:sz w:val="21"/>
        </w:rPr>
        <w:t>Amplia el Fondo de Emergencia Transitorio por Incendios para responder a los siniestros de Nuble y Biobio de 2026 y financiar la reconstruccion de 4.429 viviendas.</w:t>
      </w:r>
    </w:p>
    <w:p>
      <w:pPr>
        <w:pStyle w:val="ListBullet"/>
        <w:spacing w:after="40"/>
        <w:ind w:left="397"/>
      </w:pPr>
      <w:r>
        <w:rPr>
          <w:sz w:val="21"/>
        </w:rPr>
        <w:t>Busca asegurar recursos para la emergencia mediante medidas tributarias transitorias, entre ellas la declaracion voluntaria de bienes o rentas en el extranjero con impuesto unico de 10% y una tasa de 7% si esos recursos se repatrian e invierten en Chile.</w:t>
      </w:r>
    </w:p>
    <w:p>
      <w:pPr>
        <w:pStyle w:val="ListBullet"/>
        <w:spacing w:after="40"/>
        <w:ind w:left="397"/>
      </w:pPr>
      <w:r>
        <w:rPr>
          <w:sz w:val="21"/>
        </w:rPr>
        <w:t>Permite regularizar saldos historicos acumulados en registros empresariales como FUR, STUT y retiros en exceso del FUT con un impuesto sustitutivo de 10%, para movilizar capital y recaudar fondos.</w:t>
      </w:r>
    </w:p>
    <w:p>
      <w:pPr>
        <w:pStyle w:val="ListBullet"/>
        <w:spacing w:after="40"/>
        <w:ind w:left="397"/>
      </w:pPr>
      <w:r>
        <w:rPr>
          <w:sz w:val="21"/>
        </w:rPr>
        <w:t>Autoriza a municipalidades y a la Tesoreria General de la Republica a otorgar alivios por deudas, multas e intereses a personas naturales y mipymes, favoreciendo la formalizacion y la continuidad economica.</w:t>
      </w:r>
    </w:p>
    <w:p>
      <w:pPr>
        <w:pStyle w:val="ListBullet"/>
        <w:spacing w:after="40"/>
        <w:ind w:left="397"/>
      </w:pPr>
      <w:r>
        <w:rPr>
          <w:sz w:val="21"/>
        </w:rPr>
        <w:t>Reduce en 50% el impuesto a las donaciones por un tiempo limitado para acelerar transferencias patrimoniales y convertir expectativas de recaudacion futura en ingresos mas inmediatos.</w:t>
      </w:r>
    </w:p>
    <w:p>
      <w:pPr>
        <w:spacing w:before="120" w:after="60"/>
      </w:pPr>
      <w:r>
        <w:rPr>
          <w:b/>
          <w:color w:val="1F3A5F"/>
          <w:sz w:val="24"/>
        </w:rPr>
        <w:t>2. Reconstruccion economica</w:t>
      </w:r>
    </w:p>
    <w:p>
      <w:pPr>
        <w:pStyle w:val="ListBullet"/>
        <w:spacing w:after="40"/>
        <w:ind w:left="397"/>
      </w:pPr>
      <w:r>
        <w:rPr>
          <w:sz w:val="21"/>
        </w:rPr>
        <w:t>Impulsa la construccion y la vivienda con una exencion temporal de IVA para la venta de viviendas nuevas y un nuevo regimen tributario para propiedades DFL 2 de hasta 90 m2 destinadas al arriendo.</w:t>
      </w:r>
    </w:p>
    <w:p>
      <w:pPr>
        <w:pStyle w:val="ListBullet"/>
        <w:spacing w:after="40"/>
        <w:ind w:left="397"/>
      </w:pPr>
      <w:r>
        <w:rPr>
          <w:sz w:val="21"/>
        </w:rPr>
        <w:t>Entrega mayor certeza a la inversion al reducir de dos anos a seis meses el plazo para invalidar autorizaciones sectoriales.</w:t>
      </w:r>
    </w:p>
    <w:p>
      <w:pPr>
        <w:pStyle w:val="ListBullet"/>
        <w:spacing w:after="40"/>
        <w:ind w:left="397"/>
      </w:pPr>
      <w:r>
        <w:rPr>
          <w:sz w:val="21"/>
        </w:rPr>
        <w:t>Propone reactivar la acuicultura facilitando micro relocalizaciones, reemplazando la caducidad por no uso por un cobro de patente incrementada y agilizando informes tecnicos y ambientales.</w:t>
      </w:r>
    </w:p>
    <w:p>
      <w:pPr>
        <w:pStyle w:val="ListBullet"/>
        <w:spacing w:after="40"/>
        <w:ind w:left="397"/>
      </w:pPr>
      <w:r>
        <w:rPr>
          <w:sz w:val="21"/>
        </w:rPr>
        <w:t>Crea un credito tributario para proteger el empleo formal, con mayor apoyo para remuneraciones mas bajas, buscando reducir la informalidad y el costo de contratacion.</w:t>
      </w:r>
    </w:p>
    <w:p>
      <w:pPr>
        <w:pStyle w:val="ListBullet"/>
        <w:spacing w:after="40"/>
        <w:ind w:left="397"/>
      </w:pPr>
      <w:r>
        <w:rPr>
          <w:sz w:val="21"/>
        </w:rPr>
        <w:t>Rebaja gradualmente el impuesto de primera categoria hasta 23%, restablece la integracion total del sistema tributario y elimina el impuesto unico de 10% a ciertas ganancias de capital bursatiles.</w:t>
      </w:r>
    </w:p>
    <w:p>
      <w:pPr>
        <w:pStyle w:val="ListBullet"/>
        <w:spacing w:after="40"/>
        <w:ind w:left="397"/>
      </w:pPr>
      <w:r>
        <w:rPr>
          <w:sz w:val="21"/>
        </w:rPr>
        <w:t>Establece invariabilidad tributaria por 25 anos para inversiones iguales o superiores a 50 millones de dolares, con el objetivo de recuperar certeza juridica y atraer capitales.</w:t>
      </w:r>
    </w:p>
    <w:p>
      <w:pPr>
        <w:pStyle w:val="ListBullet"/>
        <w:spacing w:after="40"/>
        <w:ind w:left="397"/>
      </w:pPr>
      <w:r>
        <w:rPr>
          <w:sz w:val="21"/>
        </w:rPr>
        <w:t>Exime del pago de contribuciones a personas de 65 anos o mas respecto de su vivienda principal, como alivio patrimonial a adultos mayores.</w:t>
      </w:r>
    </w:p>
    <w:p>
      <w:pPr>
        <w:spacing w:before="120" w:after="60"/>
      </w:pPr>
      <w:r>
        <w:rPr>
          <w:b/>
          <w:color w:val="1F3A5F"/>
          <w:sz w:val="24"/>
        </w:rPr>
        <w:t>3. Reconstruccion institucional</w:t>
      </w:r>
    </w:p>
    <w:p>
      <w:pPr>
        <w:pStyle w:val="ListBullet"/>
        <w:spacing w:after="40"/>
        <w:ind w:left="397"/>
      </w:pPr>
      <w:r>
        <w:rPr>
          <w:sz w:val="21"/>
        </w:rPr>
        <w:t>Busca racionalizar la llamada permisologia, haciendo mas proporcionadas las exigencias regulatorias y acelerando procesos clave para la inversion.</w:t>
      </w:r>
    </w:p>
    <w:p>
      <w:pPr>
        <w:pStyle w:val="ListBullet"/>
        <w:spacing w:after="40"/>
        <w:ind w:left="397"/>
      </w:pPr>
      <w:r>
        <w:rPr>
          <w:sz w:val="21"/>
        </w:rPr>
        <w:t>En evaluacion ambiental, propone un regimen con menos adendas, mayor rectoria tecnica del SEA y limites a requerimientos de organismos que excedan sus competencias.</w:t>
      </w:r>
    </w:p>
    <w:p>
      <w:pPr>
        <w:pStyle w:val="ListBullet"/>
        <w:spacing w:after="40"/>
        <w:ind w:left="397"/>
      </w:pPr>
      <w:r>
        <w:rPr>
          <w:sz w:val="21"/>
        </w:rPr>
        <w:t>Refuerza la certeza juridica de las RCA al impedir su invalidacion administrativa por la via general, concentrando su impugnacion en los mecanismos propios de la legislacion ambiental.</w:t>
      </w:r>
    </w:p>
    <w:p>
      <w:pPr>
        <w:pStyle w:val="ListBullet"/>
        <w:spacing w:after="40"/>
        <w:ind w:left="397"/>
      </w:pPr>
      <w:r>
        <w:rPr>
          <w:sz w:val="21"/>
        </w:rPr>
        <w:t>Crea un sistema de restitucion de gastos para titulares cuyas RCA favorables sean anuladas judicialmente, reconociendo la confianza legitima generada por la autorizacion estatal.</w:t>
      </w:r>
    </w:p>
    <w:p>
      <w:pPr>
        <w:pStyle w:val="ListBullet"/>
        <w:spacing w:after="40"/>
        <w:ind w:left="397"/>
      </w:pPr>
      <w:r>
        <w:rPr>
          <w:sz w:val="21"/>
        </w:rPr>
        <w:t>Limita la paralizacion de proyectos mediante medidas cautelares: fija plazos breves, tope maximo de seis meses y posibilidad de apelacion ante Corte de Apelaciones.</w:t>
      </w:r>
    </w:p>
    <w:p>
      <w:pPr>
        <w:pStyle w:val="ListBullet"/>
        <w:spacing w:after="40"/>
        <w:ind w:left="397"/>
      </w:pPr>
      <w:r>
        <w:rPr>
          <w:sz w:val="21"/>
        </w:rPr>
        <w:t>Simplifica la gestion del Consejo de Monumentos Nacionales con plazos fatales, certificacion electronica por silencio y una categoria de intervenciones menores para obras de bajo impacto.</w:t>
      </w:r>
    </w:p>
    <w:p>
      <w:pPr>
        <w:spacing w:before="120" w:after="60"/>
      </w:pPr>
      <w:r>
        <w:rPr>
          <w:b/>
          <w:color w:val="1F3A5F"/>
          <w:sz w:val="24"/>
        </w:rPr>
        <w:t>4. Reconstruccion fiscal</w:t>
      </w:r>
    </w:p>
    <w:p>
      <w:pPr>
        <w:pStyle w:val="ListBullet"/>
        <w:spacing w:after="40"/>
        <w:ind w:left="397"/>
      </w:pPr>
      <w:r>
        <w:rPr>
          <w:sz w:val="21"/>
        </w:rPr>
        <w:t>Plantea contener el crecimiento del gasto publico, especialmente en gratuidad de educacion superior, sin afectar a quienes ya reciben el beneficio.</w:t>
      </w:r>
    </w:p>
    <w:p>
      <w:pPr>
        <w:pStyle w:val="ListBullet"/>
        <w:spacing w:after="40"/>
        <w:ind w:left="397"/>
      </w:pPr>
      <w:r>
        <w:rPr>
          <w:sz w:val="21"/>
        </w:rPr>
        <w:t>Congela por dos anos el ingreso de nuevas instituciones al regimen de financiamiento institucional de gratuidad y modifica las condiciones para expandir la cobertura futura.</w:t>
      </w:r>
    </w:p>
    <w:p>
      <w:pPr>
        <w:pStyle w:val="ListBullet"/>
        <w:spacing w:after="40"/>
        <w:ind w:left="397"/>
      </w:pPr>
      <w:r>
        <w:rPr>
          <w:sz w:val="21"/>
        </w:rPr>
        <w:t>Elimina la franquicia tributaria del SENCE por considerar insuficiente su evidencia de impacto frente a su alto costo fiscal.</w:t>
      </w:r>
    </w:p>
    <w:p>
      <w:pPr>
        <w:pStyle w:val="ListBullet"/>
        <w:spacing w:after="40"/>
        <w:ind w:left="397"/>
      </w:pPr>
      <w:r>
        <w:rPr>
          <w:sz w:val="21"/>
        </w:rPr>
        <w:t>Aumenta los cupos del incentivo al retiro en universidades estatales y administracion central, buscando ordenar dotaciones y mejorar eficiencia del gasto.</w:t>
      </w:r>
    </w:p>
    <w:p>
      <w:pPr>
        <w:pStyle w:val="ListBullet"/>
        <w:spacing w:after="40"/>
        <w:ind w:left="397"/>
      </w:pPr>
      <w:r>
        <w:rPr>
          <w:sz w:val="21"/>
        </w:rPr>
        <w:t>Endurece las sanciones por uso indebido de licencias medicas en el Estado, calificandolo como una infraccion grave al principio de probidad.</w:t>
      </w:r>
    </w:p>
    <w:p>
      <w:pPr>
        <w:pStyle w:val="ListBullet"/>
        <w:spacing w:after="40"/>
        <w:ind w:left="397"/>
      </w:pPr>
      <w:r>
        <w:rPr>
          <w:sz w:val="21"/>
        </w:rPr>
        <w:t>Fortalece la fiscalizacion y la eficiencia del gasto mediante mayor cruce de informacion entre el SII, Desarrollo Social y la DIPRES, con foco en mejor focalizacion y control.</w:t>
      </w:r>
    </w:p>
    <w:p>
      <w:pPr>
        <w:spacing w:before="120" w:after="60"/>
      </w:pPr>
      <w:r>
        <w:rPr>
          <w:b/>
          <w:color w:val="1F3A5F"/>
          <w:sz w:val="24"/>
        </w:rPr>
        <w:t>Resultados esperados segun el mensaje</w:t>
      </w:r>
    </w:p>
    <w:p>
      <w:pPr>
        <w:pStyle w:val="ListBullet"/>
        <w:spacing w:after="40"/>
        <w:ind w:left="397"/>
      </w:pPr>
      <w:r>
        <w:rPr>
          <w:sz w:val="21"/>
        </w:rPr>
        <w:t>Creacion aproximada de 180 mil empleos en el corto plazo por reactivacion de sectores paralizados y mayor ingreso de capitales.</w:t>
      </w:r>
    </w:p>
    <w:p>
      <w:pPr>
        <w:pStyle w:val="ListBullet"/>
        <w:spacing w:after="40"/>
        <w:ind w:left="397"/>
      </w:pPr>
      <w:r>
        <w:rPr>
          <w:sz w:val="21"/>
        </w:rPr>
        <w:t>Reduccion de la tasa de desempleo desde 8,3% a 6,5% hacia 2030.</w:t>
      </w:r>
    </w:p>
    <w:p>
      <w:pPr>
        <w:pStyle w:val="ListBullet"/>
        <w:spacing w:after="40"/>
        <w:ind w:left="397"/>
      </w:pPr>
      <w:r>
        <w:rPr>
          <w:sz w:val="21"/>
        </w:rPr>
        <w:t>Recuperacion de un crecimiento promedio cercano a 4% anual y restablecimiento del equilibrio fiscal estructural.</w:t>
      </w:r>
    </w:p>
    <w:p>
      <w:pPr>
        <w:pStyle w:val="ListBullet"/>
        <w:spacing w:after="40"/>
        <w:ind w:left="397"/>
      </w:pPr>
      <w:r>
        <w:rPr>
          <w:sz w:val="21"/>
        </w:rPr>
        <w:t>Mejora en certeza juridica e incentivos para proyectos de inversion, vivienda, infraestructura y desarrollo productivo.</w:t>
      </w:r>
    </w:p>
    <w:p>
      <w:pPr>
        <w:spacing w:after="0"/>
      </w:pPr>
      <w:r>
        <w:rPr>
          <w:b/>
          <w:i w:val="0"/>
        </w:rPr>
        <w:t>En sintesis, el proyecto combina medidas de emergencia y reconstruccion con una agenda de crecimiento, desregulacion, alivio tributario, fortalecimiento de la inversion y contencion fiscal.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