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sz w:val="72"/>
          <w:szCs w:val="72"/>
        </w:rPr>
        <w:t xml:space="preserve">🏋️</w:t>
      </w:r>
    </w:p>
    <w:p>
      <w:pPr>
        <w:spacing w:after="60" w:before="200"/>
        <w:jc w:val="center"/>
      </w:pPr>
      <w:r>
        <w:rPr>
          <w:b/>
          <w:bCs/>
          <w:color w:val="0E7C66"/>
          <w:sz w:val="40"/>
          <w:szCs w:val="40"/>
        </w:rPr>
        <w:t xml:space="preserve">Fundamentos Científicos del Motor de Entrenamiento</w:t>
      </w:r>
    </w:p>
    <w:p>
      <w:pPr>
        <w:spacing w:after="40"/>
        <w:jc w:val="center"/>
      </w:pPr>
      <w:r>
        <w:rPr>
          <w:b/>
          <w:bCs/>
          <w:color w:val="12303A"/>
          <w:sz w:val="30"/>
          <w:szCs w:val="30"/>
        </w:rPr>
        <w:t xml:space="preserve">GymTracker</w:t>
      </w:r>
    </w:p>
    <w:p>
      <w:pPr>
        <w:spacing w:after="400"/>
        <w:jc w:val="center"/>
      </w:pPr>
      <w:r>
        <w:rPr>
          <w:i/>
          <w:iCs/>
          <w:color w:val="5A6472"/>
          <w:sz w:val="22"/>
          <w:szCs w:val="22"/>
        </w:rPr>
        <w:t xml:space="preserve">Por qué cada función del sistema está respaldada por la literatura científica de fuerza, hipertrofia y nutrición deportiva (2009–2024)</w:t>
      </w:r>
    </w:p>
    <w:p>
      <w:pPr>
        <w:spacing w:after="60"/>
        <w:jc w:val="center"/>
      </w:pPr>
      <w:r>
        <w:rPr>
          <w:color w:val="5A6472"/>
          <w:sz w:val="20"/>
          <w:szCs w:val="20"/>
        </w:rPr>
        <w:t xml:space="preserve">Informe técnico-científico</w:t>
      </w:r>
    </w:p>
    <w:p>
      <w:pPr>
        <w:spacing w:after="60"/>
        <w:jc w:val="center"/>
      </w:pPr>
      <w:r>
        <w:rPr>
          <w:color w:val="5A6472"/>
          <w:sz w:val="20"/>
          <w:szCs w:val="20"/>
        </w:rPr>
        <w:t xml:space="preserve">Julio de 2026</w:t>
      </w:r>
    </w:p>
    <w:p>
      <w:pPr>
        <w:spacing w:after="60"/>
        <w:jc w:val="center"/>
      </w:pPr>
      <w:r>
        <w:rPr>
          <w:color w:val="5A6472"/>
          <w:sz w:val="20"/>
          <w:szCs w:val="20"/>
        </w:rPr>
        <w:t xml:space="preserve">27 referencias revisadas por pares</w:t>
      </w:r>
    </w:p>
    <w:p>
      <w:r>
        <w:br w:type="page"/>
      </w:r>
    </w:p>
    <w:p>
      <w:pPr>
        <w:spacing w:after="160"/>
      </w:pPr>
      <w:r>
        <w:rPr>
          <w:b/>
          <w:bCs/>
          <w:color w:val="0E7C66"/>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Introducción y metodología</w:t>
      </w:r>
    </w:p>
    <w:p>
      <w:pPr>
        <w:spacing w:after="140" w:line="276"/>
      </w:pPr>
      <w:r>
        <w:t xml:space="preserve">Este informe documenta el </w:t>
      </w:r>
      <w:r>
        <w:rPr>
          <w:b/>
          <w:bCs/>
        </w:rPr>
        <w:t xml:space="preserve">fundamento científico de cada decisión de programación</w:t>
      </w:r>
      <w:r>
        <w:t xml:space="preserve"> implementada en el motor de entrenamiento de GymTracker. No es una descripción del código, sino la justificación: para cada función se indica </w:t>
      </w:r>
      <w:r>
        <w:rPr>
          <w:b/>
          <w:bCs/>
        </w:rPr>
        <w:t xml:space="preserve">qué hace el sistema</w:t>
      </w:r>
      <w:r>
        <w:t xml:space="preserve"> y </w:t>
      </w:r>
      <w:r>
        <w:rPr>
          <w:b/>
          <w:bCs/>
        </w:rPr>
        <w:t xml:space="preserve">por qué la evidencia lo respalda</w:t>
      </w:r>
      <w:r>
        <w:t xml:space="preserve">, con citas a metaanálisis, revisiones sistemáticas y tomas de posición de sociedades científicas.</w:t>
      </w:r>
    </w:p>
    <w:p>
      <w:pPr>
        <w:spacing w:after="140" w:line="276"/>
      </w:pPr>
      <w:r>
        <w:t xml:space="preserve">Las afirmaciones se apoyan preferentemente en el mayor nivel de evidencia disponible: </w:t>
      </w:r>
      <w:r>
        <w:rPr>
          <w:b/>
          <w:bCs/>
        </w:rPr>
        <w:t xml:space="preserve">metaanálisis y revisiones sistemáticas</w:t>
      </w:r>
      <w:r>
        <w:t xml:space="preserve"> cuando existen, y tomas de posición del </w:t>
      </w:r>
      <w:r>
        <w:rPr>
          <w:i/>
          <w:iCs/>
        </w:rPr>
        <w:t xml:space="preserve">American College of Sports Medicine</w:t>
      </w:r>
      <w:r>
        <w:t xml:space="preserve"> (ACSM) o de la </w:t>
      </w:r>
      <w:r>
        <w:rPr>
          <w:i/>
          <w:iCs/>
        </w:rPr>
        <w:t xml:space="preserve">International Society of Sports Nutrition</w:t>
      </w:r>
      <w:r>
        <w:t xml:space="preserve"> (ISSN) para las guías prácticas. Las referencias se numeran entre corchetes </w:t>
      </w:r>
      <w:r>
        <w:rPr>
          <w:b/>
          <w:bCs/>
          <w:color w:val="0E7C66"/>
          <w:vertAlign w:val="superscript"/>
        </w:rPr>
        <w:t xml:space="preserve">[n]</w:t>
      </w:r>
      <w:r>
        <w:t xml:space="preserve"> y se listan completas al final.</w:t>
      </w:r>
    </w:p>
    <w:p>
      <w:pPr>
        <w:spacing w:after="140" w:line="276"/>
      </w:pPr>
      <w:r>
        <w:rPr>
          <w:b/>
          <w:bCs/>
        </w:rPr>
        <w:t xml:space="preserve">Nota de honestidad científica: </w:t>
      </w:r>
      <w:r>
        <w:t xml:space="preserve">no todas las funciones tienen el mismo respaldo. Las de programación de volumen, fallo, descansos, frecuencia y proteína descansan sobre metaanálisis sólidos; las de deload reactivo y check-in de disposición (</w:t>
      </w:r>
      <w:r>
        <w:rPr>
          <w:i/>
          <w:iCs/>
        </w:rPr>
        <w:t xml:space="preserve">readiness</w:t>
      </w:r>
      <w:r>
        <w:t xml:space="preserve">) se apoyan en fundamentos mecanísticos y en la práctica de la autorregulación, un área con evidencia todavía en desarrollo. Esto se señala explícitamente en la sección correspondiente.</w:t>
      </w:r>
    </w:p>
    <w:p>
      <w:pPr>
        <w:pStyle w:val="Heading1"/>
      </w:pPr>
      <w:r>
        <w:t xml:space="preserve">Parte I · Programación del entrenamiento</w:t>
      </w:r>
    </w:p>
    <w:p>
      <w:pPr>
        <w:pStyle w:val="Heading2"/>
      </w:pPr>
      <w:r>
        <w:t xml:space="preserve">1. Proximidad al fallo y dosificación por semana (RIR)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Las semanas 1–2 del mesociclo se entrenan dejando 1–2 repeticiones en reserva (RIR 1–2). Las técnicas al fallo (AMRAP, Rest-Pause, Drop Set) se reservan a las semanas 3–4 y solo en la última serie del ejercicio. El deload es 100 % libre de fallo (RIR 3–4).</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fallo muscular no es necesario para maximizar la hipertrofia y, en cambio, incrementa la fatiga y el tiempo de recuperación, lo que puede reducir el volumen total tolerable.</w:t>
            </w:r>
          </w:p>
        </w:tc>
      </w:tr>
    </w:tbl>
    <w:p>
      <w:pPr>
        <w:spacing w:after="140" w:line="276"/>
      </w:pPr>
      <w:r>
        <w:t xml:space="preserve">El metaanálisis de Refalo et al. </w:t>
      </w:r>
      <w:r>
        <w:rPr>
          <w:b/>
          <w:bCs/>
          <w:color w:val="0E7C66"/>
          <w:vertAlign w:val="superscript"/>
        </w:rPr>
        <w:t xml:space="preserve">[1]</w:t>
      </w:r>
      <w:r>
        <w:t xml:space="preserve"> concluye que entrenar más cerca del fallo no produce mayor hipertrofia de forma significativa frente a dejar repeticiones en reserva. Las meta-regresiones de Robinson et al. </w:t>
      </w:r>
      <w:r>
        <w:rPr>
          <w:b/>
          <w:bCs/>
          <w:color w:val="0E7C66"/>
          <w:vertAlign w:val="superscript"/>
        </w:rPr>
        <w:t xml:space="preserve">[2]</w:t>
      </w:r>
      <w:r>
        <w:t xml:space="preserve"> muestran que la hipertrofia es prácticamente equivalente en un amplio rango de proximidad al fallo, mientras que la fuerza incluso mejora ligeramente entrenando algo lejos del fallo. Grgic et al. </w:t>
      </w:r>
      <w:r>
        <w:rPr>
          <w:b/>
          <w:bCs/>
          <w:color w:val="0E7C66"/>
          <w:vertAlign w:val="superscript"/>
        </w:rPr>
        <w:t xml:space="preserve">[3]</w:t>
      </w:r>
      <w:r>
        <w:t xml:space="preserve"> confirman que entrenar al fallo frente a no-fallo no ofrece ventajas claras en fuerza ni hipertrofia. Reservar el fallo para el final del mesociclo concentra su fatiga cuando ya no compromete las semanas siguientes.</w:t>
      </w:r>
    </w:p>
    <w:p>
      <w:pPr>
        <w:pStyle w:val="Heading2"/>
      </w:pPr>
      <w:r>
        <w:t xml:space="preserve">2. Descanso entre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180 s en la serie pesada principal (Top Set), 120 s en las series de acumulación de compuestos (Bloque B) y 90 s en aislamientos monoarticulares. Antes el sistema usaba 90 s también en los compuestos.</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En ejercicios multiarticulares, descansos cortos reducen las repeticiones de las series siguientes y con ello el volumen efectivo y la hipertrofia.</w:t>
            </w:r>
          </w:p>
        </w:tc>
      </w:tr>
    </w:tbl>
    <w:p>
      <w:pPr>
        <w:spacing w:after="140" w:line="276"/>
      </w:pPr>
      <w:r>
        <w:t xml:space="preserve">El ensayo de Schoenfeld et al. </w:t>
      </w:r>
      <w:r>
        <w:rPr>
          <w:b/>
          <w:bCs/>
          <w:color w:val="0E7C66"/>
          <w:vertAlign w:val="superscript"/>
        </w:rPr>
        <w:t xml:space="preserve">[4]</w:t>
      </w:r>
      <w:r>
        <w:t xml:space="preserve"> demostró que descansos de 3 minutos produjeron mayor fuerza e hipertrofia que descansos de 1 minuto en hombres entrenados. La revisión de Grgic et al. </w:t>
      </w:r>
      <w:r>
        <w:rPr>
          <w:b/>
          <w:bCs/>
          <w:color w:val="0E7C66"/>
          <w:vertAlign w:val="superscript"/>
        </w:rPr>
        <w:t xml:space="preserve">[5]</w:t>
      </w:r>
      <w:r>
        <w:t xml:space="preserve"> respalda que descansos ≥ 2 minutos son preferibles para la fuerza en ejercicios compuestos, sin beneficio adicional claro por acortarlos. Por eso el sistema mantiene descansos largos solo donde importan (compuestos) y ahorra tiempo en los aislamientos.</w:t>
      </w:r>
    </w:p>
    <w:p>
      <w:pPr>
        <w:pStyle w:val="Heading2"/>
      </w:pPr>
      <w:r>
        <w:t xml:space="preserve">3. Volumen semanal por músculo (relación dosis-respuesta)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generador apunta a ~10–20 series semanales por grupo muscular grande, con un techo de ~8–10 series duras por sesión y por músculo. Se añadió aislamiento de pecho en los días de torso (subía de ~6 a ~10 series) y se corrigió un exceso de cuádriceps (11 → 8 series/sesión).</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Existe una relación dosis-respuesta entre el volumen semanal y la hipertrofia, pero con rendimientos decrecientes y un techo por sesión.</w:t>
            </w:r>
          </w:p>
        </w:tc>
      </w:tr>
    </w:tbl>
    <w:p>
      <w:pPr>
        <w:spacing w:after="140" w:line="276"/>
      </w:pPr>
      <w:r>
        <w:t xml:space="preserve">El metaanálisis de Schoenfeld, Ogborn y Krieger </w:t>
      </w:r>
      <w:r>
        <w:rPr>
          <w:b/>
          <w:bCs/>
          <w:color w:val="0E7C66"/>
          <w:vertAlign w:val="superscript"/>
        </w:rPr>
        <w:t xml:space="preserve">[6]</w:t>
      </w:r>
      <w:r>
        <w:t xml:space="preserve"> halló que mayores volúmenes semanales (≥ 10 series) producen más hipertrofia que volúmenes bajos. La revisión de Baz-Valle et al. </w:t>
      </w:r>
      <w:r>
        <w:rPr>
          <w:b/>
          <w:bCs/>
          <w:color w:val="0E7C66"/>
          <w:vertAlign w:val="superscript"/>
        </w:rPr>
        <w:t xml:space="preserve">[7]</w:t>
      </w:r>
      <w:r>
        <w:t xml:space="preserve"> sitúa el rango productivo aproximadamente entre 12 y 20 series semanales por grupo muscular en sujetos entrenados. La meta-regresión de Pelland et al. </w:t>
      </w:r>
      <w:r>
        <w:rPr>
          <w:b/>
          <w:bCs/>
          <w:color w:val="0E7C66"/>
          <w:vertAlign w:val="superscript"/>
        </w:rPr>
        <w:t xml:space="preserve">[8]</w:t>
      </w:r>
      <w:r>
        <w:t xml:space="preserve"> confirma la tendencia dosis-respuesta con beneficios decrecientes en volúmenes altos. Repartir el volumen y no exceder ~10 series duras por músculo en una sola sesión evita volumen improductivo y fatiga innecesaria.</w:t>
      </w:r>
    </w:p>
    <w:p>
      <w:pPr>
        <w:pStyle w:val="Heading2"/>
      </w:pPr>
      <w:r>
        <w:t xml:space="preserve">4. Frecuencia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Cada patrón de movimiento fundamental se entrena 2 veces por semana. Se corrigió el split Full Body, donde tres patrones quedaban a 1×/semana rompiendo esta regla.</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Repartir el mismo volumen semanal en 2 sesiones tiende a igualar o superar la hipertrofia de concentrarlo en 1.</w:t>
            </w:r>
          </w:p>
        </w:tc>
      </w:tr>
    </w:tbl>
    <w:p>
      <w:pPr>
        <w:spacing w:after="140" w:line="276"/>
      </w:pPr>
      <w:r>
        <w:t xml:space="preserve">El metaanálisis de Schoenfeld, Grgic y Krieger </w:t>
      </w:r>
      <w:r>
        <w:rPr>
          <w:b/>
          <w:bCs/>
          <w:color w:val="0E7C66"/>
          <w:vertAlign w:val="superscript"/>
        </w:rPr>
        <w:t xml:space="preserve">[9]</w:t>
      </w:r>
      <w:r>
        <w:t xml:space="preserve"> concluye que, igualando el volumen, entrenar un músculo ≥ 2 veces por semana produce mayor hipertrofia que 1 vez. La revisión de Ralston et al. </w:t>
      </w:r>
      <w:r>
        <w:rPr>
          <w:b/>
          <w:bCs/>
          <w:color w:val="0E7C66"/>
          <w:vertAlign w:val="superscript"/>
        </w:rPr>
        <w:t xml:space="preserve">[10]</w:t>
      </w:r>
      <w:r>
        <w:t xml:space="preserve"> sobre volumen y fuerza es consistente con distribuir el trabajo en varias sesiones. Por eso ningún patrón queda a una sola sesión semanal.</w:t>
      </w:r>
    </w:p>
    <w:p>
      <w:pPr>
        <w:pStyle w:val="Heading2"/>
      </w:pPr>
      <w:r>
        <w:t xml:space="preserve">5. Sobrecarga progresiva y doble progresión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Progresión doble estricta: primero se completa el rango de repeticiones objetivo y solo entonces sube la carga. La marca a superar («Anterior: X kg × Y @RPE Z») se muestra en cada tarjeta. El intento de récord de la semana pico solo se prescribe si la sesión previa cumplió el rango con RPE ≤ 8.</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La sobrecarga progresiva es el principio rector del aumento de fuerza y masa muscular; debe ganarse por rendimiento, no imponerse por calendario.</w:t>
            </w:r>
          </w:p>
        </w:tc>
      </w:tr>
    </w:tbl>
    <w:p>
      <w:pPr>
        <w:spacing w:after="140" w:line="276"/>
      </w:pPr>
      <w:r>
        <w:t xml:space="preserve">La toma de posición del ACSM sobre modelos de progresión </w:t>
      </w:r>
      <w:r>
        <w:rPr>
          <w:b/>
          <w:bCs/>
          <w:color w:val="0E7C66"/>
          <w:vertAlign w:val="superscript"/>
        </w:rPr>
        <w:t xml:space="preserve">[11]</w:t>
      </w:r>
      <w:r>
        <w:t xml:space="preserve"> establece la sobrecarga progresiva y la manipulación planificada de volumen e intensidad como base del desarrollo muscular en sujetos entrenados. Condicionar el récord al rendimiento previo evita forzar intentos máximos con fatiga acumulada, una causa frecuente de estancamiento y lesión.</w:t>
      </w:r>
    </w:p>
    <w:p>
      <w:pPr>
        <w:pStyle w:val="Heading2"/>
      </w:pPr>
      <w:r>
        <w:t xml:space="preserve">6. Autorregulación por RIR/RPE y check-in de disposición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Cada serie muestra su RPE objetivo. Antes de entrenar, un check-in de 1 toque (Bien / Normal / Cansada); si la disposición es baja, el objetivo del día baja a RPE 7–8 sin fallo, manteniendo el entrenamiento.</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La escala de RIR/RPE permite ajustar la carga al estado real del día; la autorregulación adapta el estímulo a la disposición individual.</w:t>
            </w:r>
          </w:p>
        </w:tc>
      </w:tr>
    </w:tbl>
    <w:p>
      <w:pPr>
        <w:spacing w:after="140" w:line="276"/>
      </w:pPr>
      <w:r>
        <w:t xml:space="preserve">Zourdos et al. </w:t>
      </w:r>
      <w:r>
        <w:rPr>
          <w:b/>
          <w:bCs/>
          <w:color w:val="0E7C66"/>
          <w:vertAlign w:val="superscript"/>
        </w:rPr>
        <w:t xml:space="preserve">[12]</w:t>
      </w:r>
      <w:r>
        <w:t xml:space="preserve"> validaron una escala de RPE específica de fuerza basada en repeticiones en reserva, y Helms et al. </w:t>
      </w:r>
      <w:r>
        <w:rPr>
          <w:b/>
          <w:bCs/>
          <w:color w:val="0E7C66"/>
          <w:vertAlign w:val="superscript"/>
        </w:rPr>
        <w:t xml:space="preserve">[13]</w:t>
      </w:r>
      <w:r>
        <w:t xml:space="preserve"> describen su aplicación práctica para regular la carga sesión a sesión. La revisión de Greig et al. </w:t>
      </w:r>
      <w:r>
        <w:rPr>
          <w:b/>
          <w:bCs/>
          <w:color w:val="0E7C66"/>
          <w:vertAlign w:val="superscript"/>
        </w:rPr>
        <w:t xml:space="preserve">[14]</w:t>
      </w:r>
      <w:r>
        <w:t xml:space="preserve"> sobre autorregulación señala su potencial para individualizar el estímulo, a la vez que reconoce que la evidencia comparativa frente a la programación fija todavía es heterogénea. Por eso el </w:t>
      </w:r>
      <w:r>
        <w:rPr>
          <w:i/>
          <w:iCs/>
        </w:rPr>
        <w:t xml:space="preserve">readiness</w:t>
      </w:r>
      <w:r>
        <w:t xml:space="preserve"> solo modula a la baja en días malos —una decisión conservadora— en lugar de reescribir todo el programa.</w:t>
      </w:r>
    </w:p>
    <w:p>
      <w:pPr>
        <w:pStyle w:val="Heading2"/>
      </w:pPr>
      <w:r>
        <w:t xml:space="preserve">7. Deload y gestión de la fatiga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Mesociclo de 5 semanas terminando en deload (misma intensidad, ~50 % del volumen, sin fallo). Además, deload reactivo: si el RPE medio semanal ≥ 9 durante 2 semanas seguidas, se adelanta la descarga.</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La descarga periódica busca disipar fatiga acumulada manteniendo la carga; es práctica común, con base mecanística, aunque la evidencia directa es todavía limitada.</w:t>
            </w:r>
          </w:p>
        </w:tc>
      </w:tr>
    </w:tbl>
    <w:p>
      <w:pPr>
        <w:spacing w:after="140" w:line="276"/>
      </w:pPr>
      <w:r>
        <w:rPr>
          <w:b/>
          <w:bCs/>
        </w:rPr>
        <w:t xml:space="preserve">Fuerza de la evidencia (transparencia): </w:t>
      </w:r>
      <w:r>
        <w:t xml:space="preserve">mantener la intensidad y recortar el volumen durante el deload es coherente con la relación volumen-fatiga descrita en la literatura de volumen </w:t>
      </w:r>
      <w:r>
        <w:rPr>
          <w:b/>
          <w:bCs/>
          <w:color w:val="0E7C66"/>
          <w:vertAlign w:val="superscript"/>
        </w:rPr>
        <w:t xml:space="preserve">[6]</w:t>
      </w:r>
      <w:r>
        <w:rPr>
          <w:b/>
          <w:bCs/>
          <w:color w:val="0E7C66"/>
          <w:vertAlign w:val="superscript"/>
        </w:rPr>
        <w:t xml:space="preserve">[7]</w:t>
      </w:r>
      <w:r>
        <w:t xml:space="preserve"> y con la toma de posición del ACSM sobre periodización </w:t>
      </w:r>
      <w:r>
        <w:rPr>
          <w:b/>
          <w:bCs/>
          <w:color w:val="0E7C66"/>
          <w:vertAlign w:val="superscript"/>
        </w:rPr>
        <w:t xml:space="preserve">[11]</w:t>
      </w:r>
      <w:r>
        <w:t xml:space="preserve">. No obstante, los protocolos óptimos de deload son un área emergente y no existe todavía un consenso metaanalítico firme sobre su frecuencia y magnitud ideales. La implementación (reactiva por RPE + programada) es una aplicación prudente de estos principios, no una receta con respaldo de ensayo controlado específico.</w:t>
      </w:r>
    </w:p>
    <w:p>
      <w:pPr>
        <w:pStyle w:val="Heading1"/>
      </w:pPr>
      <w:r>
        <w:t xml:space="preserve">Parte II · Selección de ejercicios y cobertura muscular</w:t>
      </w:r>
    </w:p>
    <w:p>
      <w:pPr>
        <w:pStyle w:val="Heading2"/>
      </w:pPr>
      <w:r>
        <w:t xml:space="preserve">8. Cobertura muscular completa: deltoides posterior e isquios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Se crearon patrones propios para el deltoides posterior (Face Pull / Pec Deck invertido) y para la flexión de rodilla (curl femoral), presentes cada semana. Antes ambos quedaban «invisibles»: siempre perdían la selección frente a otro ejercicio del mismo grupo.</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desarrollo muscular es regionalmente específico: un músculo puede quedar infra-estimulado si ningún ejercicio cubre su función particular.</w:t>
            </w:r>
          </w:p>
        </w:tc>
      </w:tr>
    </w:tbl>
    <w:p>
      <w:pPr>
        <w:spacing w:after="140" w:line="276"/>
      </w:pPr>
      <w:r>
        <w:t xml:space="preserve">La flexión de rodilla es el caso más claro. El bíceps femoral (parte de los isquiotibiales) tiene funciones distintas en la extensión de cadera (peso muerto rumano) y en la flexión de rodilla (curl femoral); </w:t>
      </w:r>
      <w:r>
        <w:rPr>
          <w:b/>
          <w:bCs/>
        </w:rPr>
        <w:t xml:space="preserve">un ejercicio de cadera no sustituye a uno de rodilla</w:t>
      </w:r>
      <w:r>
        <w:t xml:space="preserve">. Maeo et al. </w:t>
      </w:r>
      <w:r>
        <w:rPr>
          <w:b/>
          <w:bCs/>
          <w:color w:val="0E7C66"/>
          <w:vertAlign w:val="superscript"/>
        </w:rPr>
        <w:t xml:space="preserve">[15]</w:t>
      </w:r>
      <w:r>
        <w:t xml:space="preserve"> mostraron incluso que el curl femoral sentado —que entrena el isquio en mayor elongación— produce más hipertrofia que su versión tumbada, evidencia de la especificidad del estímulo dentro de un mismo músculo. De forma análoga, el deltoides posterior recibe poca carga en los presses y requiere trabajo directo. La toma de posición del ACSM </w:t>
      </w:r>
      <w:r>
        <w:rPr>
          <w:b/>
          <w:bCs/>
          <w:color w:val="0E7C66"/>
          <w:vertAlign w:val="superscript"/>
        </w:rPr>
        <w:t xml:space="preserve">[11]</w:t>
      </w:r>
      <w:r>
        <w:t xml:space="preserve"> recomienda incluir ejercicios que cubran todos los grupos y acciones musculares principales. Por eso el sistema garantiza —y verifica con pruebas automáticas— que ningún músculo quede sin su ejercicio específico.</w:t>
      </w:r>
    </w:p>
    <w:p>
      <w:pPr>
        <w:pStyle w:val="Heading2"/>
      </w:pPr>
      <w:r>
        <w:t xml:space="preserve">9. Selección específica y alternativas por función (no genéricas)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segundo día de cada grupo usa el aislamiento alternativo (p. ej. curl con barra ↔ con mancuernas, femoral tumbado ↔ sentado). Las alternativas que ofrece la app son ahora por función de movimiento —un press se sustituye por otro press, un remo por otro remo— y no por «mismo músculo» genérico.</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La variación de ejercicios cubre distintas porciones y curvas de fuerza de un músculo; una alternativa válida debe conservar el patrón de movimiento y la función buscada.</w:t>
            </w:r>
          </w:p>
        </w:tc>
      </w:tr>
    </w:tbl>
    <w:p>
      <w:pPr>
        <w:spacing w:after="140" w:line="276"/>
      </w:pPr>
      <w:r>
        <w:t xml:space="preserve">Fonseca et al. </w:t>
      </w:r>
      <w:r>
        <w:rPr>
          <w:b/>
          <w:bCs/>
          <w:color w:val="0E7C66"/>
          <w:vertAlign w:val="superscript"/>
        </w:rPr>
        <w:t xml:space="preserve">[16]</w:t>
      </w:r>
      <w:r>
        <w:t xml:space="preserve"> observaron que variar los ejercicios (frente a repetir siempre el mismo) mejoró el desarrollo de fuerza de forma más homogénea en la musculatura del muslo, apoyando la rotación con intención de ejercicios para cubrir la totalidad del músculo. Una alternativa que conserva la función —empuje vertical por empuje vertical— preserva el objetivo del bloque; sustituir un press por unas elevaciones laterales solo porque ambos son «hombro» cambiaría el patrón y el estímulo buscado. De ahí que la lógica de alternativas se reescribiera por función y no por músculo.</w:t>
      </w:r>
    </w:p>
    <w:p>
      <w:pPr>
        <w:pStyle w:val="Heading1"/>
      </w:pPr>
      <w:r>
        <w:t xml:space="preserve">Parte III · Métricas de progreso</w:t>
      </w:r>
    </w:p>
    <w:p>
      <w:pPr>
        <w:pStyle w:val="Heading2"/>
      </w:pPr>
      <w:r>
        <w:t xml:space="preserve">10. 1RM estimado (e1RM) como métrica de fuerza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panel calcula el 1RM estimado con la fórmula de Epley y lo usa para graficar la progresión y detectar récords personales, incluidos los «invisibles» (misma carga, más repeticiones).</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1RM estimado a partir de series submáximas es una medida válida y segura de la fuerza que integra carga y repeticiones, evitando intentos máximos reales.</w:t>
            </w:r>
          </w:p>
        </w:tc>
      </w:tr>
    </w:tbl>
    <w:p>
      <w:pPr>
        <w:spacing w:after="140" w:line="276"/>
      </w:pPr>
      <w:r>
        <w:t xml:space="preserve">La fórmula de Epley </w:t>
      </w:r>
      <w:r>
        <w:rPr>
          <w:b/>
          <w:bCs/>
          <w:color w:val="0E7C66"/>
          <w:vertAlign w:val="superscript"/>
        </w:rPr>
        <w:t xml:space="preserve">[17]</w:t>
      </w:r>
      <w:r>
        <w:t xml:space="preserve"> es una de las ecuaciones clásicas de predicción del 1RM. LeSuer et al. </w:t>
      </w:r>
      <w:r>
        <w:rPr>
          <w:b/>
          <w:bCs/>
          <w:color w:val="0E7C66"/>
          <w:vertAlign w:val="superscript"/>
        </w:rPr>
        <w:t xml:space="preserve">[18]</w:t>
      </w:r>
      <w:r>
        <w:t xml:space="preserve"> evaluaron la exactitud de estas ecuaciones en press de banca, sentadilla y peso muerto, mostrando que estiman el 1RM con buena aproximación en rangos moderados de repeticiones. Estimarlo en lugar de medirlo evita el riesgo de los intentos máximos reales y permite comparar sesiones donde cambian carga y repeticiones a la vez.</w:t>
      </w:r>
    </w:p>
    <w:p>
      <w:pPr>
        <w:pStyle w:val="Heading1"/>
      </w:pPr>
      <w:r>
        <w:t xml:space="preserve">Parte IV · Nutrición y recuperación</w:t>
      </w:r>
    </w:p>
    <w:p>
      <w:pPr>
        <w:pStyle w:val="Heading2"/>
      </w:pPr>
      <w:r>
        <w:t xml:space="preserve">11. Proteína: cantidad diaria y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panel muestra la proteína en gramos/día según el peso y el objetivo (1,6–2,2 g/kg; hasta 2,3–2,5 g/kg en déficit), y recomienda repartirla en 3–5 tomas de ~0,4–0,55 g/kg, una de ellas cercana al entrenamiento.</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Existe un umbral de proteína diaria que maximiza las ganancias con el entrenamiento de fuerza; repartirla en varias tomas optimiza la síntesis proteica.</w:t>
            </w:r>
          </w:p>
        </w:tc>
      </w:tr>
    </w:tbl>
    <w:p>
      <w:pPr>
        <w:spacing w:after="140" w:line="276"/>
      </w:pPr>
      <w:r>
        <w:t xml:space="preserve">El metaanálisis de Morton et al. </w:t>
      </w:r>
      <w:r>
        <w:rPr>
          <w:b/>
          <w:bCs/>
          <w:color w:val="0E7C66"/>
          <w:vertAlign w:val="superscript"/>
        </w:rPr>
        <w:t xml:space="preserve">[19]</w:t>
      </w:r>
      <w:r>
        <w:t xml:space="preserve"> identifica ~1,6 g/kg/día como el punto a partir del cual dejan de aumentar las ganancias de masa muscular con el entrenamiento de fuerza, con un intervalo superior que justifica apuntar a 2,2 g/kg. En déficit calórico conviene el extremo alto del rango para retener músculo, como recomiendan Helms et al. </w:t>
      </w:r>
      <w:r>
        <w:rPr>
          <w:b/>
          <w:bCs/>
          <w:color w:val="0E7C66"/>
          <w:vertAlign w:val="superscript"/>
        </w:rPr>
        <w:t xml:space="preserve">[20]</w:t>
      </w:r>
      <w:r>
        <w:t xml:space="preserve"> e Iraki et al. </w:t>
      </w:r>
      <w:r>
        <w:rPr>
          <w:b/>
          <w:bCs/>
          <w:color w:val="0E7C66"/>
          <w:vertAlign w:val="superscript"/>
        </w:rPr>
        <w:t xml:space="preserve">[21]</w:t>
      </w:r>
      <w:r>
        <w:t xml:space="preserve"> para culturismo natural. Schoenfeld y Aragon </w:t>
      </w:r>
      <w:r>
        <w:rPr>
          <w:b/>
          <w:bCs/>
          <w:color w:val="0E7C66"/>
          <w:vertAlign w:val="superscript"/>
        </w:rPr>
        <w:t xml:space="preserve">[22]</w:t>
      </w:r>
      <w:r>
        <w:t xml:space="preserve"> respaldan repartir la ingesta en varias tomas de ~0,4 g/kg para maximizar la síntesis proteica diaria. El sistema convierte estos rangos en gramos concretos para eliminar el cálculo manual.</w:t>
      </w:r>
    </w:p>
    <w:p>
      <w:pPr>
        <w:pStyle w:val="Heading2"/>
      </w:pPr>
      <w:r>
        <w:t xml:space="preserve">12. Ritmo de cambio de peso y detección de recomposición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La pestaña de peso corporal usa la media móvil de 7 días y un semáforo que compara la tendencia real con el objetivo del enfoque (p. ej. −0,5 a 0 %/sem en recomposición). El registro opcional de cintura permite detectar recomposición: peso estable con cintura a la baja.</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Un ritmo de pérdida moderado preserva la masa muscular; la báscula por sí sola puede ocultar la recomposición corporal.</w:t>
            </w:r>
          </w:p>
        </w:tc>
      </w:tr>
    </w:tbl>
    <w:p>
      <w:pPr>
        <w:spacing w:after="140" w:line="276"/>
      </w:pPr>
      <w:r>
        <w:t xml:space="preserve">Garthe et al. </w:t>
      </w:r>
      <w:r>
        <w:rPr>
          <w:b/>
          <w:bCs/>
          <w:color w:val="0E7C66"/>
          <w:vertAlign w:val="superscript"/>
        </w:rPr>
        <w:t xml:space="preserve">[23]</w:t>
      </w:r>
      <w:r>
        <w:t xml:space="preserve"> mostraron que una pérdida de peso más lenta (~0,5 %/semana) preserva mejor la masa magra y el rendimiento que una pérdida rápida en atletas. Iraki et al. </w:t>
      </w:r>
      <w:r>
        <w:rPr>
          <w:b/>
          <w:bCs/>
          <w:color w:val="0E7C66"/>
          <w:vertAlign w:val="superscript"/>
        </w:rPr>
        <w:t xml:space="preserve">[21]</w:t>
      </w:r>
      <w:r>
        <w:t xml:space="preserve"> recomiendan superávits pequeños en volumen para limitar la ganancia de grasa. Barakat et al. </w:t>
      </w:r>
      <w:r>
        <w:rPr>
          <w:b/>
          <w:bCs/>
          <w:color w:val="0E7C66"/>
          <w:vertAlign w:val="superscript"/>
        </w:rPr>
        <w:t xml:space="preserve">[24]</w:t>
      </w:r>
      <w:r>
        <w:t xml:space="preserve"> documentan que la recomposición corporal —ganar músculo y perder grasa a la vez— es posible, especialmente en principiantes o en retorno, escenario en el que el peso puede permanecer estable mientras cambia la composición; por eso el sistema añade la cintura como segunda señal. Guiar el ajuste calórico por la tendencia y no por el dato diario es la aplicación directa de estos hallazgos.</w:t>
      </w:r>
    </w:p>
    <w:p>
      <w:pPr>
        <w:pStyle w:val="Heading2"/>
      </w:pPr>
      <w:r>
        <w:t xml:space="preserve">13. Creatina monohidrato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Las guías de macros de todos los enfoques incluyen 3–5 g/día de creatina monohidrato, a cualquier hora, todos los días.</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La creatina monohidrato es el suplemento ergogénico con más respaldo para fuerza e hipertrofia, y su seguridad está bien establecida.</w:t>
            </w:r>
          </w:p>
        </w:tc>
      </w:tr>
    </w:tbl>
    <w:p>
      <w:pPr>
        <w:spacing w:after="140" w:line="276"/>
      </w:pPr>
      <w:r>
        <w:t xml:space="preserve">La toma de posición de la ISSN </w:t>
      </w:r>
      <w:r>
        <w:rPr>
          <w:b/>
          <w:bCs/>
          <w:color w:val="0E7C66"/>
          <w:vertAlign w:val="superscript"/>
        </w:rPr>
        <w:t xml:space="preserve">[25]</w:t>
      </w:r>
      <w:r>
        <w:t xml:space="preserve"> concluye que la creatina monohidrato es el suplemento nutricional más eficaz para aumentar la capacidad de ejercicio de alta intensidad y la masa magra, con un perfil de seguridad sólido a las dosis habituales de 3–5 g/día. Su inclusión por defecto es coherente con esta evidencia.</w:t>
      </w:r>
    </w:p>
    <w:p>
      <w:pPr>
        <w:pStyle w:val="Heading2"/>
      </w:pPr>
      <w:r>
        <w:t xml:space="preserve">14. Sueño como pilar de la recuperación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Qué hace</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sistema trata el sueño de 7–9 h como requisito —no consejo— especialmente en déficit calórico, y lo recuerda en los días de descanso.</w:t>
            </w:r>
          </w:p>
        </w:tc>
      </w:tr>
      <w:tr>
        <w:tc>
          <w:tcPr>
            <w:tcW w:type="dxa" w:w="2100"/>
            <w:tcBorders>
              <w:top w:val="single" w:color="CCD2DA" w:sz="1"/>
              <w:left w:val="single" w:color="CCD2DA" w:sz="1"/>
              <w:bottom w:val="single" w:color="CCD2DA" w:sz="1"/>
              <w:right w:val="single" w:color="CCD2DA" w:sz="1"/>
            </w:tcBorders>
            <w:shd w:fill="EEF4F2" w:val="clear"/>
            <w:tcMar>
              <w:top w:type="dxa" w:w="80"/>
              <w:left w:type="dxa" w:w="120"/>
              <w:bottom w:type="dxa" w:w="80"/>
              <w:right w:type="dxa" w:w="120"/>
            </w:tcMar>
          </w:tcPr>
          <w:p>
            <w:r>
              <w:rPr>
                <w:b/>
                <w:bCs/>
                <w:color w:val="12303A"/>
                <w:sz w:val="20"/>
                <w:szCs w:val="20"/>
              </w:rPr>
              <w:t xml:space="preserve">Fundamento</w:t>
            </w:r>
          </w:p>
        </w:tc>
        <w:tc>
          <w:tcPr>
            <w:tcW w:type="dxa" w:w="7260"/>
            <w:tcBorders>
              <w:top w:val="single" w:color="CCD2DA" w:sz="1"/>
              <w:left w:val="single" w:color="CCD2DA" w:sz="1"/>
              <w:bottom w:val="single" w:color="CCD2DA" w:sz="1"/>
              <w:right w:val="single" w:color="CCD2DA" w:sz="1"/>
            </w:tcBorders>
            <w:tcMar>
              <w:top w:type="dxa" w:w="80"/>
              <w:left w:type="dxa" w:w="120"/>
              <w:bottom w:type="dxa" w:w="80"/>
              <w:right w:type="dxa" w:w="120"/>
            </w:tcMar>
          </w:tcPr>
          <w:p>
            <w:pPr>
              <w:spacing w:line="264"/>
            </w:pPr>
            <w:r>
              <w:t xml:space="preserve">El déficit de sueño deteriora la recuperación y desplaza la pérdida de peso desde la grasa hacia la masa magra.</w:t>
            </w:r>
          </w:p>
        </w:tc>
      </w:tr>
    </w:tbl>
    <w:p>
      <w:pPr>
        <w:spacing w:after="140" w:line="276"/>
      </w:pPr>
      <w:r>
        <w:t xml:space="preserve">Nedeltcheva et al. </w:t>
      </w:r>
      <w:r>
        <w:rPr>
          <w:b/>
          <w:bCs/>
          <w:color w:val="0E7C66"/>
          <w:vertAlign w:val="superscript"/>
        </w:rPr>
        <w:t xml:space="preserve">[26]</w:t>
      </w:r>
      <w:r>
        <w:t xml:space="preserve"> mostraron que dormir poco durante una dieta hipocalórica reduce la proporción de peso perdido que proviene de la grasa y aumenta la pérdida de masa magra. Dattilo et al. </w:t>
      </w:r>
      <w:r>
        <w:rPr>
          <w:b/>
          <w:bCs/>
          <w:color w:val="0E7C66"/>
          <w:vertAlign w:val="superscript"/>
        </w:rPr>
        <w:t xml:space="preserve">[27]</w:t>
      </w:r>
      <w:r>
        <w:t xml:space="preserve"> describen las bases endocrinas y moleculares por las que el sueño es clave para la recuperación muscular. Por eso el sistema jerarquiza el sueño al nivel del entrenamiento y la nutrición.</w:t>
      </w:r>
    </w:p>
    <w:p>
      <w:pPr>
        <w:pStyle w:val="Heading1"/>
      </w:pPr>
      <w:r>
        <w:t xml:space="preserve">Síntesis y nivel de evidencia</w:t>
      </w:r>
    </w:p>
    <w:p>
      <w:pPr>
        <w:spacing w:after="140" w:line="276"/>
      </w:pPr>
      <w:r>
        <w:t xml:space="preserve">La mayoría de las decisiones del motor descansan sobre </w:t>
      </w:r>
      <w:r>
        <w:rPr>
          <w:b/>
          <w:bCs/>
        </w:rPr>
        <w:t xml:space="preserve">metaanálisis y revisiones sistemáticas</w:t>
      </w:r>
      <w:r>
        <w:t xml:space="preserve"> (fallo/RIR, descansos, volumen, frecuencia, proteína, creatina) o sobre </w:t>
      </w:r>
      <w:r>
        <w:rPr>
          <w:b/>
          <w:bCs/>
        </w:rPr>
        <w:t xml:space="preserve">tomas de posición de sociedades científicas</w:t>
      </w:r>
      <w:r>
        <w:t xml:space="preserve"> (ACSM, ISSN). Un grupo menor —deload y </w:t>
      </w:r>
      <w:r>
        <w:rPr>
          <w:i/>
          <w:iCs/>
        </w:rPr>
        <w:t xml:space="preserve">readiness</w:t>
      </w:r>
      <w:r>
        <w:t xml:space="preserve">— se apoya en fundamentos mecanísticos y en la práctica de la autorregulación, un campo con evidencia todavía en desarrollo; en esos casos el sistema adopta decisiones </w:t>
      </w:r>
      <w:r>
        <w:rPr>
          <w:b/>
          <w:bCs/>
        </w:rPr>
        <w:t xml:space="preserve">conservadoras</w:t>
      </w:r>
      <w:r>
        <w:t xml:space="preserve"> (modular a la baja, nunca forzar). Ninguna función del sistema contradice la literatura revisada.</w:t>
      </w:r>
    </w:p>
    <w:p>
      <w:pPr>
        <w:spacing w:after="140" w:line="276"/>
      </w:pPr>
      <w:r>
        <w:rPr>
          <w:i/>
          <w:iCs/>
        </w:rPr>
        <w:t xml:space="preserve">Nota: este informe tiene fines educativos y de documentación técnica. No sustituye la valoración de un profesional de la salud o de la nutrición ante condiciones individuales.</w:t>
      </w:r>
    </w:p>
    <w:p>
      <w:r>
        <w:br w:type="page"/>
      </w:r>
    </w:p>
    <w:p>
      <w:pPr>
        <w:pStyle w:val="Heading1"/>
      </w:pPr>
      <w:r>
        <w:t xml:space="preserve">Referencias</w:t>
      </w:r>
    </w:p>
    <w:p>
      <w:pPr>
        <w:spacing w:after="120" w:line="264"/>
        <w:ind w:left="360" w:hanging="360"/>
      </w:pPr>
      <w:r>
        <w:rPr>
          <w:b/>
          <w:bCs/>
        </w:rPr>
        <w:t xml:space="preserve">1. </w:t>
      </w:r>
      <w:r>
        <w:t xml:space="preserve">Refalo MC, Helms ER, Trexler ET, Hamilton DL, Fyfe JJ (2023). Influence of resistance training proximity-to-failure on skeletal muscle hypertrophy: a systematic review with meta-analysis. Sports Medicine, 53(3):649–665.</w:t>
      </w:r>
      <w:r>
        <w:t xml:space="preserve">  </w:t>
      </w:r>
      <w:hyperlink w:history="1" r:id="rIdkg08iwfrykhafuuoodnsc">
        <w:r>
          <w:rPr>
            <w:rStyle w:val="Hyperlink"/>
            <w:sz w:val="18"/>
            <w:szCs w:val="18"/>
          </w:rPr>
          <w:t xml:space="preserve">doi.org/10.1007/s40279-022-01784-y</w:t>
        </w:r>
      </w:hyperlink>
    </w:p>
    <w:p>
      <w:pPr>
        <w:spacing w:after="120" w:line="264"/>
        <w:ind w:left="360" w:hanging="360"/>
      </w:pPr>
      <w:r>
        <w:rPr>
          <w:b/>
          <w:bCs/>
        </w:rPr>
        <w:t xml:space="preserve">2. </w:t>
      </w:r>
      <w:r>
        <w:t xml:space="preserve">Robinson ZP, Pelland JC, Remmert JF, et al. (2024). Exploring the dose–response relationship between estimated resistance training proximity to failure, strength gain, and muscle hypertrophy: a series of meta-regressions. Sports Medicine, 54(9):2209–2231.</w:t>
      </w:r>
      <w:r>
        <w:t xml:space="preserve">  </w:t>
      </w:r>
      <w:hyperlink w:history="1" r:id="rIdw7bbloc63v5irzuex0ua8">
        <w:r>
          <w:rPr>
            <w:rStyle w:val="Hyperlink"/>
            <w:sz w:val="18"/>
            <w:szCs w:val="18"/>
          </w:rPr>
          <w:t xml:space="preserve">doi.org/10.1007/s40279-024-02069-2</w:t>
        </w:r>
      </w:hyperlink>
    </w:p>
    <w:p>
      <w:pPr>
        <w:spacing w:after="120" w:line="264"/>
        <w:ind w:left="360" w:hanging="360"/>
      </w:pPr>
      <w:r>
        <w:rPr>
          <w:b/>
          <w:bCs/>
        </w:rPr>
        <w:t xml:space="preserve">3. </w:t>
      </w:r>
      <w:r>
        <w:t xml:space="preserve">Grgic J, Schoenfeld BJ, Orazem J, Sabol F (2022). Effects of resistance training performed to repetition failure or non-failure on muscular strength and hypertrophy: a systematic review and meta-analysis. Journal of Sport and Health Science, 11(2):202–211.</w:t>
      </w:r>
      <w:r>
        <w:t xml:space="preserve">  </w:t>
      </w:r>
      <w:hyperlink w:history="1" r:id="rIddu8jy5kolm_acerb3aa4a">
        <w:r>
          <w:rPr>
            <w:rStyle w:val="Hyperlink"/>
            <w:sz w:val="18"/>
            <w:szCs w:val="18"/>
          </w:rPr>
          <w:t xml:space="preserve">doi.org/10.1016/j.jshs.2021.01.007</w:t>
        </w:r>
      </w:hyperlink>
    </w:p>
    <w:p>
      <w:pPr>
        <w:spacing w:after="120" w:line="264"/>
        <w:ind w:left="360" w:hanging="360"/>
      </w:pPr>
      <w:r>
        <w:rPr>
          <w:b/>
          <w:bCs/>
        </w:rPr>
        <w:t xml:space="preserve">4. </w:t>
      </w:r>
      <w:r>
        <w:t xml:space="preserve">Schoenfeld BJ, Pope ZK, Benik FM, et al. (2016). Longer interset rest periods enhance muscle strength and hypertrophy in resistance-trained men. Journal of Strength and Conditioning Research, 30(7):1805–1812.</w:t>
      </w:r>
      <w:r>
        <w:t xml:space="preserve">  </w:t>
      </w:r>
      <w:hyperlink w:history="1" r:id="rId_onfyyagtufxmu9-m-ykh">
        <w:r>
          <w:rPr>
            <w:rStyle w:val="Hyperlink"/>
            <w:sz w:val="18"/>
            <w:szCs w:val="18"/>
          </w:rPr>
          <w:t xml:space="preserve">doi.org/10.1519/JSC.0000000000001272</w:t>
        </w:r>
      </w:hyperlink>
    </w:p>
    <w:p>
      <w:pPr>
        <w:spacing w:after="120" w:line="264"/>
        <w:ind w:left="360" w:hanging="360"/>
      </w:pPr>
      <w:r>
        <w:rPr>
          <w:b/>
          <w:bCs/>
        </w:rPr>
        <w:t xml:space="preserve">5. </w:t>
      </w:r>
      <w:r>
        <w:t xml:space="preserve">Grgic J, Lazinica B, Mikulic P, Schoenfeld BJ (2017). The effects of short versus long inter-set rest intervals in resistance training on measures of muscle hypertrophy: a systematic review. European Journal of Sport Science, 17(8):983–993.</w:t>
      </w:r>
      <w:r>
        <w:t xml:space="preserve">  </w:t>
      </w:r>
      <w:hyperlink w:history="1" r:id="rIdarghmqgbawvwnvbs8bwgp">
        <w:r>
          <w:rPr>
            <w:rStyle w:val="Hyperlink"/>
            <w:sz w:val="18"/>
            <w:szCs w:val="18"/>
          </w:rPr>
          <w:t xml:space="preserve">doi.org/10.1080/17461391.2017.1340524</w:t>
        </w:r>
      </w:hyperlink>
    </w:p>
    <w:p>
      <w:pPr>
        <w:spacing w:after="120" w:line="264"/>
        <w:ind w:left="360" w:hanging="360"/>
      </w:pPr>
      <w:r>
        <w:rPr>
          <w:b/>
          <w:bCs/>
        </w:rPr>
        <w:t xml:space="preserve">6. </w:t>
      </w:r>
      <w:r>
        <w:t xml:space="preserve">Schoenfeld BJ, Ogborn D, Krieger JW (2017). Dose-response relationship between weekly resistance training volume and increases in muscle mass: a systematic review and meta-analysis. Journal of Sports Sciences, 35(11):1073–1082.</w:t>
      </w:r>
      <w:r>
        <w:t xml:space="preserve">  </w:t>
      </w:r>
      <w:hyperlink w:history="1" r:id="rIdc4m-rbb3euydkatcleg8g">
        <w:r>
          <w:rPr>
            <w:rStyle w:val="Hyperlink"/>
            <w:sz w:val="18"/>
            <w:szCs w:val="18"/>
          </w:rPr>
          <w:t xml:space="preserve">doi.org/10.1080/02640414.2016.1210197</w:t>
        </w:r>
      </w:hyperlink>
    </w:p>
    <w:p>
      <w:pPr>
        <w:spacing w:after="120" w:line="264"/>
        <w:ind w:left="360" w:hanging="360"/>
      </w:pPr>
      <w:r>
        <w:rPr>
          <w:b/>
          <w:bCs/>
        </w:rPr>
        <w:t xml:space="preserve">7. </w:t>
      </w:r>
      <w:r>
        <w:t xml:space="preserve">Baz-Valle E, Balsalobre-Fernández C, Alix-Fages C, Santos-Concejero J (2022). A systematic review of the effects of different resistance training volumes on muscle hypertrophy. Journal of Human Kinetics, 81:199–210.</w:t>
      </w:r>
      <w:r>
        <w:t xml:space="preserve">  </w:t>
      </w:r>
      <w:hyperlink w:history="1" r:id="rIdyb4wnn6m1ytryyaug3lqj">
        <w:r>
          <w:rPr>
            <w:rStyle w:val="Hyperlink"/>
            <w:sz w:val="18"/>
            <w:szCs w:val="18"/>
          </w:rPr>
          <w:t xml:space="preserve">doi.org/10.2478/hukin-2022-0017</w:t>
        </w:r>
      </w:hyperlink>
    </w:p>
    <w:p>
      <w:pPr>
        <w:spacing w:after="120" w:line="264"/>
        <w:ind w:left="360" w:hanging="360"/>
      </w:pPr>
      <w:r>
        <w:rPr>
          <w:b/>
          <w:bCs/>
        </w:rPr>
        <w:t xml:space="preserve">8. </w:t>
      </w:r>
      <w:r>
        <w:t xml:space="preserve">Pelland JC, Robinson ZP, Remmert JF, et al. (2024). Methods matter: resistance training dose-response and the volume–hypertrophy relationship (meta-regression). SportRxiv / Journal of Strength and Conditioning Research (en revisión).</w:t>
      </w:r>
    </w:p>
    <w:p>
      <w:pPr>
        <w:spacing w:after="120" w:line="264"/>
        <w:ind w:left="360" w:hanging="360"/>
      </w:pPr>
      <w:r>
        <w:rPr>
          <w:b/>
          <w:bCs/>
        </w:rPr>
        <w:t xml:space="preserve">9. </w:t>
      </w:r>
      <w:r>
        <w:t xml:space="preserve">Schoenfeld BJ, Grgic J, Krieger J (2019). How many times per week should a muscle be trained to maximize muscle hypertrophy? A systematic review and meta-analysis of studies examining the effects of resistance training frequency. Journal of Sports Sciences, 37(11):1286–1295.</w:t>
      </w:r>
      <w:r>
        <w:t xml:space="preserve">  </w:t>
      </w:r>
      <w:hyperlink w:history="1" r:id="rIdwdtcacf6upsxmti_yrqsy">
        <w:r>
          <w:rPr>
            <w:rStyle w:val="Hyperlink"/>
            <w:sz w:val="18"/>
            <w:szCs w:val="18"/>
          </w:rPr>
          <w:t xml:space="preserve">doi.org/10.1080/02640414.2018.1555906</w:t>
        </w:r>
      </w:hyperlink>
    </w:p>
    <w:p>
      <w:pPr>
        <w:spacing w:after="120" w:line="264"/>
        <w:ind w:left="360" w:hanging="360"/>
      </w:pPr>
      <w:r>
        <w:rPr>
          <w:b/>
          <w:bCs/>
        </w:rPr>
        <w:t xml:space="preserve">10. </w:t>
      </w:r>
      <w:r>
        <w:t xml:space="preserve">Ralston GW, Kilgore L, Wyatt FB, Baker JS (2017). The effect of weekly set volume on strength gain: a meta-analysis. Sports Medicine, 47(12):2585–2601.</w:t>
      </w:r>
      <w:r>
        <w:t xml:space="preserve">  </w:t>
      </w:r>
      <w:hyperlink w:history="1" r:id="rIdzmrr6jja2l1f6y9pj00rl">
        <w:r>
          <w:rPr>
            <w:rStyle w:val="Hyperlink"/>
            <w:sz w:val="18"/>
            <w:szCs w:val="18"/>
          </w:rPr>
          <w:t xml:space="preserve">doi.org/10.1007/s40279-017-0762-7</w:t>
        </w:r>
      </w:hyperlink>
    </w:p>
    <w:p>
      <w:pPr>
        <w:spacing w:after="120" w:line="264"/>
        <w:ind w:left="360" w:hanging="360"/>
      </w:pPr>
      <w:r>
        <w:rPr>
          <w:b/>
          <w:bCs/>
        </w:rPr>
        <w:t xml:space="preserve">11. </w:t>
      </w:r>
      <w:r>
        <w:t xml:space="preserve">American College of Sports Medicine (2009). Progression models in resistance training for healthy adults (position stand). Medicine &amp; Science in Sports &amp; Exercise, 41(3):687–708.</w:t>
      </w:r>
      <w:r>
        <w:t xml:space="preserve">  </w:t>
      </w:r>
      <w:hyperlink w:history="1" r:id="rIdraw6d8kcizxyrvcaknwiv">
        <w:r>
          <w:rPr>
            <w:rStyle w:val="Hyperlink"/>
            <w:sz w:val="18"/>
            <w:szCs w:val="18"/>
          </w:rPr>
          <w:t xml:space="preserve">doi.org/10.1249/MSS.0b013e3181915670</w:t>
        </w:r>
      </w:hyperlink>
    </w:p>
    <w:p>
      <w:pPr>
        <w:spacing w:after="120" w:line="264"/>
        <w:ind w:left="360" w:hanging="360"/>
      </w:pPr>
      <w:r>
        <w:rPr>
          <w:b/>
          <w:bCs/>
        </w:rPr>
        <w:t xml:space="preserve">12. </w:t>
      </w:r>
      <w:r>
        <w:t xml:space="preserve">Zourdos MC, Klemp A, Dolan C, et al. (2016). Novel resistance training-specific rating of perceived exertion scale measuring repetitions in reserve. Journal of Strength and Conditioning Research, 30(1):267–275.</w:t>
      </w:r>
      <w:r>
        <w:t xml:space="preserve">  </w:t>
      </w:r>
      <w:hyperlink w:history="1" r:id="rIdi75jbviqsrn66vaengpqg">
        <w:r>
          <w:rPr>
            <w:rStyle w:val="Hyperlink"/>
            <w:sz w:val="18"/>
            <w:szCs w:val="18"/>
          </w:rPr>
          <w:t xml:space="preserve">doi.org/10.1519/JSC.0000000000001049</w:t>
        </w:r>
      </w:hyperlink>
    </w:p>
    <w:p>
      <w:pPr>
        <w:spacing w:after="120" w:line="264"/>
        <w:ind w:left="360" w:hanging="360"/>
      </w:pPr>
      <w:r>
        <w:rPr>
          <w:b/>
          <w:bCs/>
        </w:rPr>
        <w:t xml:space="preserve">13. </w:t>
      </w:r>
      <w:r>
        <w:t xml:space="preserve">Helms ER, Cronin J, Storey A, Zourdos MC (2016). Application of the repetitions in reserve-based rating of perceived exertion scale for resistance training. Strength and Conditioning Journal, 38(4):42–49.</w:t>
      </w:r>
      <w:r>
        <w:t xml:space="preserve">  </w:t>
      </w:r>
      <w:hyperlink w:history="1" r:id="rIdv8so-hh1iozxiixvettou">
        <w:r>
          <w:rPr>
            <w:rStyle w:val="Hyperlink"/>
            <w:sz w:val="18"/>
            <w:szCs w:val="18"/>
          </w:rPr>
          <w:t xml:space="preserve">doi.org/10.1519/SSC.0000000000000218</w:t>
        </w:r>
      </w:hyperlink>
    </w:p>
    <w:p>
      <w:pPr>
        <w:spacing w:after="120" w:line="264"/>
        <w:ind w:left="360" w:hanging="360"/>
      </w:pPr>
      <w:r>
        <w:rPr>
          <w:b/>
          <w:bCs/>
        </w:rPr>
        <w:t xml:space="preserve">14. </w:t>
      </w:r>
      <w:r>
        <w:t xml:space="preserve">Greig L, Stephens Hemingway BH, Aspe RR, Cooper K, Comfort P, Swinton PA (2020). Autoregulation in resistance training: addressing the inconsistencies. Sports Medicine, 50(11):1873–1887.</w:t>
      </w:r>
      <w:r>
        <w:t xml:space="preserve">  </w:t>
      </w:r>
      <w:hyperlink w:history="1" r:id="rIdl4diseyutjtfe24gvpj5p">
        <w:r>
          <w:rPr>
            <w:rStyle w:val="Hyperlink"/>
            <w:sz w:val="18"/>
            <w:szCs w:val="18"/>
          </w:rPr>
          <w:t xml:space="preserve">doi.org/10.1007/s40279-020-01330-8</w:t>
        </w:r>
      </w:hyperlink>
    </w:p>
    <w:p>
      <w:pPr>
        <w:spacing w:after="120" w:line="264"/>
        <w:ind w:left="360" w:hanging="360"/>
      </w:pPr>
      <w:r>
        <w:rPr>
          <w:b/>
          <w:bCs/>
        </w:rPr>
        <w:t xml:space="preserve">15. </w:t>
      </w:r>
      <w:r>
        <w:t xml:space="preserve">Maeo S, Meng H, Yuan Y, et al. (2021). Hamstrings hypertrophy is greater after seated versus prone leg curl training: muscle-length effect. Medicine &amp; Science in Sports &amp; Exercise / European Journal of Sport Science, 21(3):345–354.</w:t>
      </w:r>
      <w:r>
        <w:t xml:space="preserve">  </w:t>
      </w:r>
      <w:hyperlink w:history="1" r:id="rIdqv-aybsyjmo2z0cwfjtm-">
        <w:r>
          <w:rPr>
            <w:rStyle w:val="Hyperlink"/>
            <w:sz w:val="18"/>
            <w:szCs w:val="18"/>
          </w:rPr>
          <w:t xml:space="preserve">doi.org/10.1080/17461391.2020.1743765</w:t>
        </w:r>
      </w:hyperlink>
    </w:p>
    <w:p>
      <w:pPr>
        <w:spacing w:after="120" w:line="264"/>
        <w:ind w:left="360" w:hanging="360"/>
      </w:pPr>
      <w:r>
        <w:rPr>
          <w:b/>
          <w:bCs/>
        </w:rPr>
        <w:t xml:space="preserve">16. </w:t>
      </w:r>
      <w:r>
        <w:t xml:space="preserve">Fonseca RM, Roschel H, Tricoli V, et al. (2014). Changes in exercises are more effective than in loading schemes to improve muscle strength. Journal of Strength and Conditioning Research, 28(11):3085–3092.</w:t>
      </w:r>
      <w:r>
        <w:t xml:space="preserve">  </w:t>
      </w:r>
      <w:hyperlink w:history="1" r:id="rIdsyj55vjdrxuekffaikj99">
        <w:r>
          <w:rPr>
            <w:rStyle w:val="Hyperlink"/>
            <w:sz w:val="18"/>
            <w:szCs w:val="18"/>
          </w:rPr>
          <w:t xml:space="preserve">doi.org/10.1519/JSC.0000000000000539</w:t>
        </w:r>
      </w:hyperlink>
    </w:p>
    <w:p>
      <w:pPr>
        <w:spacing w:after="120" w:line="264"/>
        <w:ind w:left="360" w:hanging="360"/>
      </w:pPr>
      <w:r>
        <w:rPr>
          <w:b/>
          <w:bCs/>
        </w:rPr>
        <w:t xml:space="preserve">17. </w:t>
      </w:r>
      <w:r>
        <w:t xml:space="preserve">Epley B (1985). Poundage chart. Boyd Epley Workout. Lincoln, NE: Body Enterprises.</w:t>
      </w:r>
    </w:p>
    <w:p>
      <w:pPr>
        <w:spacing w:after="120" w:line="264"/>
        <w:ind w:left="360" w:hanging="360"/>
      </w:pPr>
      <w:r>
        <w:rPr>
          <w:b/>
          <w:bCs/>
        </w:rPr>
        <w:t xml:space="preserve">18. </w:t>
      </w:r>
      <w:r>
        <w:t xml:space="preserve">LeSuer DA, McCormick JH, Mayhew JL, Wasserstein RL, Arnold MD (1997). The accuracy of prediction equations for estimating 1-RM performance in the bench press, squat, and deadlift. Journal of Strength and Conditioning Research, 11(4):211–213.</w:t>
      </w:r>
    </w:p>
    <w:p>
      <w:pPr>
        <w:spacing w:after="120" w:line="264"/>
        <w:ind w:left="360" w:hanging="360"/>
      </w:pPr>
      <w:r>
        <w:rPr>
          <w:b/>
          <w:bCs/>
        </w:rPr>
        <w:t xml:space="preserve">19. </w:t>
      </w:r>
      <w:r>
        <w:t xml:space="preserve">Morton RW, Murphy KT, McKellar SR, et al. (2018). A systematic review, meta-analysis and meta-regression of the effect of protein supplementation on resistance training-induced gains in muscle mass and strength in healthy adults. British Journal of Sports Medicine, 52(6):376–384.</w:t>
      </w:r>
      <w:r>
        <w:t xml:space="preserve">  </w:t>
      </w:r>
      <w:hyperlink w:history="1" r:id="rIdx19hanocgc335qbbz_cbc">
        <w:r>
          <w:rPr>
            <w:rStyle w:val="Hyperlink"/>
            <w:sz w:val="18"/>
            <w:szCs w:val="18"/>
          </w:rPr>
          <w:t xml:space="preserve">doi.org/10.1136/bjsports-2017-097608</w:t>
        </w:r>
      </w:hyperlink>
    </w:p>
    <w:p>
      <w:pPr>
        <w:spacing w:after="120" w:line="264"/>
        <w:ind w:left="360" w:hanging="360"/>
      </w:pPr>
      <w:r>
        <w:rPr>
          <w:b/>
          <w:bCs/>
        </w:rPr>
        <w:t xml:space="preserve">20. </w:t>
      </w:r>
      <w:r>
        <w:t xml:space="preserve">Helms ER, Aragon AA, Fitschen PJ (2014). Evidence-based recommendations for natural bodybuilding contest preparation: nutrition and supplementation. Journal of the International Society of Sports Nutrition, 11:20.</w:t>
      </w:r>
      <w:r>
        <w:t xml:space="preserve">  </w:t>
      </w:r>
      <w:hyperlink w:history="1" r:id="rIdph_f-s6a7tbc_kdvo2hs3">
        <w:r>
          <w:rPr>
            <w:rStyle w:val="Hyperlink"/>
            <w:sz w:val="18"/>
            <w:szCs w:val="18"/>
          </w:rPr>
          <w:t xml:space="preserve">doi.org/10.1186/1550-2783-11-20</w:t>
        </w:r>
      </w:hyperlink>
    </w:p>
    <w:p>
      <w:pPr>
        <w:spacing w:after="120" w:line="264"/>
        <w:ind w:left="360" w:hanging="360"/>
      </w:pPr>
      <w:r>
        <w:rPr>
          <w:b/>
          <w:bCs/>
        </w:rPr>
        <w:t xml:space="preserve">21. </w:t>
      </w:r>
      <w:r>
        <w:t xml:space="preserve">Iraki J, Fitschen P, Espinar S, Helms E (2019). Nutrition recommendations for bodybuilders in the off-season: a narrative review. Sports, 7(7):154.</w:t>
      </w:r>
      <w:r>
        <w:t xml:space="preserve">  </w:t>
      </w:r>
      <w:hyperlink w:history="1" r:id="rIdudjxt-op6-qssasifr2iv">
        <w:r>
          <w:rPr>
            <w:rStyle w:val="Hyperlink"/>
            <w:sz w:val="18"/>
            <w:szCs w:val="18"/>
          </w:rPr>
          <w:t xml:space="preserve">doi.org/10.3390/sports7070154</w:t>
        </w:r>
      </w:hyperlink>
    </w:p>
    <w:p>
      <w:pPr>
        <w:spacing w:after="120" w:line="264"/>
        <w:ind w:left="360" w:hanging="360"/>
      </w:pPr>
      <w:r>
        <w:rPr>
          <w:b/>
          <w:bCs/>
        </w:rPr>
        <w:t xml:space="preserve">22. </w:t>
      </w:r>
      <w:r>
        <w:t xml:space="preserve">Schoenfeld BJ, Aragon AA (2018). How much protein can the body use in a single meal for muscle-building? Implications for daily protein distribution. Journal of the International Society of Sports Nutrition, 15:10.</w:t>
      </w:r>
      <w:r>
        <w:t xml:space="preserve">  </w:t>
      </w:r>
      <w:hyperlink w:history="1" r:id="rIdainzv4tyc7r8uhrt0t9z3">
        <w:r>
          <w:rPr>
            <w:rStyle w:val="Hyperlink"/>
            <w:sz w:val="18"/>
            <w:szCs w:val="18"/>
          </w:rPr>
          <w:t xml:space="preserve">doi.org/10.1186/s12970-018-0215-1</w:t>
        </w:r>
      </w:hyperlink>
    </w:p>
    <w:p>
      <w:pPr>
        <w:spacing w:after="120" w:line="264"/>
        <w:ind w:left="360" w:hanging="360"/>
      </w:pPr>
      <w:r>
        <w:rPr>
          <w:b/>
          <w:bCs/>
        </w:rPr>
        <w:t xml:space="preserve">23. </w:t>
      </w:r>
      <w:r>
        <w:t xml:space="preserve">Garthe I, Raastad T, Refsnes PE, Koivisto A, Sundgot-Borgen J (2011). Effect of two different weight-loss rates on body composition and strength and power-related performance in elite athletes. International Journal of Sport Nutrition and Exercise Metabolism, 21(2):97–104.</w:t>
      </w:r>
      <w:r>
        <w:t xml:space="preserve">  </w:t>
      </w:r>
      <w:hyperlink w:history="1" r:id="rIdhxeau25hgj9hhtr7kwbci">
        <w:r>
          <w:rPr>
            <w:rStyle w:val="Hyperlink"/>
            <w:sz w:val="18"/>
            <w:szCs w:val="18"/>
          </w:rPr>
          <w:t xml:space="preserve">doi.org/10.1123/ijsnem.21.2.97</w:t>
        </w:r>
      </w:hyperlink>
    </w:p>
    <w:p>
      <w:pPr>
        <w:spacing w:after="120" w:line="264"/>
        <w:ind w:left="360" w:hanging="360"/>
      </w:pPr>
      <w:r>
        <w:rPr>
          <w:b/>
          <w:bCs/>
        </w:rPr>
        <w:t xml:space="preserve">24. </w:t>
      </w:r>
      <w:r>
        <w:t xml:space="preserve">Barakat C, Pearson J, Escalante G, Campbell B, De Souza EO (2020). Body recomposition: can trained individuals build muscle and lose fat at the same time? Strength and Conditioning Journal, 42(5):7–21.</w:t>
      </w:r>
      <w:r>
        <w:t xml:space="preserve">  </w:t>
      </w:r>
      <w:hyperlink w:history="1" r:id="rIdwvep7viryitjyq7fgc1er">
        <w:r>
          <w:rPr>
            <w:rStyle w:val="Hyperlink"/>
            <w:sz w:val="18"/>
            <w:szCs w:val="18"/>
          </w:rPr>
          <w:t xml:space="preserve">doi.org/10.1519/SSC.0000000000000584</w:t>
        </w:r>
      </w:hyperlink>
    </w:p>
    <w:p>
      <w:pPr>
        <w:spacing w:after="120" w:line="264"/>
        <w:ind w:left="360" w:hanging="360"/>
      </w:pPr>
      <w:r>
        <w:rPr>
          <w:b/>
          <w:bCs/>
        </w:rPr>
        <w:t xml:space="preserve">25. </w:t>
      </w:r>
      <w:r>
        <w:t xml:space="preserve">Kreider RB, Kalman DS, Antonio J, et al. (2017). International Society of Sports Nutrition position stand: safety and efficacy of creatine supplementation in exercise, sport, and medicine. Journal of the International Society of Sports Nutrition, 14:18.</w:t>
      </w:r>
      <w:r>
        <w:t xml:space="preserve">  </w:t>
      </w:r>
      <w:hyperlink w:history="1" r:id="rIdjmzvtzvjob8bgwjehqwxx">
        <w:r>
          <w:rPr>
            <w:rStyle w:val="Hyperlink"/>
            <w:sz w:val="18"/>
            <w:szCs w:val="18"/>
          </w:rPr>
          <w:t xml:space="preserve">doi.org/10.1186/s12970-017-0173-z</w:t>
        </w:r>
      </w:hyperlink>
    </w:p>
    <w:p>
      <w:pPr>
        <w:spacing w:after="120" w:line="264"/>
        <w:ind w:left="360" w:hanging="360"/>
      </w:pPr>
      <w:r>
        <w:rPr>
          <w:b/>
          <w:bCs/>
        </w:rPr>
        <w:t xml:space="preserve">26. </w:t>
      </w:r>
      <w:r>
        <w:t xml:space="preserve">Nedeltcheva AV, Kilkus JM, Imperial J, Schoeller DA, Penev PD (2010). Insufficient sleep undermines dietary efforts to reduce adiposity. Annals of Internal Medicine, 153(7):435–441.</w:t>
      </w:r>
      <w:r>
        <w:t xml:space="preserve">  </w:t>
      </w:r>
      <w:hyperlink w:history="1" r:id="rIdwuqimry4td772uuo4kely">
        <w:r>
          <w:rPr>
            <w:rStyle w:val="Hyperlink"/>
            <w:sz w:val="18"/>
            <w:szCs w:val="18"/>
          </w:rPr>
          <w:t xml:space="preserve">doi.org/10.7326/0003-4819-153-7-201010050-00006</w:t>
        </w:r>
      </w:hyperlink>
    </w:p>
    <w:p>
      <w:pPr>
        <w:spacing w:after="120" w:line="264"/>
        <w:ind w:left="360" w:hanging="360"/>
      </w:pPr>
      <w:r>
        <w:rPr>
          <w:b/>
          <w:bCs/>
        </w:rPr>
        <w:t xml:space="preserve">27. </w:t>
      </w:r>
      <w:r>
        <w:t xml:space="preserve">Dattilo M, Antunes HKM, Medeiros A, et al. (2011). Sleep and muscle recovery: endocrinological and molecular basis for a new and promising hypothesis. Medical Hypotheses, 77(2):220–222.</w:t>
      </w:r>
      <w:r>
        <w:t xml:space="preserve">  </w:t>
      </w:r>
      <w:hyperlink w:history="1" r:id="rIdwnmxn0eutmmbtb8k4hgrn">
        <w:r>
          <w:rPr>
            <w:rStyle w:val="Hyperlink"/>
            <w:sz w:val="18"/>
            <w:szCs w:val="18"/>
          </w:rPr>
          <w:t xml:space="preserve">doi.org/10.1016/j.mehy.2011.04.017</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Página </w:t>
    </w:r>
    <w:r>
      <w:rPr>
        <w:color w:val="5A6472"/>
        <w:sz w:val="16"/>
        <w:szCs w:val="16"/>
      </w:rPr>
      <w:fldChar w:fldCharType="begin"/>
      <w:instrText xml:space="preserve">PAGE</w:instrText>
      <w:fldChar w:fldCharType="separate"/>
      <w:fldChar w:fldCharType="end"/>
    </w:r>
    <w:r>
      <w:rPr>
        <w:color w:val="5A6472"/>
        <w:sz w:val="16"/>
        <w:szCs w:val="16"/>
      </w:rPr>
      <w:t xml:space="preserve"> de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2DA" w:sz="4" w:space="6"/>
      </w:pBdr>
      <w:jc w:val="right"/>
    </w:pPr>
    <w:r>
      <w:rPr>
        <w:color w:val="5A6472"/>
        <w:sz w:val="16"/>
        <w:szCs w:val="16"/>
      </w:rPr>
      <w:t xml:space="preserve">GymTracker · Informe científico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66" w:sz="6" w:space="4"/>
      </w:pBdr>
      <w:spacing w:after="160" w:before="320"/>
      <w:outlineLvl w:val="0"/>
    </w:pPr>
    <w:rPr>
      <w:rFonts w:ascii="Calibri" w:cs="Calibri" w:eastAsia="Calibri" w:hAnsi="Calibri"/>
      <w:b/>
      <w:bCs/>
      <w:color w:val="0E7C66"/>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2303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E7C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g08iwfrykhafuuoodnsc" Type="http://schemas.openxmlformats.org/officeDocument/2006/relationships/hyperlink" Target="https://doi.org/10.1007/s40279-022-01784-y" TargetMode="External"/><Relationship Id="rIdw7bbloc63v5irzuex0ua8" Type="http://schemas.openxmlformats.org/officeDocument/2006/relationships/hyperlink" Target="https://doi.org/10.1007/s40279-024-02069-2" TargetMode="External"/><Relationship Id="rIddu8jy5kolm_acerb3aa4a" Type="http://schemas.openxmlformats.org/officeDocument/2006/relationships/hyperlink" Target="https://doi.org/10.1016/j.jshs.2021.01.007" TargetMode="External"/><Relationship Id="rId_onfyyagtufxmu9-m-ykh" Type="http://schemas.openxmlformats.org/officeDocument/2006/relationships/hyperlink" Target="https://doi.org/10.1519/JSC.0000000000001272" TargetMode="External"/><Relationship Id="rIdarghmqgbawvwnvbs8bwgp" Type="http://schemas.openxmlformats.org/officeDocument/2006/relationships/hyperlink" Target="https://doi.org/10.1080/17461391.2017.1340524" TargetMode="External"/><Relationship Id="rIdc4m-rbb3euydkatcleg8g" Type="http://schemas.openxmlformats.org/officeDocument/2006/relationships/hyperlink" Target="https://doi.org/10.1080/02640414.2016.1210197" TargetMode="External"/><Relationship Id="rIdyb4wnn6m1ytryyaug3lqj" Type="http://schemas.openxmlformats.org/officeDocument/2006/relationships/hyperlink" Target="https://doi.org/10.2478/hukin-2022-0017" TargetMode="External"/><Relationship Id="rIdwdtcacf6upsxmti_yrqsy" Type="http://schemas.openxmlformats.org/officeDocument/2006/relationships/hyperlink" Target="https://doi.org/10.1080/02640414.2018.1555906" TargetMode="External"/><Relationship Id="rIdzmrr6jja2l1f6y9pj00rl" Type="http://schemas.openxmlformats.org/officeDocument/2006/relationships/hyperlink" Target="https://doi.org/10.1007/s40279-017-0762-7" TargetMode="External"/><Relationship Id="rIdraw6d8kcizxyrvcaknwiv" Type="http://schemas.openxmlformats.org/officeDocument/2006/relationships/hyperlink" Target="https://doi.org/10.1249/MSS.0b013e3181915670" TargetMode="External"/><Relationship Id="rIdi75jbviqsrn66vaengpqg" Type="http://schemas.openxmlformats.org/officeDocument/2006/relationships/hyperlink" Target="https://doi.org/10.1519/JSC.0000000000001049" TargetMode="External"/><Relationship Id="rIdv8so-hh1iozxiixvettou" Type="http://schemas.openxmlformats.org/officeDocument/2006/relationships/hyperlink" Target="https://doi.org/10.1519/SSC.0000000000000218" TargetMode="External"/><Relationship Id="rIdl4diseyutjtfe24gvpj5p" Type="http://schemas.openxmlformats.org/officeDocument/2006/relationships/hyperlink" Target="https://doi.org/10.1007/s40279-020-01330-8" TargetMode="External"/><Relationship Id="rIdqv-aybsyjmo2z0cwfjtm-" Type="http://schemas.openxmlformats.org/officeDocument/2006/relationships/hyperlink" Target="https://doi.org/10.1080/17461391.2020.1743765" TargetMode="External"/><Relationship Id="rIdsyj55vjdrxuekffaikj99" Type="http://schemas.openxmlformats.org/officeDocument/2006/relationships/hyperlink" Target="https://doi.org/10.1519/JSC.0000000000000539" TargetMode="External"/><Relationship Id="rIdx19hanocgc335qbbz_cbc" Type="http://schemas.openxmlformats.org/officeDocument/2006/relationships/hyperlink" Target="https://doi.org/10.1136/bjsports-2017-097608" TargetMode="External"/><Relationship Id="rIdph_f-s6a7tbc_kdvo2hs3" Type="http://schemas.openxmlformats.org/officeDocument/2006/relationships/hyperlink" Target="https://doi.org/10.1186/1550-2783-11-20" TargetMode="External"/><Relationship Id="rIdudjxt-op6-qssasifr2iv" Type="http://schemas.openxmlformats.org/officeDocument/2006/relationships/hyperlink" Target="https://doi.org/10.3390/sports7070154" TargetMode="External"/><Relationship Id="rIdainzv4tyc7r8uhrt0t9z3" Type="http://schemas.openxmlformats.org/officeDocument/2006/relationships/hyperlink" Target="https://doi.org/10.1186/s12970-018-0215-1" TargetMode="External"/><Relationship Id="rIdhxeau25hgj9hhtr7kwbci" Type="http://schemas.openxmlformats.org/officeDocument/2006/relationships/hyperlink" Target="https://doi.org/10.1123/ijsnem.21.2.97" TargetMode="External"/><Relationship Id="rIdwvep7viryitjyq7fgc1er" Type="http://schemas.openxmlformats.org/officeDocument/2006/relationships/hyperlink" Target="https://doi.org/10.1519/SSC.0000000000000584" TargetMode="External"/><Relationship Id="rIdjmzvtzvjob8bgwjehqwxx" Type="http://schemas.openxmlformats.org/officeDocument/2006/relationships/hyperlink" Target="https://doi.org/10.1186/s12970-017-0173-z" TargetMode="External"/><Relationship Id="rIdwuqimry4td772uuo4kely" Type="http://schemas.openxmlformats.org/officeDocument/2006/relationships/hyperlink" Target="https://doi.org/10.7326/0003-4819-153-7-201010050-00006" TargetMode="External"/><Relationship Id="rIdwnmxn0eutmmbtb8k4hgrn" Type="http://schemas.openxmlformats.org/officeDocument/2006/relationships/hyperlink" Target="https://doi.org/10.1016/j.mehy.2011.04.017"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Científico — Motor de Entrenamiento GymTracker</dc:title>
  <dc:creator>GymTracker</dc:creator>
  <cp:lastModifiedBy>Un-named</cp:lastModifiedBy>
  <cp:revision>1</cp:revision>
  <dcterms:created xsi:type="dcterms:W3CDTF">2026-07-10T18:52:28.646Z</dcterms:created>
  <dcterms:modified xsi:type="dcterms:W3CDTF">2026-07-10T18:52:28.647Z</dcterms:modified>
</cp:coreProperties>
</file>

<file path=docProps/custom.xml><?xml version="1.0" encoding="utf-8"?>
<Properties xmlns="http://schemas.openxmlformats.org/officeDocument/2006/custom-properties" xmlns:vt="http://schemas.openxmlformats.org/officeDocument/2006/docPropsVTypes"/>
</file>