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125</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GEOM. GIOVANNI GIANOLA con sede legale in VIA ENTRICO FERMI 4 PREMANA -  P.I. n.  02789480130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GIOVANNI GIANOLA nato a BELLANO il 09/09/1982, codice fiscale GNLGNN82P09A745U.</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GEOM. GIOVANNI GIANOLA </w:t>
      </w:r>
      <w:r>
        <w:rPr>
          <w:rFonts w:eastAsia="SimSun" w:cs="Arial" w:ascii="Arial" w:hAnsi="Arial"/>
          <w:b w:val="false"/>
          <w:bCs w:val="false"/>
          <w:sz w:val="20"/>
          <w:szCs w:val="20"/>
          <w:lang w:eastAsia="hi-IN" w:bidi="hi-IN"/>
        </w:rPr>
        <w:t xml:space="preserve">con sede legale in VIA ENTRICO FERMI 4 </w:t>
      </w:r>
      <w:r>
        <w:rPr>
          <w:rFonts w:eastAsia="SimSun" w:cs="Arial" w:ascii="Arial" w:hAnsi="Arial"/>
          <w:b w:val="false"/>
          <w:bCs w:val="false"/>
          <w:color w:val="000000"/>
          <w:sz w:val="20"/>
          <w:szCs w:val="20"/>
          <w:lang w:eastAsia="hi-IN" w:bidi="hi-IN"/>
        </w:rPr>
        <w:t xml:space="preserve">23834 PREMANA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07:32:30</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GEOM. GIOVANNI GIANOLA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