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150 stipulata in data </w:t>
      </w:r>
      <w:bookmarkStart w:id="0" w:name="__DdeLink__88_1131033923"/>
      <w:r>
        <w:rPr>
          <w:color w:val="000000"/>
          <w:sz w:val="18"/>
          <w:szCs w:val="18"/>
        </w:rPr>
        <w:t>16/07/2015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EZIO BERGAMINI nato a LECCO il 24/03/1997 residente in VIA DAMIANO ARRIGONI, 16 INTROBIO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NORDA SPA con sede legale in VIA INVERIGO 2, MILANO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PROVINCIALE 1, </w:t>
      </w:r>
      <w:bookmarkStart w:id="3" w:name="__DdeLink__1094_1853324646"/>
      <w:r>
        <w:rPr>
          <w:color w:val="000000"/>
          <w:sz w:val="18"/>
          <w:szCs w:val="18"/>
        </w:rPr>
        <w:t>PRIMALUNA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GIANFRANCO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SONZOGNI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16/07/2015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