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10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PARROCCHIA SANTA COSMA E DAMIANO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SAN FRANCESCO 24 AIRUNO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DON ANTONIO COGLIATI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BARZANO'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16/09/1940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PARROCCHIA SANTA COSMA E DAMIANO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POSTALE VECCHIA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AIRUNO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PARROCCHIA SANTA COSMA E DAMIANO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