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2.wmf" ContentType="image/x-wmf"/>
  <Override PartName="/word/media/image1.wmf" ContentType="image/x-wmf"/>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Intestazione"/>
        <w:jc w:val="both"/>
        <w:rPr>
          <w:rFonts w:cs="Verdana" w:ascii="Arial" w:hAnsi="Arial"/>
          <w:b/>
          <w:color w:val="004586"/>
          <w:sz w:val="20"/>
          <w:szCs w:val="20"/>
        </w:rPr>
      </w:pPr>
      <w:r>
        <w:rPr>
          <w:rFonts w:cs="Verdana" w:ascii="Arial" w:hAnsi="Arial"/>
          <w:b/>
          <w:color w:val="004586"/>
          <w:sz w:val="20"/>
          <w:szCs w:val="20"/>
        </w:rPr>
        <w:t xml:space="preserve">                                                                                                           </w:t>
        <w:drawing>
          <wp:anchor behindDoc="1" distT="0" distB="0" distL="0" distR="0" simplePos="0" locked="0" layoutInCell="1" allowOverlap="1" relativeHeight="0">
            <wp:simplePos x="0" y="0"/>
            <wp:positionH relativeFrom="column">
              <wp:posOffset>4832350</wp:posOffset>
            </wp:positionH>
            <wp:positionV relativeFrom="paragraph">
              <wp:posOffset>-1101725</wp:posOffset>
            </wp:positionV>
            <wp:extent cx="2332990" cy="1172210"/>
            <wp:effectExtent l="0" t="0" r="0" b="0"/>
            <wp:wrapNone/>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2332990" cy="1172210"/>
                    </a:xfrm>
                    <a:prstGeom prst="rect">
                      <a:avLst/>
                    </a:prstGeom>
                    <a:noFill/>
                    <a:ln w="9525">
                      <a:noFill/>
                      <a:miter lim="800000"/>
                      <a:headEnd/>
                      <a:tailEnd/>
                    </a:ln>
                  </pic:spPr>
                </pic:pic>
              </a:graphicData>
            </a:graphic>
          </wp:anchor>
        </w:drawing>
        <w:drawing>
          <wp:anchor behindDoc="0" distT="0" distB="0" distL="0" distR="0" simplePos="0" locked="0" layoutInCell="1" allowOverlap="1" relativeHeight="1">
            <wp:simplePos x="0" y="0"/>
            <wp:positionH relativeFrom="column">
              <wp:posOffset>-218440</wp:posOffset>
            </wp:positionH>
            <wp:positionV relativeFrom="paragraph">
              <wp:posOffset>-744220</wp:posOffset>
            </wp:positionV>
            <wp:extent cx="566420" cy="64135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566420" cy="641350"/>
                    </a:xfrm>
                    <a:prstGeom prst="rect">
                      <a:avLst/>
                    </a:prstGeom>
                    <a:noFill/>
                    <a:ln w="9525">
                      <a:noFill/>
                      <a:miter lim="800000"/>
                      <a:headEnd/>
                      <a:tailEnd/>
                    </a:ln>
                  </pic:spPr>
                </pic:pic>
              </a:graphicData>
            </a:graphic>
          </wp:anchor>
        </w:drawing>
      </w:r>
      <w:r>
        <w:pict>
          <v:rect fillcolor="#FFFFFF" stroked="f" strokeweight="0pt" style="position:absolute;width:430.6pt;height:25.7pt;mso-wrap-distance-left:9pt;mso-wrap-distance-right:9pt;mso-wrap-distance-top:0pt;mso-wrap-distance-bottom:0pt;margin-top:-7.6pt;margin-left:25.1pt">
            <v:textbox>
              <w:txbxContent>
                <w:p>
                  <w:pPr>
                    <w:pStyle w:val="Contenutocornice"/>
                    <w:rPr>
                      <w:rFonts w:cs="Arial" w:ascii="Arial" w:hAnsi="Arial"/>
                      <w:i/>
                      <w:sz w:val="16"/>
                      <w:szCs w:val="16"/>
                    </w:rPr>
                  </w:pPr>
                  <w:r>
                    <w:rPr>
                      <w:rFonts w:cs="Arial" w:ascii="Arial" w:hAnsi="Arial"/>
                      <w:i/>
                      <w:sz w:val="16"/>
                      <w:szCs w:val="16"/>
                    </w:rPr>
                    <w:t>Meccanica, Meccatronica ed Energia – Elettronica, Elettrotecnica e Automazione – Informatica e Telecomunicazioni Costruzioni, Ambiente e Territorio – Liceo scientifico delle Scienze applicate</w:t>
                  </w:r>
                </w:p>
              </w:txbxContent>
            </v:textbox>
          </v:rect>
        </w:pict>
      </w:r>
      <w:r>
        <w:pict>
          <v:rect fillcolor="#FFFFFF" stroked="f" strokeweight="0pt" style="position:absolute;width:408.4pt;height:52.2pt;mso-wrap-distance-left:9pt;mso-wrap-distance-right:9pt;mso-wrap-distance-top:0pt;mso-wrap-distance-bottom:0pt;margin-top:-60.3pt;margin-left:28.45pt">
            <v:shadow on="t" color="#3F3151" offset="1.35pt,1.35pt"/>
            <v:textbox>
              <w:txbxContent>
                <w:p>
                  <w:pPr>
                    <w:pStyle w:val="Contenutocornice"/>
                    <w:rPr>
                      <w:rFonts w:cs="Arial" w:ascii="Arial" w:hAnsi="Arial"/>
                      <w:b/>
                      <w:i/>
                      <w:sz w:val="22"/>
                      <w:szCs w:val="22"/>
                    </w:rPr>
                  </w:pPr>
                  <w:r>
                    <w:rPr>
                      <w:rFonts w:cs="Arial" w:ascii="Arial" w:hAnsi="Arial"/>
                      <w:b/>
                      <w:i/>
                      <w:sz w:val="18"/>
                      <w:szCs w:val="18"/>
                    </w:rPr>
                    <w:t xml:space="preserve">ISTITUTO D’ISTRUZIONE SUPERIORE </w:t>
                  </w:r>
                  <w:r>
                    <w:rPr>
                      <w:rFonts w:cs="Arial" w:ascii="Arial" w:hAnsi="Arial"/>
                      <w:b/>
                      <w:i/>
                    </w:rPr>
                    <w:t xml:space="preserve">  </w:t>
                  </w:r>
                  <w:r>
                    <w:rPr>
                      <w:rFonts w:cs="Arial" w:ascii="Arial" w:hAnsi="Arial"/>
                      <w:b/>
                      <w:i/>
                      <w:sz w:val="18"/>
                      <w:szCs w:val="18"/>
                    </w:rPr>
                    <w:t>S. TENENTE DI  VASCELLO</w:t>
                  </w:r>
                  <w:r>
                    <w:rPr>
                      <w:rFonts w:cs="Arial" w:ascii="Arial" w:hAnsi="Arial"/>
                      <w:b/>
                      <w:i/>
                    </w:rPr>
                    <w:t xml:space="preserve">  </w:t>
                  </w:r>
                  <w:r>
                    <w:rPr>
                      <w:rFonts w:cs="Arial" w:ascii="Arial" w:hAnsi="Arial"/>
                      <w:b/>
                      <w:i/>
                      <w:sz w:val="22"/>
                      <w:szCs w:val="22"/>
                    </w:rPr>
                    <w:t>ANTONIO BADONI</w:t>
                  </w:r>
                </w:p>
                <w:p>
                  <w:pPr>
                    <w:pStyle w:val="Contenutocornice"/>
                    <w:jc w:val="center"/>
                    <w:rPr>
                      <w:rFonts w:cs="Arial" w:ascii="Arial" w:hAnsi="Arial"/>
                    </w:rPr>
                  </w:pPr>
                  <w:r>
                    <w:rPr>
                      <w:rFonts w:cs="Arial" w:ascii="Arial" w:hAnsi="Arial"/>
                    </w:rPr>
                    <w:t>Via Rivolta,10 –   23900 LECCO  -  Tel. 0341/365339 - Telefax 0341/286589</w:t>
                  </w:r>
                </w:p>
                <w:p>
                  <w:pPr>
                    <w:pStyle w:val="Contenutocornice"/>
                    <w:jc w:val="center"/>
                    <w:rPr>
                      <w:rFonts w:cs="Arial" w:ascii="Arial" w:hAnsi="Arial"/>
                    </w:rPr>
                  </w:pPr>
                  <w:r>
                    <w:rPr>
                      <w:rFonts w:cs="Arial" w:ascii="Arial" w:hAnsi="Arial"/>
                    </w:rPr>
                    <w:t>Cod. Fisc. 83007840131 - Casella Postale n. 279</w:t>
                  </w:r>
                </w:p>
                <w:p>
                  <w:pPr>
                    <w:pStyle w:val="Contenutocornice"/>
                    <w:jc w:val="center"/>
                    <w:rPr>
                      <w:rFonts w:cs="Arial" w:ascii="Arial" w:hAnsi="Arial"/>
                      <w:b/>
                    </w:rPr>
                  </w:pPr>
                  <w:r>
                    <w:rPr>
                      <w:rFonts w:cs="Arial" w:ascii="Arial" w:hAnsi="Arial"/>
                      <w:b/>
                    </w:rPr>
                    <w:t>LCIS00900X@istruzione.it</w:t>
                  </w:r>
                </w:p>
              </w:txbxContent>
            </v:textbox>
          </v:rect>
        </w:pict>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Verdana" w:ascii="Arial" w:hAnsi="Arial"/>
          <w:b/>
          <w:color w:val="004586"/>
          <w:sz w:val="20"/>
          <w:szCs w:val="20"/>
        </w:rPr>
      </w:pPr>
      <w:r>
        <w:rPr>
          <w:rFonts w:cs="Verdana" w:ascii="Arial" w:hAnsi="Arial"/>
          <w:b/>
          <w:color w:val="004586"/>
          <w:sz w:val="20"/>
          <w:szCs w:val="20"/>
        </w:rPr>
      </w:r>
    </w:p>
    <w:p>
      <w:pPr>
        <w:pStyle w:val="Intestazione"/>
        <w:jc w:val="both"/>
        <w:rPr>
          <w:rFonts w:cs="Trebuchet MS" w:ascii="Arial" w:hAnsi="Arial"/>
          <w:b/>
          <w:color w:val="004586"/>
          <w:sz w:val="20"/>
          <w:szCs w:val="20"/>
          <w:lang w:val="es-ES"/>
        </w:rPr>
      </w:pPr>
      <w:r>
        <w:rPr>
          <w:rFonts w:cs="Trebuchet MS" w:ascii="Arial" w:hAnsi="Arial"/>
          <w:b/>
          <w:color w:val="004586"/>
          <w:sz w:val="20"/>
          <w:szCs w:val="20"/>
          <w:lang w:val="es-ES"/>
        </w:rPr>
      </w:r>
    </w:p>
    <w:p>
      <w:pPr>
        <w:pStyle w:val="Normal"/>
        <w:widowControl w:val="false"/>
        <w:rPr>
          <w:rFonts w:eastAsia="SimSun" w:cs="Arial" w:ascii="Arial" w:hAnsi="Arial"/>
          <w:bCs/>
          <w:color w:val="000000"/>
          <w:sz w:val="20"/>
          <w:szCs w:val="20"/>
          <w:lang w:eastAsia="hi-IN" w:bidi="hi-IN"/>
        </w:rPr>
      </w:pPr>
      <w:r>
        <w:rPr>
          <w:rFonts w:eastAsia="SimSun" w:cs="Arial" w:ascii="Arial" w:hAnsi="Arial"/>
          <w:bCs/>
          <w:sz w:val="20"/>
          <w:szCs w:val="20"/>
          <w:lang w:eastAsia="hi-IN" w:bidi="hi-IN"/>
        </w:rPr>
        <w:t xml:space="preserve">Convenzione n.  </w:t>
      </w:r>
      <w:r>
        <w:rPr>
          <w:rFonts w:eastAsia="SimSun" w:cs="Arial" w:ascii="Arial" w:hAnsi="Arial"/>
          <w:bCs/>
          <w:color w:val="000000"/>
          <w:sz w:val="20"/>
          <w:szCs w:val="20"/>
          <w:lang w:eastAsia="hi-IN" w:bidi="hi-IN"/>
        </w:rPr>
        <w:t>8</w:t>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t>MODELLO DI CONVENZIONE DEI PERCORSI ALTERNANZA SCUOLA -LAVORO</w:t>
      </w:r>
    </w:p>
    <w:p>
      <w:pPr>
        <w:pStyle w:val="Normal"/>
        <w:widowControl w:val="false"/>
        <w:jc w:val="center"/>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TRA</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Il/la I.I.S. "S. TEN. VASC. A. BADONI" in qualità di soggetto promotore con sede in Via Rivolta, 10  LECCO, codice fiscale 83007840131 rappresentato/a dal Sig.  Angelo Benigno De Battista  nato a Mandello del Lario (Lc)  il 14.10.1955</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E</w:t>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r>
    </w:p>
    <w:p>
      <w:pPr>
        <w:pStyle w:val="Normal"/>
        <w:widowControl w:val="false"/>
        <w:jc w:val="both"/>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GRUPPO SEI SRL con sede legale in VIA DELL'INDUSTRIA, 2 OLGIATE MOLGORA -  P.I. n.  02714300130 d’ora in poi denominato "</w:t>
      </w:r>
      <w:r>
        <w:rPr>
          <w:rFonts w:eastAsia="SimSun" w:cs="Arial" w:ascii="Arial" w:hAnsi="Arial"/>
          <w:b w:val="false"/>
          <w:bCs w:val="false"/>
          <w:i/>
          <w:iCs/>
          <w:color w:val="00000A"/>
          <w:sz w:val="20"/>
          <w:szCs w:val="20"/>
          <w:lang w:eastAsia="hi-IN" w:bidi="hi-IN"/>
        </w:rPr>
        <w:t>soggetto ospitante</w:t>
      </w:r>
      <w:r>
        <w:rPr>
          <w:rFonts w:eastAsia="SimSun" w:cs="Arial" w:ascii="Arial" w:hAnsi="Arial"/>
          <w:b w:val="false"/>
          <w:bCs w:val="false"/>
          <w:color w:val="00000A"/>
          <w:sz w:val="20"/>
          <w:szCs w:val="20"/>
          <w:lang w:eastAsia="hi-IN" w:bidi="hi-IN"/>
        </w:rPr>
        <w:t>",  rappresentato dal Sig. GIAMPAOLO CAGLIANI nato a OLGIATE CALCO il 18/03/1942, codice fiscale CGLGPL42C18G027T.</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b/>
          <w:sz w:val="20"/>
          <w:szCs w:val="20"/>
          <w:lang w:eastAsia="hi-IN" w:bidi="hi-IN"/>
        </w:rPr>
      </w:pPr>
      <w:r>
        <w:rPr>
          <w:rFonts w:eastAsia="SimSun" w:cs="Arial" w:ascii="Arial" w:hAnsi="Arial"/>
          <w:b/>
          <w:sz w:val="20"/>
          <w:szCs w:val="20"/>
          <w:lang w:eastAsia="hi-IN" w:bidi="hi-IN"/>
        </w:rPr>
        <w:t>PREMESSO 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 Regolamento recante norme di attuazione dei principi e dei criteri di cui all'articolo 18 della legge 24 giugno 1997, n.196, sono promossi tirocini formativi e di orientamento al fine di realizzare momenti di alternanza tra studio e lavoro nell’ambito dei processi formativi e di agevolare le scelte professionali mediante la conoscenza diretta del mondo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1 DLgs 77/05, l’alternanza costituisce una modalità di realizzazione dei corsi del secondo ciclo, sia nel sistema dei licei, sia nel sistema dell'istruzione e della formazione professionale, per assicurare ai giovani, l'acquisizione di competenze spendibili nel mercato del lavoro;</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ai sensi dell’art. 21 della l.r. n. 19/2007, “</w:t>
      </w:r>
      <w:r>
        <w:rPr>
          <w:rFonts w:eastAsia="SimSun" w:cs="Arial" w:ascii="Arial" w:hAnsi="Arial"/>
          <w:i/>
          <w:iCs/>
          <w:sz w:val="20"/>
          <w:szCs w:val="20"/>
          <w:lang w:eastAsia="hi-IN" w:bidi="hi-IN"/>
        </w:rPr>
        <w:t>gli allievi possono svolgere i percorsi formativi attraverso l'alternanza di studio e lavoro, nelle sue diverse modalità e forme di inserimento nelle realtà culturali, sociali, produttive, professionali e dei servizi, comprese quelle del tirocinio formativo e della bottega-scuola di cui agli articoli 18 e 19 della legge regionale n. 22/2006</w:t>
      </w:r>
      <w:r>
        <w:rPr>
          <w:rFonts w:eastAsia="SimSun" w:cs="Arial" w:ascii="Arial" w:hAnsi="Arial"/>
          <w:sz w:val="20"/>
          <w:szCs w:val="20"/>
          <w:lang w:eastAsia="hi-IN" w:bidi="hi-IN"/>
        </w:rPr>
        <w:t>”;</w:t>
      </w:r>
    </w:p>
    <w:p>
      <w:pPr>
        <w:pStyle w:val="Normal"/>
        <w:widowControl w:val="false"/>
        <w:numPr>
          <w:ilvl w:val="0"/>
          <w:numId w:val="1"/>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l’alternanza scuola-lavoro è soggetta all’applicazione del D. Lgs. 9 aprile 2008, n 81 e successive modifiche.</w:t>
      </w:r>
    </w:p>
    <w:p>
      <w:pPr>
        <w:pStyle w:val="Normal"/>
        <w:widowControl w:val="false"/>
        <w:jc w:val="both"/>
        <w:rPr>
          <w:rFonts w:eastAsia="SimSun" w:cs="Arial" w:ascii="Arial" w:hAnsi="Arial"/>
          <w:b/>
          <w:bCs/>
          <w:sz w:val="20"/>
          <w:szCs w:val="20"/>
          <w:lang w:eastAsia="hi-IN" w:bidi="hi-IN"/>
        </w:rPr>
      </w:pPr>
      <w:r>
        <w:rPr>
          <w:rFonts w:eastAsia="SimSun" w:cs="Arial" w:ascii="Arial" w:hAnsi="Arial"/>
          <w:b/>
          <w:bCs/>
          <w:sz w:val="20"/>
          <w:szCs w:val="20"/>
          <w:lang w:eastAsia="hi-IN" w:bidi="hi-IN"/>
        </w:rPr>
      </w:r>
    </w:p>
    <w:p>
      <w:pPr>
        <w:pStyle w:val="Normal"/>
        <w:widowControl w:val="false"/>
        <w:rPr>
          <w:rFonts w:eastAsia="SimSun" w:cs="Arial" w:ascii="Arial" w:hAnsi="Arial"/>
          <w:b/>
          <w:bCs/>
          <w:sz w:val="20"/>
          <w:szCs w:val="20"/>
          <w:lang w:eastAsia="hi-IN" w:bidi="hi-IN"/>
        </w:rPr>
      </w:pPr>
      <w:r>
        <w:rPr>
          <w:rFonts w:eastAsia="SimSun" w:cs="Arial" w:ascii="Arial" w:hAnsi="Arial"/>
          <w:b/>
          <w:bCs/>
          <w:sz w:val="20"/>
          <w:szCs w:val="20"/>
          <w:lang w:eastAsia="hi-IN" w:bidi="hi-IN"/>
        </w:rPr>
        <w:t>Si conviene quanto segue:</w:t>
      </w:r>
    </w:p>
    <w:p>
      <w:pPr>
        <w:pStyle w:val="Normal"/>
        <w:keepNext/>
        <w:widowControl w:val="false"/>
        <w:tabs>
          <w:tab w:val="left" w:pos="4956" w:leader="none"/>
          <w:tab w:val="left" w:pos="13603" w:leader="none"/>
        </w:tabs>
        <w:spacing w:before="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1.</w:t>
      </w:r>
    </w:p>
    <w:p>
      <w:pPr>
        <w:pStyle w:val="Normal"/>
        <w:widowControl w:val="false"/>
        <w:jc w:val="both"/>
        <w:rPr>
          <w:rFonts w:eastAsia="SimSun" w:cs="Arial" w:ascii="Arial" w:hAnsi="Arial"/>
          <w:b w:val="false"/>
          <w:bCs w:val="false"/>
          <w:sz w:val="20"/>
          <w:szCs w:val="20"/>
          <w:lang w:eastAsia="hi-IN" w:bidi="hi-IN"/>
        </w:rPr>
      </w:pPr>
      <w:r>
        <w:rPr>
          <w:rFonts w:eastAsia="SimSun" w:cs="Arial" w:ascii="Arial" w:hAnsi="Arial"/>
          <w:b w:val="false"/>
          <w:bCs w:val="false"/>
          <w:color w:val="000000"/>
          <w:sz w:val="20"/>
          <w:szCs w:val="20"/>
          <w:lang w:eastAsia="hi-IN" w:bidi="hi-IN"/>
        </w:rPr>
        <w:t xml:space="preserve">GRUPPO SEI SRL </w:t>
      </w:r>
      <w:r>
        <w:rPr>
          <w:rFonts w:eastAsia="SimSun" w:cs="Arial" w:ascii="Arial" w:hAnsi="Arial"/>
          <w:b w:val="false"/>
          <w:bCs w:val="false"/>
          <w:sz w:val="20"/>
          <w:szCs w:val="20"/>
          <w:lang w:eastAsia="hi-IN" w:bidi="hi-IN"/>
        </w:rPr>
        <w:t xml:space="preserve">con sede legale in VIA DELL'INDUSTRIA, 2 </w:t>
      </w:r>
      <w:r>
        <w:rPr>
          <w:rFonts w:eastAsia="SimSun" w:cs="Arial" w:ascii="Arial" w:hAnsi="Arial"/>
          <w:b w:val="false"/>
          <w:bCs w:val="false"/>
          <w:color w:val="000000"/>
          <w:sz w:val="20"/>
          <w:szCs w:val="20"/>
          <w:lang w:eastAsia="hi-IN" w:bidi="hi-IN"/>
        </w:rPr>
        <w:t xml:space="preserve">23887 OLGIATE MOLGORA </w:t>
      </w:r>
      <w:r>
        <w:rPr>
          <w:rFonts w:eastAsia="SimSun" w:cs="Arial" w:ascii="Arial" w:hAnsi="Arial"/>
          <w:b w:val="false"/>
          <w:bCs w:val="false"/>
          <w:sz w:val="20"/>
          <w:szCs w:val="20"/>
          <w:lang w:eastAsia="hi-IN" w:bidi="hi-IN"/>
        </w:rPr>
        <w:t>qui di seguito indicata/o anche come il “</w:t>
      </w:r>
      <w:r>
        <w:rPr>
          <w:rFonts w:eastAsia="SimSun" w:cs="Arial" w:ascii="Arial" w:hAnsi="Arial"/>
          <w:b w:val="false"/>
          <w:bCs w:val="false"/>
          <w:i/>
          <w:iCs/>
          <w:sz w:val="20"/>
          <w:szCs w:val="20"/>
          <w:lang w:eastAsia="hi-IN" w:bidi="hi-IN"/>
        </w:rPr>
        <w:t>soggetto ospitante</w:t>
      </w:r>
      <w:r>
        <w:rPr>
          <w:rFonts w:eastAsia="SimSun" w:cs="Arial" w:ascii="Arial" w:hAnsi="Arial"/>
          <w:b w:val="false"/>
          <w:bCs w:val="false"/>
          <w:sz w:val="20"/>
          <w:szCs w:val="20"/>
          <w:lang w:eastAsia="hi-IN" w:bidi="hi-IN"/>
        </w:rPr>
        <w:t>”, si impegna ad accogliere a titolo gratuito presso le sue strutture n. 1 soggetto in alternanza scuola-lavoro su proposta di  I.I.S. "</w:t>
      </w:r>
      <w:r>
        <w:rPr>
          <w:rFonts w:eastAsia="SimSun" w:cs="Arial" w:ascii="Arial" w:hAnsi="Arial"/>
          <w:b w:val="false"/>
          <w:bCs w:val="false"/>
          <w:color w:val="00000A"/>
          <w:sz w:val="20"/>
          <w:szCs w:val="20"/>
          <w:lang w:eastAsia="hi-IN" w:bidi="hi-IN"/>
        </w:rPr>
        <w:t>S. TEN. VASC. A. BADONI</w:t>
      </w:r>
      <w:r>
        <w:rPr>
          <w:rFonts w:eastAsia="SimSun" w:cs="Arial" w:ascii="Arial" w:hAnsi="Arial"/>
          <w:b w:val="false"/>
          <w:bCs w:val="false"/>
          <w:sz w:val="20"/>
          <w:szCs w:val="20"/>
          <w:lang w:eastAsia="hi-IN" w:bidi="hi-IN"/>
        </w:rPr>
        <w:t>", di seguito indicata/o anche come il “</w:t>
      </w:r>
      <w:r>
        <w:rPr>
          <w:rFonts w:eastAsia="SimSun" w:cs="Arial" w:ascii="Arial" w:hAnsi="Arial"/>
          <w:b w:val="false"/>
          <w:bCs w:val="false"/>
          <w:i/>
          <w:iCs/>
          <w:sz w:val="20"/>
          <w:szCs w:val="20"/>
          <w:lang w:eastAsia="hi-IN" w:bidi="hi-IN"/>
        </w:rPr>
        <w:t>soggetto promotore</w:t>
      </w:r>
      <w:r>
        <w:rPr>
          <w:rFonts w:eastAsia="SimSun" w:cs="Arial" w:ascii="Arial" w:hAnsi="Arial"/>
          <w:b w:val="false"/>
          <w:bCs w:val="false"/>
          <w:sz w:val="20"/>
          <w:szCs w:val="20"/>
          <w:lang w:eastAsia="hi-IN" w:bidi="hi-IN"/>
        </w:rPr>
        <w:t>”.</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2.</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L’accoglimento dello/degli studente/i per i periodi di apprendimento in situazione lavorativa non costituisce rapporto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e agli effetti delle disposizioni di cui al D. Lgs. 81/2008, al lavoratore è equiparato lo studente in alternanza scuola lavoro ex art. 2 comma 1 lettera a)  decreto citato.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L’attività di formazione ed orientamento del percorso in alternanza scuola – lavoro è congiuntamente progettata e verificata da un tutore designato dal soggetto promotore denominato “tutor interno” e da un tutore aziendale, indicato dal soggetto ospitante, denominato “tutor esterno”;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4. Per ciascun allievo beneficiario del percorso in alternanza inserito nell’impresa ospitante in base alla presente Convenzione viene predisposta un Piano Formativo Personalizzato, coerente con il Piano Formativo del percorso, che fa parte integrante della presente Convenzione;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5. La titolarità del percorso, della progettazione formativa e della certificazione delle acquisizioni è del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6. L’accoglimento dello/degli studente/i  minorenni per i periodi di apprendimento in situazione lavorativa non fa acquisire agli stessi la qualifica di “lavoratore minore” di cui alla L. 977/67 e successive modifiche</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3.</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tutor interno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 accoglienza e consulenza presso l’Istituzione formativa nei confronti degli allievi e dei genitori; tale informazione dovrà riguardare altresì la disciplina della sicurezza e salute sui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organizzazione e coordinamento delle attività dell’allievo;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redazione del report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certificazione delle competenze già acquisite dallo studente in materia di salute e sicurezza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e) verifica del rispetto da parte del soggetto ospitante di quanto indicato nella presente convenzione e nel progetto formativo, con riguardo altresì alle misure di prevenzione e protezione; </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collaborazione col tutor esterno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Il tutor esterno svolge funzioni di: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informazione/formazione sui rischi specifici aziendali, nel rispetto delle procedure interne;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accoglienza, accompagnamento e formazione nella struttura ospitante;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predisposizione della dichiarazione delle competenze acquisite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collaborazione col tutor interno all’individuazione del piano formativo;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dello specifico piano formativo, anche per quanto concerne la sicurezza e salute nei luoghi di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3. I tutor interno ed esterno condividono i seguenti compiti:</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Predisposizione del Piano formativo personalizzato, anche con riguardo alla disciplina della sicurezza e salute nei luoghi di lavoro. In particolare, il tutor interno dovrà collaborare col tutor esterno al fine dell’individuazione delle mansioni/attività richieste dal progetto formativo e delle misure di prevenzione necessarie alla tutela dello studente;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controllo della frequenza e dell’attuazione del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raccordo tra le esperienze formative in aula e quella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elaborazione di un report sull’esperienza svolta e sulle acquisizioni di ciascun allievo, che concorre alla valutazione e alla certificazione delle competenze da parte dei Consiglio di classe;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garantire il rispetto da parte dello studente degli obblighi propri di ciascun lavoratore di cui all’art. 20 D. Lgs. 81/2008. In particolare la violazione da parte dello studente degli obblighi richiamati dalla norma citata e dal piano formativo saranno segnalati dal tutor esterno al tutor interno affinché quest’ultimo possa porre in essere le azioni necessarie.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4</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Durante lo svolgimento del percorso in alternanza scuola – lavoro il beneficiario/i beneficiari del percorso è tenuto/sono tenuti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svolgere le attività previste dal Piano Formativo personalizzato;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in materia di igiene e sicurezza e salute sui luoghi di lavoro, nonché tutte le disposizioni, istruzioni, prescrizioni, regolamenti interni, previsti a tal scopo;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mantenere la necessaria riservatezza per quanto attiene ai dati, informazioni o conoscenze in merito a processi produttivi e prodotti, acquisiti durante lo svolgimento dell’attività formativa in contesto lavorativo;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seguire le indicazioni dei tutor e fare riferimento ad essi per qualsiasi esigenza di tipo organizzativo o altre evenienze.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e) rispettare gli obblighi di cui al D.Lgs. 81/2008, art. 20.</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5</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promotore assicura il beneficiario/i beneficiari del percorso in alternanza scuola – lavoro contro gli infortuni sul lavoro presso l’INAIL nella gestione per conto di cui all’articolo 190 comma 2, del testo unico approvato con D.P.R. 30 giugno 1965 n. 1124, nonché per la responsabilità civile presso compagnie assicurative operanti nel settore. In caso di incidente durante lo svolgimento del percorso il soggetto ospitante si impegna a segnalare l’evento, entro i tempi previsti dalla normativa vigente, agli istituti assicurativi (facendo riferimento al numero della polizza sottoscritta dal soggetto promotore) ed al soggetto promotore.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2. Ai fini dell’applicazione dell’articolo 18 del D. Lgs. 81/2008 il soggetto promotore si fa carico dei seguenti obblighi:</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Nell’affidare gli studenti all’azienda ospitante, tener conto delle capacità e delle condizioni  degli stessi, in rapporto alla loro salute e sicurezza;</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informare/formare lo studente in materia di norme relative a igiene, sicurezza e salute sui luoghi di lavoro, con particolare riguardo agli obblighi dello studente ex art. 20 D. Lgs. 81/2008;</w:t>
      </w:r>
    </w:p>
    <w:p>
      <w:pPr>
        <w:pStyle w:val="Normal"/>
        <w:widowControl w:val="false"/>
        <w:numPr>
          <w:ilvl w:val="0"/>
          <w:numId w:val="2"/>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designare un tutor interno che sia competente e adeguatamente formato in materia di sicurezza e salute nei luoghi di lavoro o che si avvalga di professionalità adeguate in materia (es. RSPP).</w:t>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6</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1. Il soggetto ospitante si impegna a:</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a) Garantire al beneficiario/ai beneficiari del percorso, per il tramite di un tutor aziendale, l’assistenza e la formazione necessarie al buon esito dell’attività di alternanza, nonché la dichiarazione delle competenze acquisite in contesto non formale;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b) rispettare le norme antinfortunistiche e di igiene sul lavoro;</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c) consentire al tutor del soggetto promotore di contattare il beneficiario/i beneficiari del percorso e il tutor aziendale per verificare l’andamento della formazione in contesto lavorativo, per coordinare l’intero percorso formativo e per la stesura della relazione finale;</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d) informare il soggetto promotore di qualsiasi incidente accada al beneficiario/ai beneficiari;</w:t>
      </w:r>
    </w:p>
    <w:p>
      <w:pPr>
        <w:pStyle w:val="Normal"/>
        <w:widowControl w:val="false"/>
        <w:shd w:fill="FFFF00" w:val="clear"/>
        <w:jc w:val="both"/>
        <w:rPr>
          <w:rFonts w:eastAsia="SimSun" w:cs="Arial" w:ascii="Arial" w:hAnsi="Arial"/>
          <w:sz w:val="20"/>
          <w:szCs w:val="20"/>
          <w:lang w:eastAsia="hi-IN" w:bidi="hi-IN"/>
        </w:rPr>
      </w:pPr>
      <w:r>
        <w:rPr>
          <w:rFonts w:eastAsia="SimSun" w:cs="Arial" w:ascii="Arial" w:hAnsi="Arial"/>
          <w:sz w:val="20"/>
          <w:szCs w:val="20"/>
          <w:lang w:eastAsia="hi-IN" w:bidi="hi-IN"/>
        </w:rPr>
        <w:t>e) comunicare con immediatezza le eventuali variazioni delle condizioni di lavoro significative ai fini  della tutela della sicurezza dei lavoratori, secondo quanto previsto dall'art. 29 comma 3 del D.Lgs n. 81/08.</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t>f) individuare il tutor esterno in un soggetto che sia competente e adeguatamente formato in materia di sicurezza e salute nei luoghi di lavoro o che si avvalga di professionalità adeguate in materia (es. RSPP).</w:t>
      </w:r>
    </w:p>
    <w:p>
      <w:pPr>
        <w:pStyle w:val="Normal"/>
        <w:widowControl w:val="false"/>
        <w:jc w:val="both"/>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keepNext/>
        <w:widowControl w:val="false"/>
        <w:tabs>
          <w:tab w:val="left" w:pos="4956" w:leader="none"/>
          <w:tab w:val="left" w:pos="13603" w:leader="none"/>
        </w:tabs>
        <w:spacing w:before="240" w:after="120"/>
        <w:ind w:left="0" w:right="566" w:hanging="0"/>
        <w:jc w:val="center"/>
        <w:outlineLvl w:val="0"/>
        <w:rPr>
          <w:rFonts w:eastAsia="SimSun" w:cs="Arial" w:ascii="Arial" w:hAnsi="Arial"/>
          <w:sz w:val="20"/>
          <w:szCs w:val="20"/>
          <w:lang w:eastAsia="hi-IN" w:bidi="hi-IN"/>
        </w:rPr>
      </w:pPr>
      <w:r>
        <w:rPr>
          <w:rFonts w:eastAsia="SimSun" w:cs="Arial" w:ascii="Arial" w:hAnsi="Arial"/>
          <w:sz w:val="20"/>
          <w:szCs w:val="20"/>
          <w:lang w:eastAsia="hi-IN" w:bidi="hi-IN"/>
        </w:rPr>
        <w:t>Art. 7</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 xml:space="preserve">La presente convenzione decorre dalla data sotto indicata e dura fino all’espletamento dell’esperienza definita da ciascun Piano Formativo Personalizzato presso il soggetto ospitante. </w:t>
      </w:r>
    </w:p>
    <w:p>
      <w:pPr>
        <w:pStyle w:val="Normal"/>
        <w:widowControl w:val="false"/>
        <w:numPr>
          <w:ilvl w:val="0"/>
          <w:numId w:val="3"/>
        </w:numPr>
        <w:suppressAutoHyphens w:val="false"/>
        <w:jc w:val="both"/>
        <w:rPr>
          <w:rFonts w:eastAsia="SimSun" w:cs="Arial" w:ascii="Arial" w:hAnsi="Arial"/>
          <w:sz w:val="20"/>
          <w:szCs w:val="20"/>
          <w:lang w:eastAsia="hi-IN" w:bidi="hi-IN"/>
        </w:rPr>
      </w:pPr>
      <w:r>
        <w:rPr>
          <w:rFonts w:eastAsia="SimSun" w:cs="Arial" w:ascii="Arial" w:hAnsi="Arial"/>
          <w:sz w:val="20"/>
          <w:szCs w:val="20"/>
          <w:lang w:eastAsia="hi-IN" w:bidi="hi-IN"/>
        </w:rPr>
        <w:t>E’ in ogni caso riconosciuta facoltà al soggetto ospitante e al soggetto promotore di risolvere la presente convenzione in caso di violazione degli obblighi in materia di salute e sicurezza nei luoghi di lavoro o del piano formativo personalizzato.</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t>Lecco,  31/07/2015</w:t>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rPr>
          <w:rFonts w:eastAsia="SimSun" w:cs="Arial" w:ascii="Arial" w:hAnsi="Arial"/>
          <w:sz w:val="20"/>
          <w:szCs w:val="20"/>
          <w:lang w:eastAsia="hi-IN" w:bidi="hi-IN"/>
        </w:rPr>
      </w:pPr>
      <w:r>
        <w:rPr>
          <w:rFonts w:eastAsia="SimSun" w:cs="Arial" w:ascii="Arial" w:hAnsi="Arial"/>
          <w:sz w:val="20"/>
          <w:szCs w:val="20"/>
          <w:lang w:eastAsia="hi-IN" w:bidi="hi-IN"/>
        </w:rPr>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I.I.S. "S. TEN. VASC. A. BADONI"</w:t>
      </w:r>
    </w:p>
    <w:p>
      <w:pPr>
        <w:pStyle w:val="Normal"/>
        <w:widowControl w:val="false"/>
        <w:jc w:val="center"/>
        <w:rPr>
          <w:rFonts w:eastAsia="SimSun" w:cs="Arial" w:ascii="Arial" w:hAnsi="Arial"/>
          <w:sz w:val="20"/>
          <w:szCs w:val="20"/>
          <w:lang w:eastAsia="hi-IN" w:bidi="hi-IN"/>
        </w:rPr>
      </w:pPr>
      <w:r>
        <w:rPr>
          <w:rFonts w:eastAsia="SimSun" w:cs="Arial" w:ascii="Arial" w:hAnsi="Arial"/>
          <w:sz w:val="20"/>
          <w:szCs w:val="20"/>
          <w:lang w:eastAsia="hi-IN" w:bidi="hi-IN"/>
        </w:rPr>
        <w:t>Angelo Benigno De Battista</w:t>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pPr>
      <w:r>
        <w:rPr/>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Timbro e Firma  Soggetto Ospitante</w:t>
      </w:r>
    </w:p>
    <w:p>
      <w:pPr>
        <w:pStyle w:val="Normal"/>
        <w:widowControl w:val="false"/>
        <w:jc w:val="center"/>
        <w:rPr>
          <w:rFonts w:eastAsia="SimSun" w:cs="Arial" w:ascii="Arial" w:hAnsi="Arial"/>
          <w:b w:val="false"/>
          <w:bCs w:val="false"/>
          <w:color w:val="00000A"/>
          <w:sz w:val="20"/>
          <w:szCs w:val="20"/>
          <w:lang w:eastAsia="hi-IN" w:bidi="hi-IN"/>
        </w:rPr>
      </w:pPr>
      <w:r>
        <w:rPr>
          <w:rFonts w:eastAsia="SimSun" w:cs="Arial" w:ascii="Arial" w:hAnsi="Arial"/>
          <w:b w:val="false"/>
          <w:bCs w:val="false"/>
          <w:color w:val="00000A"/>
          <w:sz w:val="20"/>
          <w:szCs w:val="20"/>
          <w:lang w:eastAsia="hi-IN" w:bidi="hi-IN"/>
        </w:rPr>
        <w:t>GRUPPO SEI SRL</w:t>
      </w:r>
    </w:p>
    <w:sectPr>
      <w:headerReference w:type="default" r:id="rId4"/>
      <w:footerReference w:type="default" r:id="rId5"/>
      <w:type w:val="nextPage"/>
      <w:pgSz w:w="11906" w:h="16838"/>
      <w:pgMar w:left="1134" w:right="1134" w:header="567" w:top="624" w:footer="454" w:bottom="1134" w:gutter="0"/>
      <w:pgNumType w:fmt="decimal"/>
      <w:formProt w:val="false"/>
      <w:textDirection w:val="lrTb"/>
      <w:docGrid w:type="default" w:linePitch="36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Wingdings">
    <w:charset w:val="01"/>
    <w:family w:val="roman"/>
    <w:pitch w:val="variable"/>
  </w:font>
  <w:font w:name="Symbol">
    <w:charset w:val="01"/>
    <w:family w:val="roman"/>
    <w:pitch w:val="variable"/>
  </w:font>
  <w:font w:name="Courier New">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Arial">
    <w:charset w:val="01"/>
    <w:family w:val="roman"/>
    <w:pitch w:val="variable"/>
  </w:font>
  <w:font w:name="Tahoma">
    <w:charset w:val="01"/>
    <w:family w:val="roman"/>
    <w:pitch w:val="variable"/>
  </w:font>
  <w:font w:name="Verdana">
    <w:charset w:val="01"/>
    <w:family w:val="roman"/>
    <w:pitch w:val="variable"/>
  </w:font>
  <w:font w:name="Calibri">
    <w:charset w:val="01"/>
    <w:family w:val="swiss"/>
    <w:pitch w:val="default"/>
  </w:font>
  <w:font w:name="Symbol">
    <w:charset w:val="02"/>
    <w:family w:val="auto"/>
    <w:pitch w:val="variable"/>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jc w:val="center"/>
      <w:rPr>
        <w:rFonts w:cs="Arial" w:ascii="Arial" w:hAnsi="Arial"/>
        <w:b/>
        <w:i/>
        <w:sz w:val="18"/>
        <w:szCs w:val="18"/>
      </w:rPr>
    </w:pPr>
    <w:r>
      <w:rPr>
        <w:rFonts w:cs="Arial" w:ascii="Arial" w:hAnsi="Arial"/>
        <w:b/>
        <w:i/>
        <w:sz w:val="18"/>
        <w:szCs w:val="18"/>
      </w:rPr>
      <w:t>SEDI ASSOCIATE</w:t>
    </w:r>
  </w:p>
  <w:p>
    <w:pPr>
      <w:pStyle w:val="Normal"/>
      <w:widowControl w:val="false"/>
      <w:jc w:val="center"/>
      <w:rPr>
        <w:rFonts w:cs="Arial" w:ascii="Arial" w:hAnsi="Arial"/>
        <w:sz w:val="18"/>
        <w:szCs w:val="18"/>
      </w:rPr>
    </w:pPr>
    <w:r>
      <w:rPr>
        <w:rFonts w:cs="Arial" w:ascii="Arial" w:hAnsi="Arial"/>
        <w:sz w:val="18"/>
        <w:szCs w:val="18"/>
      </w:rPr>
      <w:t>Istituto Tecnico Industriale – Via Rivolta,10 – 23900 LECCO</w:t>
    </w:r>
  </w:p>
  <w:p>
    <w:pPr>
      <w:pStyle w:val="Pidipagina"/>
      <w:jc w:val="center"/>
      <w:rPr>
        <w:rFonts w:cs="Arial" w:ascii="Arial" w:hAnsi="Arial"/>
        <w:sz w:val="18"/>
        <w:szCs w:val="18"/>
      </w:rPr>
    </w:pPr>
    <w:r>
      <w:rPr>
        <w:rFonts w:cs="Arial" w:ascii="Arial" w:hAnsi="Arial"/>
        <w:sz w:val="18"/>
        <w:szCs w:val="18"/>
      </w:rPr>
      <w:t>Istituto Tecnico per Geometri -  Via XI Febbraio, 8 – 23900 LECCO</w:t>
    </w:r>
  </w:p>
  <w:p>
    <w:pPr>
      <w:pStyle w:val="Pidipagina"/>
      <w:rPr>
        <w:rFonts w:cs="Verdana" w:ascii="Verdana" w:hAnsi="Verdana"/>
        <w:i/>
        <w:color w:val="004586"/>
        <w:sz w:val="16"/>
        <w:szCs w:val="16"/>
      </w:rPr>
    </w:pPr>
    <w:r>
      <w:rPr>
        <w:rFonts w:cs="Verdana" w:ascii="Verdana" w:hAnsi="Verdana"/>
        <w:i/>
        <w:color w:val="004586"/>
        <w:sz w:val="16"/>
        <w:szCs w:val="16"/>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Normal"/>
      <w:widowControl w:val="false"/>
      <w:tabs>
        <w:tab w:val="left" w:pos="10206" w:leader="none"/>
      </w:tabs>
      <w:jc w:val="center"/>
      <w:rPr>
        <w:b/>
        <w:sz w:val="19"/>
      </w:rPr>
    </w:pPr>
    <w:r>
      <w:rPr>
        <w:b/>
        <w:sz w:val="19"/>
      </w:rPr>
    </w:r>
  </w:p>
  <w:p>
    <w:pPr>
      <w:pStyle w:val="Normal"/>
      <w:widowControl w:val="false"/>
      <w:jc w:val="center"/>
      <w:rPr>
        <w:rFonts w:cs="Verdana" w:ascii="Verdana" w:hAnsi="Verdana"/>
        <w:color w:val="004586"/>
      </w:rPr>
    </w:pPr>
    <w:r>
      <w:rPr>
        <w:rFonts w:cs="Verdana" w:ascii="Verdana" w:hAnsi="Verdana"/>
        <w:color w:val="004586"/>
      </w:rPr>
    </w:r>
  </w:p>
  <w:p>
    <w:pPr>
      <w:pStyle w:val="Normal"/>
      <w:widowControl w:val="false"/>
      <w:tabs>
        <w:tab w:val="left" w:pos="-1560" w:leader="none"/>
        <w:tab w:val="center" w:pos="9923" w:leader="none"/>
        <w:tab w:val="center" w:pos="10206" w:leader="none"/>
      </w:tabs>
      <w:rPr>
        <w:rFonts w:cs="Verdana" w:ascii="Verdana" w:hAnsi="Verdana"/>
        <w:color w:val="004586"/>
      </w:rPr>
    </w:pPr>
    <w:r>
      <w:rPr>
        <w:rFonts w:cs="Verdana" w:ascii="Verdana" w:hAnsi="Verdana"/>
        <w:color w:val="004586"/>
      </w:rPr>
      <w:t xml:space="preserve">                         </w:t>
    </w:r>
  </w:p>
  <w:p>
    <w:pPr>
      <w:pStyle w:val="Normal"/>
      <w:widowControl w:val="false"/>
      <w:spacing w:lineRule="atLeast" w:line="240"/>
      <w:jc w:val="center"/>
      <w:rPr>
        <w:rFonts w:cs="Verdana" w:ascii="Verdana" w:hAnsi="Verdana"/>
      </w:rPr>
    </w:pPr>
    <w:r>
      <w:rPr>
        <w:rFonts w:cs="Verdana" w:ascii="Verdana" w:hAnsi="Verdana"/>
      </w:rPr>
    </w:r>
  </w:p>
  <w:p>
    <w:pPr>
      <w:pStyle w:val="Normal"/>
      <w:widowControl w:val="false"/>
      <w:tabs>
        <w:tab w:val="left" w:pos="-1560" w:leader="none"/>
        <w:tab w:val="center" w:pos="9923" w:leader="none"/>
        <w:tab w:val="center" w:pos="10206" w:leader="none"/>
      </w:tabs>
      <w:ind w:left="0" w:right="425" w:hanging="0"/>
      <w:jc w:val="center"/>
      <w:rPr>
        <w:rFonts w:cs="Verdana" w:ascii="Verdana" w:hAnsi="Verdana"/>
        <w:sz w:val="18"/>
        <w:szCs w:val="18"/>
      </w:rPr>
    </w:pPr>
    <w:r>
      <w:rPr>
        <w:rFonts w:cs="Verdana" w:ascii="Verdana" w:hAnsi="Verdana"/>
        <w:sz w:val="18"/>
        <w:szCs w:val="18"/>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360" w:hanging="360"/>
      </w:pPr>
      <w:rPr>
        <w:rFonts w:ascii="Calibri" w:hAnsi="Calibri" w:cs="Calibri" w:hint="default"/>
      </w:rPr>
    </w:lvl>
    <w:lvl w:ilvl="1">
      <w:start w:val="1"/>
      <w:numFmt w:val="decimal"/>
      <w:lvlText w:val="%2."/>
      <w:lvlJc w:val="left"/>
      <w:pPr>
        <w:tabs>
          <w:tab w:val="num" w:pos="1440"/>
        </w:tabs>
        <w:ind w:left="1440" w:hanging="360"/>
      </w:pPr>
    </w:lvl>
    <w:lvl w:ilvl="2">
      <w:start w:val="1"/>
      <w:numFmt w:val="decimal"/>
      <w:lvlText w:val="%2.%3."/>
      <w:lvlJc w:val="left"/>
      <w:pPr>
        <w:tabs>
          <w:tab w:val="num" w:pos="2160"/>
        </w:tabs>
        <w:ind w:left="2160" w:hanging="360"/>
      </w:pPr>
    </w:lvl>
    <w:lvl w:ilvl="3">
      <w:start w:val="1"/>
      <w:numFmt w:val="decimal"/>
      <w:lvlText w:val="%2.%3.%4."/>
      <w:lvlJc w:val="left"/>
      <w:pPr>
        <w:tabs>
          <w:tab w:val="num" w:pos="2880"/>
        </w:tabs>
        <w:ind w:left="2880" w:hanging="360"/>
      </w:pPr>
    </w:lvl>
    <w:lvl w:ilvl="4">
      <w:start w:val="1"/>
      <w:numFmt w:val="decimal"/>
      <w:lvlText w:val="%2.%3.%4.%5."/>
      <w:lvlJc w:val="left"/>
      <w:pPr>
        <w:tabs>
          <w:tab w:val="num" w:pos="3600"/>
        </w:tabs>
        <w:ind w:left="3600" w:hanging="360"/>
      </w:pPr>
    </w:lvl>
    <w:lvl w:ilvl="5">
      <w:start w:val="1"/>
      <w:numFmt w:val="decimal"/>
      <w:lvlText w:val="%2.%3.%4.%5.%6."/>
      <w:lvlJc w:val="left"/>
      <w:pPr>
        <w:tabs>
          <w:tab w:val="num" w:pos="4320"/>
        </w:tabs>
        <w:ind w:left="4320" w:hanging="360"/>
      </w:pPr>
    </w:lvl>
    <w:lvl w:ilvl="6">
      <w:start w:val="1"/>
      <w:numFmt w:val="decimal"/>
      <w:lvlText w:val="%2.%3.%4.%5.%6.%7."/>
      <w:lvlJc w:val="left"/>
      <w:pPr>
        <w:tabs>
          <w:tab w:val="num" w:pos="5040"/>
        </w:tabs>
        <w:ind w:left="5040" w:hanging="360"/>
      </w:pPr>
    </w:lvl>
    <w:lvl w:ilvl="7">
      <w:start w:val="1"/>
      <w:numFmt w:val="decimal"/>
      <w:lvlText w:val="%2.%3.%4.%5.%6.%7.%8."/>
      <w:lvlJc w:val="left"/>
      <w:pPr>
        <w:tabs>
          <w:tab w:val="num" w:pos="5760"/>
        </w:tabs>
        <w:ind w:left="5760" w:hanging="360"/>
      </w:pPr>
    </w:lvl>
    <w:lvl w:ilvl="8">
      <w:start w:val="1"/>
      <w:numFmt w:val="decimal"/>
      <w:lvlText w:val="%2.%3.%4.%5.%6.%7.%8.%9."/>
      <w:lvlJc w:val="left"/>
      <w:pPr>
        <w:tabs>
          <w:tab w:val="num" w:pos="6480"/>
        </w:tabs>
        <w:ind w:left="6480" w:hanging="3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decimal"/>
      <w:lvlText w:val="%1."/>
      <w:lvlJc w:val="left"/>
      <w:pPr>
        <w:ind w:left="360" w:hanging="360"/>
      </w:pPr>
      <w:rPr>
        <w:color w:val="00000A"/>
      </w:rPr>
    </w:lvl>
    <w:lvl w:ilvl="1">
      <w:start w:val="1"/>
      <w:numFmt w:val="lowerLetter"/>
      <w:lvlText w:val="%2."/>
      <w:lvlJc w:val="left"/>
      <w:pPr>
        <w:ind w:left="1080" w:hanging="360"/>
      </w:pPr>
    </w:lvl>
    <w:lvl w:ilvl="2">
      <w:start w:val="1"/>
      <w:numFmt w:val="lowerRoman"/>
      <w:lvlText w:val="%2.%3."/>
      <w:lvlJc w:val="right"/>
      <w:pPr>
        <w:ind w:left="1800" w:hanging="180"/>
      </w:pPr>
    </w:lvl>
    <w:lvl w:ilvl="3">
      <w:start w:val="1"/>
      <w:numFmt w:val="decimal"/>
      <w:lvlText w:val="%2.%3.%4."/>
      <w:lvlJc w:val="left"/>
      <w:pPr>
        <w:ind w:left="2520" w:hanging="360"/>
      </w:pPr>
    </w:lvl>
    <w:lvl w:ilvl="4">
      <w:start w:val="1"/>
      <w:numFmt w:val="lowerLetter"/>
      <w:lvlText w:val="%2.%3.%4.%5."/>
      <w:lvlJc w:val="left"/>
      <w:pPr>
        <w:ind w:left="3240" w:hanging="360"/>
      </w:pPr>
    </w:lvl>
    <w:lvl w:ilvl="5">
      <w:start w:val="1"/>
      <w:numFmt w:val="lowerRoman"/>
      <w:lvlText w:val="%2.%3.%4.%5.%6."/>
      <w:lvlJc w:val="right"/>
      <w:pPr>
        <w:ind w:left="3960" w:hanging="180"/>
      </w:pPr>
    </w:lvl>
    <w:lvl w:ilvl="6">
      <w:start w:val="1"/>
      <w:numFmt w:val="decimal"/>
      <w:lvlText w:val="%2.%3.%4.%5.%6.%7."/>
      <w:lvlJc w:val="left"/>
      <w:pPr>
        <w:ind w:left="4680" w:hanging="360"/>
      </w:pPr>
    </w:lvl>
    <w:lvl w:ilvl="7">
      <w:start w:val="1"/>
      <w:numFmt w:val="lowerLetter"/>
      <w:lvlText w:val="%2.%3.%4.%5.%6.%7.%8."/>
      <w:lvlJc w:val="left"/>
      <w:pPr>
        <w:ind w:left="5400" w:hanging="360"/>
      </w:pPr>
    </w:lvl>
    <w:lvl w:ilvl="8">
      <w:start w:val="1"/>
      <w:numFmt w:val="lowerRoman"/>
      <w:lvlText w:val="%2.%3.%4.%5.%6.%7.%8.%9."/>
      <w:lvlJc w:val="right"/>
      <w:pPr>
        <w:ind w:left="6120" w:hanging="180"/>
      </w:p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isplayBackgroundShape/>
  <w:embedSystemFonts/>
  <w:defaultTabStop w:val="708"/>
</w:settings>
</file>

<file path=word/styles.xml><?xml version="1.0" encoding="utf-8"?>
<w:styles xmlns:w="http://schemas.openxmlformats.org/wordprocessingml/2006/main">
  <w:docDefaults>
    <w:rPrDefault>
      <w:rPr>
        <w:rFonts w:ascii="Times New Roman" w:hAnsi="Times New Roman" w:eastAsia="Times New Roman" w:cs="Times New Roman"/>
        <w:lang w:val="it-IT" w:eastAsia="it-IT" w:bidi="ar-SA"/>
      </w:rPr>
    </w:rPrDefault>
    <w:pPrDefault>
      <w:pPr/>
    </w:pPrDefault>
  </w:docDefaults>
  <w:latentStyles w:count="267" w:defQFormat="0" w:defUnhideWhenUsed="1" w:defSemiHidden="1" w:defUIPriority="99" w:defLockedState="0">
    <w:lsdException w:qFormat="1" w:unhideWhenUsed="0" w:semiHidden="0" w:uiPriority="0" w:name="Normal"/>
    <w:lsdException w:qFormat="1" w:unhideWhenUsed="0" w:semiHidden="0" w:uiPriority="9" w:name="heading 1"/>
    <w:lsdException w:qFormat="1" w:unhideWhenUsed="0" w:semiHidden="0" w:uiPriority="9" w:name="heading 2"/>
    <w:lsdException w:qFormat="1" w:unhideWhenUsed="0" w:semiHidden="0"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qFormat="1" w:unhideWhenUsed="0" w:semiHidden="0" w:uiPriority="10" w:name="Title"/>
    <w:lsdException w:uiPriority="1" w:name="Default Paragraph Font"/>
    <w:lsdException w:qFormat="1" w:unhideWhenUsed="0" w:semiHidden="0" w:uiPriority="11" w:name="Subtitle"/>
    <w:lsdException w:qFormat="1" w:unhideWhenUsed="0" w:semiHidden="0" w:uiPriority="22" w:name="Strong"/>
    <w:lsdException w:qFormat="1" w:unhideWhenUsed="0" w:semiHidden="0" w:uiPriority="20" w:name="Emphasis"/>
    <w:lsdException w:unhideWhenUsed="0" w:semiHidden="0" w:uiPriority="59" w:name="Table Grid"/>
    <w:lsdException w:unhideWhenUsed="0" w:name="Placeholder Text"/>
    <w:lsdException w:qFormat="1" w:unhideWhenUsed="0" w:semiHidden="0"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qFormat="1" w:unhideWhenUsed="0" w:semiHidden="0" w:uiPriority="34" w:name="List Paragraph"/>
    <w:lsdException w:qFormat="1" w:unhideWhenUsed="0" w:semiHidden="0" w:uiPriority="29" w:name="Quote"/>
    <w:lsdException w:qFormat="1" w:unhideWhenUsed="0" w:semiHidden="0"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qFormat="1" w:unhideWhenUsed="0" w:semiHidden="0" w:uiPriority="19" w:name="Subtle Emphasis"/>
    <w:lsdException w:qFormat="1" w:unhideWhenUsed="0" w:semiHidden="0" w:uiPriority="21" w:name="Intense Emphasis"/>
    <w:lsdException w:qFormat="1" w:unhideWhenUsed="0" w:semiHidden="0" w:uiPriority="31" w:name="Subtle Reference"/>
    <w:lsdException w:qFormat="1" w:unhideWhenUsed="0" w:semiHidden="0" w:uiPriority="32" w:name="Intense Reference"/>
    <w:lsdException w:qFormat="1" w:unhideWhenUsed="0" w:semiHidden="0" w:uiPriority="33" w:name="Book Title"/>
    <w:lsdException w:uiPriority="37" w:name="Bibliography"/>
    <w:lsdException w:qFormat="1" w:uiPriority="39" w:name="TOC Heading"/>
  </w:latentStyles>
  <w:style w:type="paragraph" w:styleId="Normal" w:default="1">
    <w:name w:val="Normal"/>
    <w:qFormat/>
    <w:rsid w:val="00ce47a2"/>
    <w:pPr>
      <w:widowControl/>
      <w:suppressAutoHyphens w:val="true"/>
      <w:bidi w:val="0"/>
      <w:jc w:val="left"/>
    </w:pPr>
    <w:rPr>
      <w:rFonts w:ascii="Times New Roman" w:hAnsi="Times New Roman" w:eastAsia="Times New Roman" w:cs="Times New Roman"/>
      <w:color w:val="00000A"/>
      <w:sz w:val="20"/>
      <w:szCs w:val="20"/>
      <w:lang w:val="it-IT" w:eastAsia="ar-SA" w:bidi="ar-SA"/>
    </w:rPr>
  </w:style>
  <w:style w:type="character" w:styleId="DefaultParagraphFont" w:default="1">
    <w:name w:val="Default Paragraph Font"/>
    <w:uiPriority w:val="1"/>
    <w:semiHidden/>
    <w:unhideWhenUsed/>
    <w:rPr/>
  </w:style>
  <w:style w:type="character" w:styleId="AbsatzStandardschriftart" w:customStyle="1">
    <w:name w:val="Absatz-Standardschriftart"/>
    <w:rsid w:val="00ce47a2"/>
    <w:rPr/>
  </w:style>
  <w:style w:type="character" w:styleId="Carpredefinitoparagrafo2" w:customStyle="1">
    <w:name w:val="Car. predefinito paragrafo2"/>
    <w:rsid w:val="00ce47a2"/>
    <w:rPr/>
  </w:style>
  <w:style w:type="character" w:styleId="WWAbsatzStandardschriftart" w:customStyle="1">
    <w:name w:val="WW-Absatz-Standardschriftart"/>
    <w:rsid w:val="00ce47a2"/>
    <w:rPr/>
  </w:style>
  <w:style w:type="character" w:styleId="WWAbsatzStandardschriftart1" w:customStyle="1">
    <w:name w:val="WW-Absatz-Standardschriftart1"/>
    <w:rsid w:val="00ce47a2"/>
    <w:rPr/>
  </w:style>
  <w:style w:type="character" w:styleId="WW8Num1z0" w:customStyle="1">
    <w:name w:val="WW8Num1z0"/>
    <w:rsid w:val="00ce47a2"/>
    <w:rPr>
      <w:rFonts w:ascii="Wingdings" w:hAnsi="Wingdings" w:cs="Wingdings"/>
    </w:rPr>
  </w:style>
  <w:style w:type="character" w:styleId="WW8Num2z0" w:customStyle="1">
    <w:name w:val="WW8Num2z0"/>
    <w:rsid w:val="00ce47a2"/>
    <w:rPr>
      <w:rFonts w:ascii="Wingdings" w:hAnsi="Wingdings" w:cs="Wingdings"/>
    </w:rPr>
  </w:style>
  <w:style w:type="character" w:styleId="WW8Num4z0" w:customStyle="1">
    <w:name w:val="WW8Num4z0"/>
    <w:rsid w:val="00ce47a2"/>
    <w:rPr>
      <w:rFonts w:ascii="Wingdings" w:hAnsi="Wingdings" w:cs="Wingdings"/>
    </w:rPr>
  </w:style>
  <w:style w:type="character" w:styleId="WW8Num5z0" w:customStyle="1">
    <w:name w:val="WW8Num5z0"/>
    <w:rsid w:val="00ce47a2"/>
    <w:rPr>
      <w:rFonts w:ascii="Symbol" w:hAnsi="Symbol" w:cs="Symbol"/>
    </w:rPr>
  </w:style>
  <w:style w:type="character" w:styleId="WW8Num5z1" w:customStyle="1">
    <w:name w:val="WW8Num5z1"/>
    <w:rsid w:val="00ce47a2"/>
    <w:rPr>
      <w:rFonts w:ascii="Courier New" w:hAnsi="Courier New" w:cs="Courier New"/>
    </w:rPr>
  </w:style>
  <w:style w:type="character" w:styleId="WW8Num5z2" w:customStyle="1">
    <w:name w:val="WW8Num5z2"/>
    <w:rsid w:val="00ce47a2"/>
    <w:rPr>
      <w:rFonts w:ascii="Wingdings" w:hAnsi="Wingdings" w:cs="Wingdings"/>
    </w:rPr>
  </w:style>
  <w:style w:type="character" w:styleId="WW8Num6z0" w:customStyle="1">
    <w:name w:val="WW8Num6z0"/>
    <w:rsid w:val="00ce47a2"/>
    <w:rPr>
      <w:rFonts w:ascii="Wingdings" w:hAnsi="Wingdings" w:cs="Wingdings"/>
    </w:rPr>
  </w:style>
  <w:style w:type="character" w:styleId="WW8Num6z1" w:customStyle="1">
    <w:name w:val="WW8Num6z1"/>
    <w:rsid w:val="00ce47a2"/>
    <w:rPr>
      <w:rFonts w:ascii="Courier New" w:hAnsi="Courier New" w:cs="Courier New"/>
    </w:rPr>
  </w:style>
  <w:style w:type="character" w:styleId="WW8Num6z3" w:customStyle="1">
    <w:name w:val="WW8Num6z3"/>
    <w:rsid w:val="00ce47a2"/>
    <w:rPr>
      <w:rFonts w:ascii="Symbol" w:hAnsi="Symbol" w:cs="Symbol"/>
    </w:rPr>
  </w:style>
  <w:style w:type="character" w:styleId="WW8Num7z0" w:customStyle="1">
    <w:name w:val="WW8Num7z0"/>
    <w:rsid w:val="00ce47a2"/>
    <w:rPr>
      <w:rFonts w:ascii="Wingdings" w:hAnsi="Wingdings" w:cs="Wingdings"/>
    </w:rPr>
  </w:style>
  <w:style w:type="character" w:styleId="WW8Num8z0" w:customStyle="1">
    <w:name w:val="WW8Num8z0"/>
    <w:rsid w:val="00ce47a2"/>
    <w:rPr>
      <w:rFonts w:ascii="Wingdings" w:hAnsi="Wingdings" w:cs="Wingdings"/>
    </w:rPr>
  </w:style>
  <w:style w:type="character" w:styleId="WW8Num9z0" w:customStyle="1">
    <w:name w:val="WW8Num9z0"/>
    <w:rsid w:val="00ce47a2"/>
    <w:rPr>
      <w:rFonts w:ascii="Wingdings" w:hAnsi="Wingdings" w:cs="Wingdings"/>
    </w:rPr>
  </w:style>
  <w:style w:type="character" w:styleId="WW8Num10z0" w:customStyle="1">
    <w:name w:val="WW8Num10z0"/>
    <w:rsid w:val="00ce47a2"/>
    <w:rPr>
      <w:rFonts w:ascii="Wingdings" w:hAnsi="Wingdings" w:cs="Wingdings"/>
    </w:rPr>
  </w:style>
  <w:style w:type="character" w:styleId="WW8Num12z0" w:customStyle="1">
    <w:name w:val="WW8Num12z0"/>
    <w:rsid w:val="00ce47a2"/>
    <w:rPr>
      <w:rFonts w:ascii="Wingdings" w:hAnsi="Wingdings" w:cs="Wingdings"/>
    </w:rPr>
  </w:style>
  <w:style w:type="character" w:styleId="Carpredefinitoparagrafo1" w:customStyle="1">
    <w:name w:val="Car. predefinito paragrafo1"/>
    <w:rsid w:val="00ce47a2"/>
    <w:rPr/>
  </w:style>
  <w:style w:type="character" w:styleId="CollegamentoInternet">
    <w:name w:val="Collegamento Internet"/>
    <w:uiPriority w:val="99"/>
    <w:unhideWhenUsed/>
    <w:rsid w:val="003f5499"/>
    <w:rPr>
      <w:color w:val="0000FF"/>
      <w:u w:val="single"/>
      <w:lang w:val="zxx" w:eastAsia="zxx" w:bidi="zxx"/>
    </w:rPr>
  </w:style>
  <w:style w:type="character" w:styleId="ListLabel1">
    <w:name w:val="ListLabel 1"/>
    <w:rPr>
      <w:rFonts w:cs="Arial"/>
    </w:rPr>
  </w:style>
  <w:style w:type="character" w:styleId="ListLabel2">
    <w:name w:val="ListLabel 2"/>
    <w:rPr>
      <w:rFonts w:cs="Times New Roman"/>
    </w:rPr>
  </w:style>
  <w:style w:type="character" w:styleId="ListLabel3">
    <w:name w:val="ListLabel 3"/>
    <w:rPr>
      <w:rFonts w:cs="Courier New"/>
    </w:rPr>
  </w:style>
  <w:style w:type="character" w:styleId="ListLabel4">
    <w:name w:val="ListLabel 4"/>
    <w:rPr>
      <w:rFonts w:cs="Times New Roman"/>
      <w:color w:val="00000A"/>
    </w:rPr>
  </w:style>
  <w:style w:type="character" w:styleId="ListLabel5">
    <w:name w:val="ListLabel 5"/>
    <w:rPr>
      <w:rFonts w:cs="Calibri"/>
    </w:rPr>
  </w:style>
  <w:style w:type="character" w:styleId="ListLabel6">
    <w:name w:val="ListLabel 6"/>
    <w:rPr>
      <w:rFonts w:cs="Symbol"/>
    </w:rPr>
  </w:style>
  <w:style w:type="character" w:styleId="ListLabel7">
    <w:name w:val="ListLabel 7"/>
    <w:rPr>
      <w:rFonts w:cs="Courier New"/>
    </w:rPr>
  </w:style>
  <w:style w:type="character" w:styleId="ListLabel8">
    <w:name w:val="ListLabel 8"/>
    <w:rPr>
      <w:rFonts w:cs="Wingdings"/>
    </w:rPr>
  </w:style>
  <w:style w:type="character" w:styleId="ListLabel9">
    <w:name w:val="ListLabel 9"/>
    <w:rPr>
      <w:color w:val="00000A"/>
    </w:rPr>
  </w:style>
  <w:style w:type="character" w:styleId="ListLabel10">
    <w:name w:val="ListLabel 10"/>
    <w:rPr>
      <w:rFonts w:cs="Calibri"/>
    </w:rPr>
  </w:style>
  <w:style w:type="character" w:styleId="ListLabel11">
    <w:name w:val="ListLabel 11"/>
    <w:rPr>
      <w:rFonts w:cs="Symbol"/>
    </w:rPr>
  </w:style>
  <w:style w:type="character" w:styleId="ListLabel12">
    <w:name w:val="ListLabel 12"/>
    <w:rPr>
      <w:rFonts w:cs="Courier New"/>
    </w:rPr>
  </w:style>
  <w:style w:type="character" w:styleId="ListLabel13">
    <w:name w:val="ListLabel 13"/>
    <w:rPr>
      <w:rFonts w:cs="Wingdings"/>
    </w:rPr>
  </w:style>
  <w:style w:type="character" w:styleId="ListLabel14">
    <w:name w:val="ListLabel 14"/>
    <w:rPr>
      <w:color w:val="00000A"/>
    </w:rPr>
  </w:style>
  <w:style w:type="paragraph" w:styleId="Heading">
    <w:name w:val="Heading"/>
    <w:basedOn w:val="Normal"/>
    <w:next w:val="TextBody"/>
    <w:pPr>
      <w:keepNext/>
      <w:spacing w:before="240" w:after="120"/>
    </w:pPr>
    <w:rPr>
      <w:rFonts w:ascii="Liberation Sans" w:hAnsi="Liberation Sans" w:eastAsia="Droid Sans Fallback" w:cs="Lohit Marathi"/>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ohit Marathi"/>
    </w:rPr>
  </w:style>
  <w:style w:type="paragraph" w:styleId="Caption">
    <w:name w:val="Caption"/>
    <w:basedOn w:val="Normal"/>
    <w:pPr>
      <w:suppressLineNumbers/>
      <w:spacing w:before="120" w:after="120"/>
    </w:pPr>
    <w:rPr>
      <w:rFonts w:cs="Lohit Marathi"/>
      <w:i/>
      <w:iCs/>
      <w:sz w:val="24"/>
      <w:szCs w:val="24"/>
    </w:rPr>
  </w:style>
  <w:style w:type="paragraph" w:styleId="Index">
    <w:name w:val="Index"/>
    <w:basedOn w:val="Normal"/>
    <w:pPr>
      <w:suppressLineNumbers/>
    </w:pPr>
    <w:rPr>
      <w:rFonts w:cs="Lohit Marathi"/>
    </w:rPr>
  </w:style>
  <w:style w:type="paragraph" w:styleId="Titolo1">
    <w:name w:val="Titolo 1"/>
    <w:qFormat/>
    <w:rsid w:val="00ce47a2"/>
    <w:basedOn w:val="Normal"/>
    <w:pPr>
      <w:keepNext/>
      <w:tabs>
        <w:tab w:val="left" w:pos="0" w:leader="none"/>
        <w:tab w:val="left" w:pos="8647" w:leader="none"/>
      </w:tabs>
      <w:ind w:left="4956" w:right="566" w:firstLine="708"/>
      <w:outlineLvl w:val="0"/>
    </w:pPr>
    <w:rPr>
      <w:sz w:val="24"/>
    </w:rPr>
  </w:style>
  <w:style w:type="paragraph" w:styleId="Titolo2">
    <w:name w:val="Titolo 2"/>
    <w:qFormat/>
    <w:rsid w:val="00ce47a2"/>
    <w:basedOn w:val="Normal"/>
    <w:pPr>
      <w:keepNext/>
      <w:pBdr>
        <w:top w:val="single" w:sz="4" w:space="1" w:color="000001"/>
        <w:left w:val="single" w:sz="4" w:space="4" w:color="000001"/>
        <w:bottom w:val="single" w:sz="4" w:space="1" w:color="000001"/>
        <w:right w:val="single" w:sz="4" w:space="4" w:color="000001"/>
      </w:pBdr>
      <w:tabs>
        <w:tab w:val="left" w:pos="0" w:leader="none"/>
        <w:tab w:val="left" w:pos="8647" w:leader="none"/>
      </w:tabs>
      <w:ind w:left="0" w:right="566" w:hanging="0"/>
      <w:outlineLvl w:val="1"/>
    </w:pPr>
    <w:rPr>
      <w:sz w:val="24"/>
    </w:rPr>
  </w:style>
  <w:style w:type="paragraph" w:styleId="Titolo3">
    <w:name w:val="Titolo 3"/>
    <w:qFormat/>
    <w:rsid w:val="00ce47a2"/>
    <w:basedOn w:val="Normal"/>
    <w:pPr>
      <w:keepNext/>
      <w:tabs>
        <w:tab w:val="left" w:pos="0" w:leader="none"/>
      </w:tabs>
      <w:ind w:left="720" w:right="0" w:hanging="720"/>
      <w:outlineLvl w:val="2"/>
    </w:pPr>
    <w:rPr>
      <w:sz w:val="24"/>
    </w:rPr>
  </w:style>
  <w:style w:type="paragraph" w:styleId="Titolo">
    <w:name w:val="Titolo"/>
    <w:basedOn w:val="Normal"/>
    <w:pPr>
      <w:keepNext/>
      <w:spacing w:before="240" w:after="120"/>
    </w:pPr>
    <w:rPr>
      <w:rFonts w:ascii="Liberation Sans" w:hAnsi="Liberation Sans" w:eastAsia="Droid Sans Fallback" w:cs="FreeSans"/>
      <w:sz w:val="28"/>
      <w:szCs w:val="28"/>
    </w:rPr>
  </w:style>
  <w:style w:type="paragraph" w:styleId="Corpodeltesto">
    <w:name w:val="Corpo del testo"/>
    <w:basedOn w:val="Normal"/>
    <w:pPr>
      <w:spacing w:lineRule="auto" w:line="288" w:before="0" w:after="140"/>
    </w:pPr>
    <w:rPr/>
  </w:style>
  <w:style w:type="paragraph" w:styleId="Elenco">
    <w:name w:val="Elenco"/>
    <w:rsid w:val="00ce47a2"/>
    <w:pPr>
      <w:widowControl w:val="false"/>
      <w:suppressAutoHyphens w:val="true"/>
      <w:bidi w:val="0"/>
      <w:jc w:val="left"/>
    </w:pPr>
    <w:rPr>
      <w:rFonts w:ascii="Times New Roman" w:hAnsi="Times New Roman" w:eastAsia="Times New Roman" w:cs="Mangal"/>
      <w:color w:val="00000A"/>
      <w:sz w:val="20"/>
      <w:szCs w:val="20"/>
      <w:lang w:val="it-IT" w:eastAsia="it-IT" w:bidi="ar-SA"/>
    </w:rPr>
  </w:style>
  <w:style w:type="paragraph" w:styleId="Didascalia">
    <w:name w:val="Didascalia"/>
    <w:basedOn w:val="Normal"/>
    <w:pPr>
      <w:suppressLineNumbers/>
      <w:spacing w:before="120" w:after="120"/>
    </w:pPr>
    <w:rPr>
      <w:rFonts w:cs="FreeSans"/>
      <w:i/>
      <w:iCs/>
      <w:sz w:val="24"/>
      <w:szCs w:val="24"/>
    </w:rPr>
  </w:style>
  <w:style w:type="paragraph" w:styleId="Indice" w:customStyle="1">
    <w:name w:val="Indice"/>
    <w:rsid w:val="00ce47a2"/>
    <w:basedOn w:val="Normal"/>
    <w:pPr>
      <w:suppressLineNumbers/>
    </w:pPr>
    <w:rPr>
      <w:rFonts w:cs="Mangal"/>
    </w:rPr>
  </w:style>
  <w:style w:type="paragraph" w:styleId="Intestazione2" w:customStyle="1">
    <w:name w:val="Intestazione2"/>
    <w:rsid w:val="00ce47a2"/>
    <w:basedOn w:val="Normal"/>
    <w:pPr>
      <w:keepNext/>
      <w:spacing w:before="240" w:after="120"/>
    </w:pPr>
    <w:rPr>
      <w:rFonts w:ascii="Arial" w:hAnsi="Arial" w:eastAsia="SimSun" w:cs="Mangal"/>
      <w:sz w:val="28"/>
      <w:szCs w:val="28"/>
    </w:rPr>
  </w:style>
  <w:style w:type="paragraph" w:styleId="Corpotesto1" w:customStyle="1">
    <w:name w:val="Corpo testo1"/>
    <w:rsid w:val="00ce47a2"/>
    <w:basedOn w:val="Normal"/>
    <w:pPr>
      <w:spacing w:before="0" w:after="120"/>
    </w:pPr>
    <w:rPr/>
  </w:style>
  <w:style w:type="paragraph" w:styleId="Didascalia2" w:customStyle="1">
    <w:name w:val="Didascalia2"/>
    <w:rsid w:val="00ce47a2"/>
    <w:basedOn w:val="Normal"/>
    <w:pPr>
      <w:suppressLineNumbers/>
      <w:spacing w:before="120" w:after="120"/>
    </w:pPr>
    <w:rPr>
      <w:rFonts w:cs="Mangal"/>
      <w:i/>
      <w:iCs/>
      <w:sz w:val="24"/>
      <w:szCs w:val="24"/>
    </w:rPr>
  </w:style>
  <w:style w:type="paragraph" w:styleId="Intestazione1" w:customStyle="1">
    <w:name w:val="Intestazione1"/>
    <w:rsid w:val="00ce47a2"/>
    <w:basedOn w:val="Normal"/>
    <w:pPr>
      <w:keepNext/>
      <w:spacing w:before="240" w:after="120"/>
    </w:pPr>
    <w:rPr>
      <w:rFonts w:ascii="Arial" w:hAnsi="Arial" w:eastAsia="SimSun" w:cs="Mangal"/>
      <w:sz w:val="28"/>
      <w:szCs w:val="28"/>
    </w:rPr>
  </w:style>
  <w:style w:type="paragraph" w:styleId="Didascalia1" w:customStyle="1">
    <w:name w:val="Didascalia1"/>
    <w:rsid w:val="00ce47a2"/>
    <w:basedOn w:val="Normal"/>
    <w:pPr>
      <w:suppressLineNumbers/>
      <w:spacing w:before="120" w:after="120"/>
    </w:pPr>
    <w:rPr>
      <w:rFonts w:cs="Mangal"/>
      <w:i/>
      <w:iCs/>
      <w:sz w:val="24"/>
      <w:szCs w:val="24"/>
    </w:rPr>
  </w:style>
  <w:style w:type="paragraph" w:styleId="Intestazione">
    <w:name w:val="Intestazione"/>
    <w:rsid w:val="00ce47a2"/>
    <w:basedOn w:val="Normal"/>
    <w:pPr>
      <w:tabs>
        <w:tab w:val="center" w:pos="4819" w:leader="none"/>
        <w:tab w:val="right" w:pos="9638" w:leader="none"/>
      </w:tabs>
    </w:pPr>
    <w:rPr/>
  </w:style>
  <w:style w:type="paragraph" w:styleId="Rientrocorpodeltesto">
    <w:name w:val="Rientro corpo del testo"/>
    <w:rsid w:val="00ce47a2"/>
    <w:basedOn w:val="Normal"/>
    <w:pPr>
      <w:ind w:left="0" w:right="0" w:firstLine="567"/>
    </w:pPr>
    <w:rPr>
      <w:sz w:val="24"/>
    </w:rPr>
  </w:style>
  <w:style w:type="paragraph" w:styleId="Rientrocorpodeltesto21" w:customStyle="1">
    <w:name w:val="Rientro corpo del testo 21"/>
    <w:rsid w:val="00ce47a2"/>
    <w:basedOn w:val="Normal"/>
    <w:pPr>
      <w:ind w:left="0" w:right="425" w:firstLine="567"/>
      <w:jc w:val="both"/>
    </w:pPr>
    <w:rPr>
      <w:sz w:val="24"/>
    </w:rPr>
  </w:style>
  <w:style w:type="paragraph" w:styleId="BalloonText">
    <w:name w:val="Balloon Text"/>
    <w:rsid w:val="00ce47a2"/>
    <w:basedOn w:val="Normal"/>
    <w:pPr/>
    <w:rPr>
      <w:rFonts w:ascii="Tahoma" w:hAnsi="Tahoma" w:cs="Tahoma"/>
      <w:sz w:val="16"/>
      <w:szCs w:val="16"/>
    </w:rPr>
  </w:style>
  <w:style w:type="paragraph" w:styleId="Pidipagina">
    <w:name w:val="Piè di pagina"/>
    <w:rsid w:val="00ce47a2"/>
    <w:basedOn w:val="Normal"/>
    <w:pPr>
      <w:tabs>
        <w:tab w:val="center" w:pos="4819" w:leader="none"/>
        <w:tab w:val="right" w:pos="9638" w:leader="none"/>
      </w:tabs>
    </w:pPr>
    <w:rPr/>
  </w:style>
  <w:style w:type="paragraph" w:styleId="Contenutocornice">
    <w:name w:val="Contenuto cornice"/>
    <w:basedOn w:val="Normal"/>
    <w:pPr/>
    <w:rPr/>
  </w:style>
  <w:style w:type="paragraph" w:styleId="FrameContents">
    <w:name w:val="Frame Contents"/>
    <w:basedOn w:val="Normal"/>
    <w:pPr/>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style>
  <w:style w:type="table" w:default="1" w:styleId="Tabellanormale">
    <w:name w:val="Normal Table"/>
    <w:uiPriority w:val="99"/>
    <w:qFormat/>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intestata vuota</Template>
  <TotalTime>2</TotalTime>
  <Application>LibreOffice/4.2.3.3$Linux_X86_64 LibreOffice_project/420m0$Build-3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2015-01-28T08:15:00Z</dcterms:created>
  <dc:creator>Cristina Risposi</dc:creator>
  <dc:language>it-IT</dc:language>
  <cp:lastModifiedBy>segreteria13</cp:lastModifiedBy>
  <cp:lastPrinted>2013-02-12T16:29:00Z</cp:lastPrinted>
  <dcterms:modified xsi:type="dcterms:W3CDTF">2015-01-28T16:55:00Z</dcterms:modified>
  <cp:revision>3</cp:revision>
  <dc:title>Prot</dc:title>
</cp:coreProperties>
</file>