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COMMODARO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PARTIGIANI, 90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CMMDNL98L03E507N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19/06/2015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COMMODARO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