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MATTIA SELVA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07/10/1997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LOC. SORAGNA,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CREMENO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SLVMTT97R07E507J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EPROVINCIA DI 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 DI 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02193970130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ANTONELLA CAZZANIGA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0341295365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PUBBLICA AMMINISTRAZIONE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CORRADO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CONTI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PROVINCIA DI LECCO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MATTIA SELVA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