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ALESSANDRO MARIA TOGNAZZI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MILANO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05/12/1998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PRIVATA MAZZET, 23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CREMENO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TGNLSN98T05F205Z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EOMCB - F.LLI COMBI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OMCB - F.LLI COMBI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ALDO MORO 6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BALLABIO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00777900135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ALDO MORO 6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23811 BALLABIO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MICHELE  COMBI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0341530551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info@omcbcombi.it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10/06/2015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MECCANICO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Matteo Feliciello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ILARIO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BARUFFALDI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29/06/2015 al 10/07/2015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10/06/2015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OMCB - F.LLI COMBI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ALESSANDRO MARIA TOGNAZZI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