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9.png" ContentType="image/png"/>
  <Override PartName="/word/media/rId83.png" ContentType="image/png"/>
  <Override PartName="/word/media/rId29.png" ContentType="image/png"/>
  <Override PartName="/word/media/rId26.png" ContentType="image/png"/>
  <Override PartName="/word/media/rId61.png" ContentType="image/png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ubtitle"/>
      </w:pPr>
      <w:r>
        <w:t xml:space="preserve">Structured Document Processing Pipeline</w:t>
      </w:r>
    </w:p>
    <w:bookmarkStart w:id="20" w:name="MANUAL"/>
    <w:p>
      <w:pPr>
        <w:pStyle w:val="Title"/>
      </w:pPr>
      <w:r>
        <w:t xml:space="preserve">SpecCompiler Core User Manual</w:t>
      </w:r>
    </w:p>
    <w:bookmarkEnd w:id="20"/>
    <w:p>
      <w:pPr>
        <w:spacing w:before="2880"/>
      </w:pPr>
    </w:p>
    <w:p>
      <w:pPr>
        <w:pStyle w:val="CoverTitle"/>
      </w:pPr>
      <w:r>
        <w:t xml:space="preserve">SpecCompiler Core User Manual</w:t>
      </w:r>
    </w:p>
    <w:p>
      <w:pPr>
        <w:pStyle w:val="CoverSubtitle"/>
      </w:pPr>
      <w:r>
        <w:t xml:space="preserve">Structured Document Processing Pipeline</w:t>
      </w:r>
    </w:p>
    <w:p>
      <w:pPr>
        <w:spacing w:before="2160"/>
      </w:pPr>
    </w:p>
    <w:p>
      <w:pPr>
        <w:pStyle w:val="CoverAuthor"/>
      </w:pPr>
      <w:r>
        <w:t xml:space="preserve">SpecCompiler Project</w:t>
      </w:r>
    </w:p>
    <w:p>
      <w:pPr>
        <w:pStyle w:val="CoverDate"/>
      </w:pPr>
      <w:r>
        <w:t xml:space="preserve">2026-02-21</w:t>
      </w:r>
    </w:p>
    <w:p>
      <w:pPr>
        <w:spacing w:before="1440"/>
      </w:pPr>
    </w:p>
    <w:p>
      <w:pPr>
        <w:pStyle w:val="CoverDocId"/>
      </w:pPr>
      <w:r>
        <w:t xml:space="preserve">SC-UM-001</w:t>
      </w:r>
    </w:p>
    <w:p>
      <w:pPr>
        <w:pStyle w:val="CoverVersion"/>
      </w:pPr>
      <w:r>
        <w:t xml:space="preserve">v1.0</w:t>
      </w:r>
    </w:p>
    <w:p>
      <w:r>
        <w:br w:type="page"/>
      </w:r>
    </w:p>
    <w:bookmarkStart w:id="21" w:name="MANUAL-sec1"/>
    <w:p>
      <w:pPr>
        <w:pStyle w:val="Heading1"/>
        <w:numPr>
          <w:ilvl w:val="0"/>
          <w:numId w:val="100"/>
        </w:numPr>
      </w:pPr>
      <w:r>
        <w:t xml:space="preserve">INDEX</w:t>
      </w:r>
    </w:p>
    <w:p>
      <w:r>
        <w:fldChar w:fldCharType="begin"/>
      </w:r>
      <w:r>
        <w:instrText xml:space="preserve"> TOC \o "1-3" </w:instrText>
      </w:r>
      <w:r>
        <w:fldChar w:fldCharType="separate"/>
      </w:r>
    </w:p>
    <w:p>
      <w:r>
        <w:fldChar w:fldCharType="end"/>
      </w:r>
    </w:p>
    <w:p>
      <w:r>
        <w:br w:type="page"/>
      </w:r>
    </w:p>
    <w:bookmarkEnd w:id="21"/>
    <w:bookmarkStart w:id="33" w:name="MANUAL-sec2"/>
    <w:p>
      <w:pPr>
        <w:pStyle w:val="Heading1"/>
        <w:numPr>
          <w:ilvl w:val="0"/>
          <w:numId w:val="100"/>
        </w:numPr>
      </w:pPr>
      <w:r>
        <w:t xml:space="preserve">Introduction</w:t>
      </w:r>
    </w:p>
    <w:bookmarkStart w:id="22" w:name="MANUAL-sec2.1"/>
    <w:p>
      <w:pPr>
        <w:pStyle w:val="Heading2"/>
        <w:numPr>
          <w:ilvl w:val="1"/>
          <w:numId w:val="100"/>
        </w:numPr>
      </w:pPr>
      <w:r>
        <w:t xml:space="preserve">What is SpecCompiler?</w:t>
      </w:r>
    </w:p>
    <w:p>
      <w:pPr>
        <w:pStyle w:val="FirstParagraph"/>
      </w:pPr>
      <w:r>
        <w:t xml:space="preserve">SpecCompiler is a document processing pipeline that transforms structured Markdown specifications into multiple output formats (DOCX, HTML5). It provides: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Structured authoring</w:t>
      </w:r>
      <w:r>
        <w:t xml:space="preserve">: Define requirements, designs, and verification cases using a consistent syntax.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Traceability</w:t>
      </w:r>
      <w:r>
        <w:t xml:space="preserve">: Link objects together with Project Identifier (PID) and</w:t>
      </w:r>
      <w:r>
        <w:t xml:space="preserve"> </w:t>
      </w:r>
      <w:r>
        <w:rPr>
          <w:rStyle w:val="VerbatimChar"/>
        </w:rPr>
        <w:t xml:space="preserve">#label</w:t>
      </w:r>
      <w:r>
        <w:t xml:space="preserve"> </w:t>
      </w: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Validation</w:t>
      </w:r>
      <w:r>
        <w:t xml:space="preserve">: Automatically verify data integrity through proof views backed by Structured Query Language (SQL) queries against the Specification Intermediate Representation (SPEC-IR).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Multi-format output</w:t>
      </w:r>
      <w:r>
        <w:t xml:space="preserve">: Generate Word documents and web content from a single source.</w:t>
      </w:r>
    </w:p>
    <w:p>
      <w:pPr>
        <w:pStyle w:val="FirstParagraph"/>
      </w:pPr>
      <w:r>
        <w:t xml:space="preserve">SpecCompiler processes documents through a five-phase pipeline: INITIALIZE, ANALYZE, TRANSFORM, VERIFY, and EMIT, as illustrated in</w:t>
      </w:r>
      <w:r>
        <w:t xml:space="preserve"> </w:t>
      </w:r>
      <w:hyperlink w:anchor="puml-diag-pipeline">
        <w:r>
          <w:rPr>
            <w:rStyle w:val="Hyperlink"/>
          </w:rPr>
          <w:t xml:space="preserve">Figure 1</w:t>
        </w:r>
      </w:hyperlink>
      <w:r>
        <w:t xml:space="preserve">.</w:t>
      </w:r>
    </w:p>
    <w:bookmarkEnd w:id="22"/>
    <w:bookmarkStart w:id="24" w:name="MANUAL-sec2.2"/>
    <w:p>
      <w:pPr>
        <w:pStyle w:val="Heading2"/>
        <w:numPr>
          <w:ilvl w:val="1"/>
          <w:numId w:val="100"/>
        </w:numPr>
      </w:pPr>
      <w:r>
        <w:t xml:space="preserve">Scope</w:t>
      </w:r>
    </w:p>
    <w:p>
      <w:pPr>
        <w:pStyle w:val="FirstParagraph"/>
      </w:pPr>
      <w:r>
        <w:t xml:space="preserve">This manual covers:</w:t>
      </w:r>
    </w:p>
    <w:p>
      <w:pPr>
        <w:pStyle w:val="Compact"/>
        <w:numPr>
          <w:ilvl w:val="0"/>
          <w:numId w:val="1002"/>
        </w:numPr>
      </w:pPr>
      <w:r>
        <w:t xml:space="preserve">Installation and verification of the SpecCompiler-Core Docker image (see</w:t>
      </w:r>
      <w:r>
        <w:t xml:space="preserve"> </w:t>
      </w:r>
      <w:hyperlink w:anchor="MANUAL-sec2">
        <w:r>
          <w:rPr>
            <w:rStyle w:val="Hyperlink"/>
          </w:rPr>
          <w:t xml:space="preserve">Introduction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Configuration of project files (</w:t>
      </w:r>
      <w:r>
        <w:rPr>
          <w:rStyle w:val="VerbatimChar"/>
        </w:rPr>
        <w:t xml:space="preserve">project.yaml</w:t>
      </w:r>
      <w:r>
        <w:t xml:space="preserve">) as described in</w:t>
      </w:r>
      <w:r>
        <w:t xml:space="preserve"> </w:t>
      </w:r>
      <w:hyperlink w:anchor="MANUAL-sec4">
        <w:r>
          <w:rPr>
            <w:rStyle w:val="Hyperlink"/>
          </w:rPr>
          <w:t xml:space="preserve">Project Configuration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Authoring specification documents using the SpecCompiler Markdown syntax (</w:t>
      </w:r>
      <w:hyperlink w:anchor="MANUAL-sec4">
        <w:r>
          <w:rPr>
            <w:rStyle w:val="Hyperlink"/>
          </w:rPr>
          <w:t xml:space="preserve">Project Configuration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Invocation of the tool and interpretation of its outputs (</w:t>
      </w:r>
      <w:hyperlink w:anchor="MANUAL-sec7">
        <w:r>
          <w:rPr>
            <w:rStyle w:val="Hyperlink"/>
          </w:rPr>
          <w:t xml:space="preserve">Invocation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Verification diagnostics and error code reference.</w:t>
      </w:r>
    </w:p>
    <w:p>
      <w:pPr>
        <w:pStyle w:val="Compact"/>
        <w:numPr>
          <w:ilvl w:val="0"/>
          <w:numId w:val="1002"/>
        </w:numPr>
      </w:pPr>
      <w:r>
        <w:t xml:space="preserve">Incremental build behavior and cache management.</w:t>
      </w:r>
    </w:p>
    <w:p>
      <w:pPr>
        <w:pStyle w:val="Compact"/>
        <w:numPr>
          <w:ilvl w:val="0"/>
          <w:numId w:val="1002"/>
        </w:numPr>
      </w:pPr>
      <w:r>
        <w:t xml:space="preserve">Type system configuration and custom model creation; for a detailed walkthrough, see</w:t>
      </w:r>
      <w:r>
        <w:t xml:space="preserve"> </w:t>
      </w:r>
      <w:hyperlink r:id="rId23">
        <w:r>
          <w:rPr>
            <w:rStyle w:val="Hyperlink"/>
          </w:rPr>
          <w:t xml:space="preserve">creating-a-model: Model Directory Layout</w:t>
        </w:r>
      </w:hyperlink>
      <w:r>
        <w:t xml:space="preserve"> </w:t>
      </w:r>
      <w:r>
        <w:t xml:space="preserve">in the companion model guide.</w:t>
      </w:r>
    </w:p>
    <w:p>
      <w:pPr>
        <w:pStyle w:val="Compact"/>
        <w:numPr>
          <w:ilvl w:val="0"/>
          <w:numId w:val="1002"/>
        </w:numPr>
      </w:pPr>
      <w:r>
        <w:t xml:space="preserve">Troubleshooting common problems.</w:t>
      </w:r>
    </w:p>
    <w:bookmarkEnd w:id="24"/>
    <w:bookmarkStart w:id="32" w:name="MANUAL-sec2.3"/>
    <w:p>
      <w:pPr>
        <w:pStyle w:val="Heading2"/>
        <w:numPr>
          <w:ilvl w:val="1"/>
          <w:numId w:val="100"/>
        </w:numPr>
      </w:pPr>
      <w:r>
        <w:t xml:space="preserve">Pipeline Summary</w:t>
      </w:r>
    </w:p>
    <w:p>
      <w:pPr>
        <w:pStyle w:val="FirstParagraph"/>
      </w:pPr>
      <w:r>
        <w:t xml:space="preserve">The processing pipeline consists of five phases: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INITIALIZE</w:t>
      </w:r>
      <w:r>
        <w:t xml:space="preserve"> </w:t>
      </w:r>
      <w:r>
        <w:t xml:space="preserve">– Parse Markdown input via Pandoc Abstract Syntax Tree (AST), extract specifications, spec objects, attributes, floats, relations, and views into the SPEC-IR stored in SQLite Database (SQLite).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ANALYZE</w:t>
      </w:r>
      <w:r>
        <w:t xml:space="preserve"> </w:t>
      </w:r>
      <w:r>
        <w:t xml:space="preserve">– Resolve relation types and cross-references using specificity-based inference rules (see</w:t>
      </w:r>
      <w:r>
        <w:t xml:space="preserve"> </w:t>
      </w:r>
      <w:hyperlink w:anchor="math-eq-specificity">
        <w:r>
          <w:rPr>
            <w:rStyle w:val="Hyperlink"/>
          </w:rPr>
          <w:t xml:space="preserve">Equation 1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TRANSFORM</w:t>
      </w:r>
      <w:r>
        <w:t xml:space="preserve"> </w:t>
      </w:r>
      <w:r>
        <w:t xml:space="preserve">– Resolve floats (render PlantUML, charts, tables), materialize views, rewrite links, and render spec objects using type-specific handlers.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VERIFY</w:t>
      </w:r>
      <w:r>
        <w:t xml:space="preserve"> </w:t>
      </w:r>
      <w:r>
        <w:t xml:space="preserve">– Execute proof views (SQL queries) against the SPEC-IR database to detect constraint violations; see</w:t>
      </w:r>
      <w:r>
        <w:t xml:space="preserve"> </w:t>
      </w:r>
      <w:hyperlink r:id="rId25">
        <w:r>
          <w:rPr>
            <w:rStyle w:val="Hyperlink"/>
          </w:rPr>
          <w:t xml:space="preserve">creating-a-model: Validation Proofs</w:t>
        </w:r>
      </w:hyperlink>
      <w:r>
        <w:t xml:space="preserve"> </w:t>
      </w:r>
      <w:r>
        <w:t xml:space="preserve">in the model guide.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EMIT</w:t>
      </w:r>
      <w:r>
        <w:t xml:space="preserve"> </w:t>
      </w:r>
      <w:r>
        <w:t xml:space="preserve">– Assemble Pandoc documents from the SPEC-IR and generate output files in configured formats via parallel Pandoc subprocess invocations.</w:t>
      </w:r>
    </w:p>
    <w:bookmarkStart w:id="78556" w:name="puml-diag-pipeline"/>
    <w:p>
      <w:pPr>
        <w:pStyle w:val="Caption"/>
        <w:keepNext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1</w:t>
      </w:r>
      <w:r>
        <w:fldChar w:fldCharType="end"/>
      </w:r>
      <w:r>
        <w:t xml:space="preserve"> – Processing Pipeline</w:t>
      </w:r>
    </w:p>
    <w:p>
      <w:pPr>
        <w:pStyle w:val="FirstParagraph"/>
        <w:jc w:val="center"/>
      </w:pPr>
      <w:r>
        <w:drawing>
          <wp:inline>
            <wp:extent cx="5334000" cy="94407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diagrams/beab22482d97134f59120906eb9ebae714ee89f6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440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8556"/>
    <w:bookmarkStart w:id="92874" w:name="echarts-chart-pipeline-ops"/>
    <w:p>
      <w:pPr>
        <w:pStyle w:val="Caption"/>
        <w:keepNext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1</w:t>
      </w:r>
      <w:r>
        <w:fldChar w:fldCharType="end"/>
      </w:r>
      <w:r>
        <w:t xml:space="preserve"> – Operations per Pipeline Phase</w:t>
      </w:r>
    </w:p>
    <w:p>
      <w:pPr>
        <w:pStyle w:val="BodyText"/>
        <w:jc w:val="center"/>
      </w:pPr>
      <w:r>
        <w:drawing>
          <wp:inline>
            <wp:extent cx="5334000" cy="355600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charts/901294d6a5a8829ba39dbcdf09ce790ba5ae8fb9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2874"/>
    <w:p>
      <w:pPr>
        <w:pStyle w:val="BodyText"/>
      </w:pPr>
      <w:r>
        <w:t xml:space="preserve">The handler counts shown in</w:t>
      </w:r>
      <w:r>
        <w:t xml:space="preserve"> </w:t>
      </w:r>
      <w:hyperlink w:anchor="echarts-chart-pipeline-ops">
        <w:r>
          <w:rPr>
            <w:rStyle w:val="Hyperlink"/>
          </w:rPr>
          <w:t xml:space="preserve">Figure 2</w:t>
        </w:r>
      </w:hyperlink>
      <w:r>
        <w:t xml:space="preserve"> </w:t>
      </w:r>
      <w:r>
        <w:t xml:space="preserve">reflect the default model. Custom models may add handlers in any phase.</w:t>
      </w:r>
    </w:p>
    <w:bookmarkEnd w:id="32"/>
    <w:bookmarkEnd w:id="33"/>
    <w:bookmarkStart w:id="38" w:name="MANUAL-sec3"/>
    <w:p>
      <w:pPr>
        <w:pStyle w:val="Heading1"/>
        <w:numPr>
          <w:ilvl w:val="0"/>
          <w:numId w:val="100"/>
        </w:numPr>
      </w:pPr>
      <w:r>
        <w:t xml:space="preserve">Installation</w:t>
      </w:r>
    </w:p>
    <w:bookmarkStart w:id="34" w:name="MANUAL-sec3.1"/>
    <w:p>
      <w:pPr>
        <w:pStyle w:val="Heading2"/>
        <w:numPr>
          <w:ilvl w:val="1"/>
          <w:numId w:val="100"/>
        </w:numPr>
      </w:pPr>
      <w:r>
        <w:t xml:space="preserve">Prerequisites</w:t>
      </w:r>
    </w:p>
    <w:p>
      <w:pPr>
        <w:pStyle w:val="FirstParagraph"/>
      </w:pPr>
      <w:r>
        <w:t xml:space="preserve">The following are required to run SpecCompiler-Core:</w:t>
      </w:r>
    </w:p>
    <w:bookmarkStart w:id="54024" w:name="csv-tbl-prerequisites"/>
    <w:p>
      <w:pPr>
        <w:pStyle w:val="Caption"/>
        <w:keepNext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>1</w:t>
      </w:r>
      <w:r>
        <w:fldChar w:fldCharType="end"/>
      </w:r>
      <w:r>
        <w:t xml:space="preserve"> :  Runtime prerequisites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pace="0" w:color="000000" w:sz="6"/>
          <w:left w:val="single" w:space="0" w:color="000000" w:sz="6"/>
          <w:bottom w:val="single" w:space="0" w:color="000000" w:sz="6"/>
          <w:right w:val="single" w:space="0" w:color="000000" w:sz="6"/>
          <w:insideH w:val="single" w:space="0" w:color="000000" w:sz="6"/>
          <w:insideV w:val="single" w:space="0" w:color="000000" w:sz="6"/>
        </w:tblBorders>
        <w:tblCellMar>
          <w:top w:type="dxa" w:w="57"/>
          <w:left w:type="dxa" w:w="108"/>
          <w:bottom w:type="dxa" w:w="57"/>
          <w:right w:type="dxa" w:w="108"/>
        </w:tblCellMar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8E8E8"/>
          </w:tcPr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b/>
              </w:rPr>
              <w:t xml:space="preserve">Prerequisite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b/>
              </w:rPr>
              <w:t xml:space="preserve">Minimum Version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b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Docker runtime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20.10+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Docker Desktop or Docker Engine (daemon must be running)</w:t>
            </w:r>
          </w:p>
        </w:tc>
      </w:tr>
      <w:tr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Disk space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2 GB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For the Docker image and build artifacts</w:t>
            </w:r>
          </w:p>
        </w:tc>
      </w:tr>
      <w:tr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Host OS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Linux, macOS, or Windows (with WSL2)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The container runs Debian Bookworm (slim)</w:t>
            </w:r>
          </w:p>
        </w:tc>
      </w:tr>
    </w:tbl>
    <w:bookmarkEnd w:id="54024"/>
    <w:p>
      <w:pPr>
        <w:pStyle w:val="BodyText"/>
      </w:pPr>
      <w:r>
        <w:t xml:space="preserve">All dependency versions are pinned in</w:t>
      </w:r>
      <w:r>
        <w:t xml:space="preserve"> </w:t>
      </w:r>
      <w:r>
        <w:rPr>
          <w:rStyle w:val="VerbatimChar"/>
        </w:rPr>
        <w:t xml:space="preserve">scripts/versions.env</w:t>
      </w:r>
      <w:r>
        <w:t xml:space="preserve">. The Docker image bundles:</w:t>
      </w:r>
    </w:p>
    <w:p>
      <w:pPr>
        <w:pStyle w:val="Compact"/>
        <w:numPr>
          <w:ilvl w:val="0"/>
          <w:numId w:val="1004"/>
        </w:numPr>
      </w:pPr>
      <w:r>
        <w:t xml:space="preserve">Lua 5.4 (compiled from source)</w:t>
      </w:r>
    </w:p>
    <w:p>
      <w:pPr>
        <w:pStyle w:val="Compact"/>
        <w:numPr>
          <w:ilvl w:val="0"/>
          <w:numId w:val="1004"/>
        </w:numPr>
      </w:pPr>
      <w:r>
        <w:t xml:space="preserve">Pandoc 3.6.1 (compiled from source with system-lua)</w:t>
      </w:r>
    </w:p>
    <w:p>
      <w:pPr>
        <w:pStyle w:val="Compact"/>
        <w:numPr>
          <w:ilvl w:val="0"/>
          <w:numId w:val="1004"/>
        </w:numPr>
      </w:pPr>
      <w:r>
        <w:t xml:space="preserve">SQLite (via lsqlite3 native extension)</w:t>
      </w:r>
    </w:p>
    <w:p>
      <w:pPr>
        <w:pStyle w:val="Compact"/>
        <w:numPr>
          <w:ilvl w:val="0"/>
          <w:numId w:val="1004"/>
        </w:numPr>
      </w:pPr>
      <w:r>
        <w:t xml:space="preserve">PlantUML (with minimal jlinked JRE)</w:t>
      </w:r>
    </w:p>
    <w:p>
      <w:pPr>
        <w:pStyle w:val="Compact"/>
        <w:numPr>
          <w:ilvl w:val="0"/>
          <w:numId w:val="1004"/>
        </w:numPr>
      </w:pPr>
      <w:r>
        <w:t xml:space="preserve">GraphViz</w:t>
      </w:r>
    </w:p>
    <w:p>
      <w:pPr>
        <w:pStyle w:val="Compact"/>
        <w:numPr>
          <w:ilvl w:val="0"/>
          <w:numId w:val="1004"/>
        </w:numPr>
      </w:pPr>
      <w:r>
        <w:t xml:space="preserve">Deno (for ECharts rendering)</w:t>
      </w:r>
    </w:p>
    <w:bookmarkEnd w:id="34"/>
    <w:bookmarkStart w:id="35" w:name="MANUAL-sec3.2"/>
    <w:p>
      <w:pPr>
        <w:pStyle w:val="Heading2"/>
        <w:numPr>
          <w:ilvl w:val="1"/>
          <w:numId w:val="100"/>
        </w:numPr>
      </w:pPr>
      <w:r>
        <w:t xml:space="preserve">Building the Image</w:t>
      </w:r>
    </w:p>
    <w:p>
      <w:pPr>
        <w:pStyle w:val="FirstParagraph"/>
      </w:pPr>
      <w:r>
        <w:t xml:space="preserve">Run the Docker installer from the repository root:</w:t>
      </w:r>
    </w:p>
    <w:bookmarkStart w:id="25099" w:name="listing-src-build-image"/>
    <w:p>
      <w:pPr>
        <w:pStyle w:val="Caption"/>
        <w:keepNext/>
      </w:pPr>
      <w:r>
        <w:t xml:space="preserve">Listing </w:t>
      </w:r>
      <w:r>
        <w:fldChar w:fldCharType="begin"/>
      </w:r>
      <w:r>
        <w:instrText xml:space="preserve"> SEQ LISTING \* ARABIC </w:instrText>
      </w:r>
      <w:r>
        <w:fldChar w:fldCharType="separate"/>
      </w:r>
      <w:r>
        <w:t>1</w:t>
      </w:r>
      <w:r>
        <w:fldChar w:fldCharType="end"/>
      </w:r>
      <w:r>
        <w:t xml:space="preserve"> :  Build and install via Docker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scripts/install.sh</w:t>
      </w:r>
    </w:p>
    <w:bookmarkEnd w:id="25099"/>
    <w:p>
      <w:pPr>
        <w:pStyle w:val="FirstParagraph"/>
      </w:pPr>
      <w:r>
        <w:t xml:space="preserve">This performs three steps: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Docker build</w:t>
      </w:r>
      <w:r>
        <w:t xml:space="preserve"> </w:t>
      </w:r>
      <w:r>
        <w:t xml:space="preserve">– Executes a multi-stage Docker build: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Stage 1 (Builder)</w:t>
      </w:r>
      <w:r>
        <w:t xml:space="preserve"> </w:t>
      </w:r>
      <w:r>
        <w:t xml:space="preserve">– Compiles Lua, Pandoc, and native Lua extensions (luv, lsqlite3, zip) from source. Builds Deno TypeScript utilities into standalone binaries. Downloads and wraps PlantUML with a minimal JRE.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Stage 2 (Runtime)</w:t>
      </w:r>
      <w:r>
        <w:t xml:space="preserve"> </w:t>
      </w:r>
      <w:r>
        <w:t xml:space="preserve">– Copies only runtime artifacts into a lean Debian Bookworm image without build tools.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Wrapper generation</w:t>
      </w:r>
      <w:r>
        <w:t xml:space="preserve"> </w:t>
      </w:r>
      <w:r>
        <w:t xml:space="preserve">– Creates a</w:t>
      </w:r>
      <w:r>
        <w:t xml:space="preserve"> </w:t>
      </w:r>
      <w:r>
        <w:rPr>
          <w:rStyle w:val="VerbatimChar"/>
        </w:rPr>
        <w:t xml:space="preserve">specc</w:t>
      </w:r>
      <w:r>
        <w:t xml:space="preserve"> </w:t>
      </w:r>
      <w:r>
        <w:t xml:space="preserve">Command-Line Interface (CLI) command at</w:t>
      </w:r>
      <w:r>
        <w:t xml:space="preserve"> </w:t>
      </w:r>
      <w:r>
        <w:rPr>
          <w:rStyle w:val="VerbatimChar"/>
        </w:rPr>
        <w:t xml:space="preserve">~/.local/bin/specc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Config</w:t>
      </w:r>
      <w:r>
        <w:t xml:space="preserve"> </w:t>
      </w:r>
      <w:r>
        <w:t xml:space="preserve">– Writes the image reference to</w:t>
      </w:r>
      <w:r>
        <w:t xml:space="preserve"> </w:t>
      </w:r>
      <w:r>
        <w:rPr>
          <w:rStyle w:val="VerbatimChar"/>
        </w:rPr>
        <w:t xml:space="preserve">~/.config/speccompiler/env</w:t>
      </w:r>
      <w:r>
        <w:t xml:space="preserve">.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--force</w:t>
      </w:r>
      <w:r>
        <w:t xml:space="preserve"> </w:t>
      </w:r>
      <w:r>
        <w:t xml:space="preserve">to rebuild from scratch, or</w:t>
      </w:r>
      <w:r>
        <w:t xml:space="preserve"> </w:t>
      </w:r>
      <w:r>
        <w:rPr>
          <w:rStyle w:val="VerbatimChar"/>
        </w:rPr>
        <w:t xml:space="preserve">--code-only</w:t>
      </w:r>
      <w:r>
        <w:t xml:space="preserve"> </w:t>
      </w:r>
      <w:r>
        <w:t xml:space="preserve">to quickly update just the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models/</w:t>
      </w:r>
      <w:r>
        <w:t xml:space="preserve"> </w:t>
      </w:r>
      <w:r>
        <w:t xml:space="preserve">layers without recompiling Pandoc.</w:t>
      </w:r>
    </w:p>
    <w:bookmarkEnd w:id="35"/>
    <w:bookmarkStart w:id="36" w:name="MANUAL-sec3.3"/>
    <w:p>
      <w:pPr>
        <w:pStyle w:val="Heading2"/>
        <w:numPr>
          <w:ilvl w:val="1"/>
          <w:numId w:val="100"/>
        </w:numPr>
      </w:pPr>
      <w:r>
        <w:t xml:space="preserve">Verifying Installation</w:t>
      </w:r>
    </w:p>
    <w:p>
      <w:pPr>
        <w:pStyle w:val="FirstParagraph"/>
      </w:pPr>
      <w:r>
        <w:t xml:space="preserve">After building, verify the image is available:</w:t>
      </w:r>
    </w:p>
    <w:bookmarkStart w:id="32282" w:name="listing-src-verify-image"/>
    <w:p>
      <w:pPr>
        <w:pStyle w:val="Caption"/>
        <w:keepNext/>
      </w:pPr>
      <w:r>
        <w:t xml:space="preserve">Listing </w:t>
      </w:r>
      <w:r>
        <w:fldChar w:fldCharType="begin"/>
      </w:r>
      <w:r>
        <w:instrText xml:space="preserve"> SEQ LISTING \* ARABIC </w:instrText>
      </w:r>
      <w:r>
        <w:fldChar w:fldCharType="separate"/>
      </w:r>
      <w:r>
        <w:t>1</w:t>
      </w:r>
      <w:r>
        <w:fldChar w:fldCharType="end"/>
      </w:r>
      <w:r>
        <w:t xml:space="preserve"> :  Verify Docker image availability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images speccompiler-core</w:t>
      </w:r>
    </w:p>
    <w:bookmarkEnd w:id="32282"/>
    <w:p>
      <w:pPr>
        <w:pStyle w:val="FirstParagraph"/>
      </w:pPr>
      <w:r>
        <w:t xml:space="preserve">To verify the tool runs correctly, navigate to a directory containing a</w:t>
      </w:r>
      <w:r>
        <w:t xml:space="preserve"> </w:t>
      </w:r>
      <w:r>
        <w:rPr>
          <w:rStyle w:val="VerbatimChar"/>
        </w:rPr>
        <w:t xml:space="preserve">project.yaml</w:t>
      </w:r>
      <w:r>
        <w:t xml:space="preserve"> </w:t>
      </w:r>
      <w:r>
        <w:t xml:space="preserve">file and run:</w:t>
      </w:r>
    </w:p>
    <w:bookmarkStart w:id="13056" w:name="listing-src-run-wrapper"/>
    <w:p>
      <w:pPr>
        <w:pStyle w:val="Caption"/>
        <w:keepNext/>
      </w:pPr>
      <w:r>
        <w:t xml:space="preserve">Listing </w:t>
      </w:r>
      <w:r>
        <w:fldChar w:fldCharType="begin"/>
      </w:r>
      <w:r>
        <w:instrText xml:space="preserve"> SEQ LISTING \* ARABIC </w:instrText>
      </w:r>
      <w:r>
        <w:fldChar w:fldCharType="separate"/>
      </w:r>
      <w:r>
        <w:t>1</w:t>
      </w:r>
      <w:r>
        <w:fldChar w:fldCharType="end"/>
      </w:r>
      <w:r>
        <w:t xml:space="preserve"> :  Run wrapper command</w:t>
      </w:r>
    </w:p>
    <w:p>
      <w:pPr>
        <w:pStyle w:val="SourceCode"/>
      </w:pPr>
      <w:r>
        <w:rPr>
          <w:rStyle w:val="ExtensionTok"/>
        </w:rPr>
        <w:t xml:space="preserve">specc</w:t>
      </w:r>
      <w:r>
        <w:rPr>
          <w:rStyle w:val="NormalTok"/>
        </w:rPr>
        <w:t xml:space="preserve"> build</w:t>
      </w:r>
    </w:p>
    <w:bookmarkEnd w:id="13056"/>
    <w:bookmarkEnd w:id="36"/>
    <w:bookmarkStart w:id="37" w:name="MANUAL-sec3.4"/>
    <w:p>
      <w:pPr>
        <w:pStyle w:val="Heading2"/>
        <w:numPr>
          <w:ilvl w:val="1"/>
          <w:numId w:val="100"/>
        </w:numPr>
      </w:pPr>
      <w:r>
        <w:t xml:space="preserve">The specc Wrapper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specc</w:t>
      </w:r>
      <w:r>
        <w:t xml:space="preserve"> </w:t>
      </w:r>
      <w:r>
        <w:t xml:space="preserve">command is a Docker wrapper generated by the installer. It supports three subcommands:</w:t>
      </w:r>
    </w:p>
    <w:bookmarkStart w:id="47129" w:name="csv-tbl-wrapper-commands"/>
    <w:p>
      <w:pPr>
        <w:pStyle w:val="Caption"/>
        <w:keepNext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>1</w:t>
      </w:r>
      <w:r>
        <w:fldChar w:fldCharType="end"/>
      </w:r>
      <w:r>
        <w:t xml:space="preserve"> :  Wrapper subcommands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pace="0" w:color="000000" w:sz="6"/>
          <w:left w:val="single" w:space="0" w:color="000000" w:sz="6"/>
          <w:bottom w:val="single" w:space="0" w:color="000000" w:sz="6"/>
          <w:right w:val="single" w:space="0" w:color="000000" w:sz="6"/>
          <w:insideH w:val="single" w:space="0" w:color="000000" w:sz="6"/>
          <w:insideV w:val="single" w:space="0" w:color="000000" w:sz="6"/>
        </w:tblBorders>
        <w:tblCellMar>
          <w:top w:type="dxa" w:w="57"/>
          <w:left w:type="dxa" w:w="108"/>
          <w:bottom w:type="dxa" w:w="57"/>
          <w:right w:type="dxa" w:w="108"/>
        </w:tblCellMar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8E8E8"/>
          </w:tcPr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b/>
              </w:rPr>
              <w:t xml:space="preserve">Command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b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rStyle w:val="VerbatimChar"/>
              </w:rPr>
              <w:t xml:space="preserve">specc build [project.yaml]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Build the project (default file:</w:t>
            </w:r>
            <w:r>
              <w:t xml:space="preserve"> </w:t>
            </w:r>
            <w:r>
              <w:rPr>
                <w:rStyle w:val="VerbatimChar"/>
              </w:rPr>
              <w:t xml:space="preserve">project.yaml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rStyle w:val="VerbatimChar"/>
              </w:rPr>
              <w:t xml:space="preserve">specc clean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Remove</w:t>
            </w:r>
            <w:r>
              <w:t xml:space="preserve"> </w:t>
            </w:r>
            <w:r>
              <w:rPr>
                <w:rStyle w:val="VerbatimChar"/>
              </w:rPr>
              <w:t xml:space="preserve">build/</w:t>
            </w:r>
            <w:r>
              <w:t xml:space="preserve"> </w:t>
            </w:r>
            <w:r>
              <w:t xml:space="preserve">directory and</w:t>
            </w:r>
            <w:r>
              <w:t xml:space="preserve"> </w:t>
            </w:r>
            <w:r>
              <w:rPr>
                <w:rStyle w:val="VerbatimChar"/>
              </w:rPr>
              <w:t xml:space="preserve">specir.db</w:t>
            </w:r>
          </w:p>
        </w:tc>
      </w:tr>
      <w:tr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rStyle w:val="VerbatimChar"/>
              </w:rPr>
              <w:t xml:space="preserve">specc shell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Open an interactive Bash shell inside the container</w:t>
            </w:r>
          </w:p>
        </w:tc>
      </w:tr>
    </w:tbl>
    <w:bookmarkEnd w:id="47129"/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build</w:t>
      </w:r>
      <w:r>
        <w:t xml:space="preserve"> </w:t>
      </w:r>
      <w:r>
        <w:t xml:space="preserve">subcommand runs</w:t>
      </w:r>
      <w:r>
        <w:t xml:space="preserve"> </w:t>
      </w:r>
      <w:r>
        <w:rPr>
          <w:rStyle w:val="VerbatimChar"/>
        </w:rPr>
        <w:t xml:space="preserve">docker run --rm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--user "$(id -u):$(id -g)"</w:t>
      </w:r>
      <w:r>
        <w:t xml:space="preserve"> </w:t>
      </w:r>
      <w:r>
        <w:t xml:space="preserve">– Preserves host UID/GID.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-v "$(pwd):/workspace"</w:t>
      </w:r>
      <w:r>
        <w:t xml:space="preserve"> </w:t>
      </w:r>
      <w:r>
        <w:t xml:space="preserve">– Mounts current directory.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-e "SPECCOMPILER_HOME=/opt/speccompiler"</w:t>
      </w:r>
      <w:r>
        <w:t xml:space="preserve"> </w:t>
      </w:r>
      <w:r>
        <w:t xml:space="preserve">– Sets installation root.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-e "SPECCOMPILER_DIST=/opt/speccompiler"</w:t>
      </w:r>
      <w:r>
        <w:t xml:space="preserve"> </w:t>
      </w:r>
      <w:r>
        <w:t xml:space="preserve">– Sets distribution root.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-e "SPECCOMPILER_LOG_LEVEL=${SPECCOMPILER_LOG_LEVEL:-INFO}"</w:t>
      </w:r>
      <w:r>
        <w:t xml:space="preserve"> </w:t>
      </w:r>
      <w:r>
        <w:t xml:space="preserve">– Passes log level.</w:t>
      </w:r>
    </w:p>
    <w:p>
      <w:pPr>
        <w:pStyle w:val="FirstParagraph"/>
      </w:pPr>
      <w:r>
        <w:t xml:space="preserve">Inside the container, the</w:t>
      </w:r>
      <w:r>
        <w:t xml:space="preserve"> </w:t>
      </w:r>
      <w:r>
        <w:rPr>
          <w:rStyle w:val="VerbatimChar"/>
        </w:rPr>
        <w:t xml:space="preserve">speccompiler-core</w:t>
      </w:r>
      <w:r>
        <w:t xml:space="preserve"> </w:t>
      </w:r>
      <w:r>
        <w:t xml:space="preserve">entry point invokes Pandoc with the SpecCompiler Lua filter. The</w:t>
      </w:r>
      <w:r>
        <w:t xml:space="preserve"> </w:t>
      </w:r>
      <w:r>
        <w:rPr>
          <w:rStyle w:val="VerbatimChar"/>
        </w:rPr>
        <w:t xml:space="preserve">-o /dev/null</w:t>
      </w:r>
      <w:r>
        <w:t xml:space="preserve"> </w:t>
      </w:r>
      <w:r>
        <w:t xml:space="preserve">Pandoc flag is intentional – actual output files are generated by the EMIT phase.</w:t>
      </w:r>
    </w:p>
    <w:bookmarkEnd w:id="37"/>
    <w:bookmarkEnd w:id="38"/>
    <w:bookmarkStart w:id="42" w:name="MANUAL-sec4"/>
    <w:p>
      <w:pPr>
        <w:pStyle w:val="Heading1"/>
        <w:numPr>
          <w:ilvl w:val="0"/>
          <w:numId w:val="100"/>
        </w:numPr>
      </w:pPr>
      <w:r>
        <w:t xml:space="preserve">Project Configuration</w:t>
      </w:r>
    </w:p>
    <w:p>
      <w:pPr>
        <w:pStyle w:val="FirstParagraph"/>
      </w:pPr>
      <w:r>
        <w:t xml:space="preserve">All project configuration is specified in a</w:t>
      </w:r>
      <w:r>
        <w:t xml:space="preserve"> </w:t>
      </w:r>
      <w:r>
        <w:rPr>
          <w:rStyle w:val="VerbatimChar"/>
        </w:rPr>
        <w:t xml:space="preserve">project.yaml</w:t>
      </w:r>
      <w:r>
        <w:t xml:space="preserve"> </w:t>
      </w:r>
      <w:r>
        <w:t xml:space="preserve">file located in the project root directory.</w:t>
      </w:r>
    </w:p>
    <w:bookmarkStart w:id="39" w:name="MANUAL-sec4.1"/>
    <w:p>
      <w:pPr>
        <w:pStyle w:val="Heading2"/>
        <w:numPr>
          <w:ilvl w:val="1"/>
          <w:numId w:val="100"/>
        </w:numPr>
      </w:pPr>
      <w:r>
        <w:t xml:space="preserve">Complete Configuration Reference</w:t>
      </w:r>
    </w:p>
    <w:bookmarkStart w:id="30190" w:name="listing-src-project-yaml"/>
    <w:p>
      <w:pPr>
        <w:pStyle w:val="Caption"/>
        <w:keepNext/>
      </w:pPr>
      <w:r>
        <w:t xml:space="preserve">Listing </w:t>
      </w:r>
      <w:r>
        <w:fldChar w:fldCharType="begin"/>
      </w:r>
      <w:r>
        <w:instrText xml:space="preserve"> SEQ LISTING \* ARABIC </w:instrText>
      </w:r>
      <w:r>
        <w:fldChar w:fldCharType="separate"/>
      </w:r>
      <w:r>
        <w:t>1</w:t>
      </w:r>
      <w:r>
        <w:fldChar w:fldCharType="end"/>
      </w:r>
      <w:r>
        <w:t xml:space="preserve"> :  project.yaml reference</w:t>
      </w:r>
    </w:p>
    <w:p>
      <w:pPr>
        <w:pStyle w:val="SourceCode"/>
      </w:pP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rPr>
          <w:rStyle w:val="CommentTok"/>
        </w:rPr>
        <w:t xml:space="preserve"># Project Identification (REQUIRED)</w:t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rPr>
          <w:rStyle w:val="FunctionTok"/>
        </w:rPr>
        <w:t xml:space="preserve">project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MYPROJ</w:t>
      </w:r>
      <w:r>
        <w:rPr>
          <w:rStyle w:val="CommentTok"/>
        </w:rPr>
        <w:t xml:space="preserve">          # Project code identifier (string, required)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 Project SRS</w:t>
      </w:r>
      <w:r>
        <w:rPr>
          <w:rStyle w:val="CommentTok"/>
        </w:rPr>
        <w:t xml:space="preserve">  # Human-readable project name (string, required)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rPr>
          <w:rStyle w:val="CommentTok"/>
        </w:rPr>
        <w:t xml:space="preserve"># Type Model (REQUIRED)</w:t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rPr>
          <w:rStyle w:val="CommentTok"/>
        </w:rPr>
        <w:t xml:space="preserve">        # Type model name (string, default: "default")</w:t>
      </w:r>
      <w:r>
        <w:br/>
      </w:r>
      <w:r>
        <w:rPr>
          <w:rStyle w:val="CommentTok"/>
        </w:rPr>
        <w:t xml:space="preserve">                         # Must match a directory under models/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rPr>
          <w:rStyle w:val="CommentTok"/>
        </w:rPr>
        <w:t xml:space="preserve"># Logging Configuration (OPTIONAL)</w:t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rPr>
          <w:rStyle w:val="FunctionTok"/>
        </w:rPr>
        <w:t xml:space="preserve">logging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info</w:t>
      </w:r>
      <w:r>
        <w:rPr>
          <w:rStyle w:val="CommentTok"/>
        </w:rPr>
        <w:t xml:space="preserve">            # DEBUG | INFO | WARN | ERROR (default: "INFO")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</w:t>
      </w:r>
      <w:r>
        <w:rPr>
          <w:rStyle w:val="CommentTok"/>
        </w:rPr>
        <w:t xml:space="preserve">           # auto | json | text (default: "auto")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color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     # ANSI color codes (default: true)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rPr>
          <w:rStyle w:val="CommentTok"/>
        </w:rPr>
        <w:t xml:space="preserve"># Validation Policy (OPTIONAL)</w:t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rPr>
          <w:rStyle w:val="FunctionTok"/>
        </w:rPr>
        <w:t xml:space="preserve">validation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missing_required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ignore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cardinality_over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ignore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invalid_cast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ignore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invalid_enum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ignore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invalid_date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ignore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bounds_violation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ignore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dangling_relation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ignore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unresolved_relation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ignore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rPr>
          <w:rStyle w:val="CommentTok"/>
        </w:rPr>
        <w:t xml:space="preserve"># Input Files (REQUIRED)</w:t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rPr>
          <w:rStyle w:val="FunctionTok"/>
        </w:rPr>
        <w:t xml:space="preserve">output_dir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build/</w:t>
      </w:r>
      <w:r>
        <w:rPr>
          <w:rStyle w:val="CommentTok"/>
        </w:rPr>
        <w:t xml:space="preserve">       # Base output directory (default: "build")</w:t>
      </w:r>
      <w:r>
        <w:br/>
      </w:r>
      <w:r>
        <w:br/>
      </w:r>
      <w:r>
        <w:rPr>
          <w:rStyle w:val="FunctionTok"/>
        </w:rPr>
        <w:t xml:space="preserve">doc_files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    # Markdown files to process, in order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srs.md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sdd.md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rPr>
          <w:rStyle w:val="CommentTok"/>
        </w:rPr>
        <w:t xml:space="preserve"># Output Format Configurations (OPTIONAL)</w:t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rPr>
          <w:rStyle w:val="FunctionTok"/>
        </w:rPr>
        <w:t xml:space="preserve">outputs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docx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build/docx/{spec_id}.docx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html5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build/www/{spec_id}.html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rPr>
          <w:rStyle w:val="CommentTok"/>
        </w:rPr>
        <w:t xml:space="preserve"># DOCX Configuration (OPTIONAL)</w:t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preset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null</w:t>
      </w:r>
      <w:r>
        <w:rPr>
          <w:rStyle w:val="CommentTok"/>
        </w:rPr>
        <w:t xml:space="preserve">           # Style preset name (models/{template}/presets/)</w:t>
      </w:r>
      <w:r>
        <w:br/>
      </w:r>
      <w:r>
        <w:rPr>
          <w:rStyle w:val="CommentTok"/>
        </w:rPr>
        <w:t xml:space="preserve">  # reference_doc: assets/reference.docx  # Custom Word reference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rPr>
          <w:rStyle w:val="CommentTok"/>
        </w:rPr>
        <w:t xml:space="preserve"># HTML5 Configuration (OPTIONAL)</w:t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rPr>
          <w:rStyle w:val="FunctionTok"/>
        </w:rPr>
        <w:t xml:space="preserve">html5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number_sections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table_of_contents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toc_depth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standalone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embed_resources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resource_path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rPr>
          <w:rStyle w:val="CommentTok"/>
        </w:rPr>
        <w:t xml:space="preserve"># Bibliography and Citations (OPTIONAL)</w:t>
      </w:r>
      <w:r>
        <w:br/>
      </w:r>
      <w:r>
        <w:rPr>
          <w:rStyle w:val="CommentTok"/>
        </w:rPr>
        <w:t xml:space="preserve"># ============================================================================</w:t>
      </w:r>
      <w:r>
        <w:br/>
      </w:r>
      <w:r>
        <w:rPr>
          <w:rStyle w:val="FunctionTok"/>
        </w:rPr>
        <w:t xml:space="preserve">bibliography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refs.bib</w:t>
      </w:r>
      <w:r>
        <w:br/>
      </w:r>
      <w:r>
        <w:rPr>
          <w:rStyle w:val="FunctionTok"/>
        </w:rPr>
        <w:t xml:space="preserve">csl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ieee.csl</w:t>
      </w:r>
    </w:p>
    <w:bookmarkEnd w:id="30190"/>
    <w:bookmarkEnd w:id="39"/>
    <w:bookmarkStart w:id="40" w:name="MANUAL-sec4.2"/>
    <w:p>
      <w:pPr>
        <w:pStyle w:val="Heading2"/>
        <w:numPr>
          <w:ilvl w:val="1"/>
          <w:numId w:val="100"/>
        </w:numPr>
      </w:pPr>
      <w:r>
        <w:t xml:space="preserve">Required Fields</w:t>
      </w:r>
    </w:p>
    <w:bookmarkStart w:id="21586" w:name="csv-tbl-required-fields"/>
    <w:p>
      <w:pPr>
        <w:pStyle w:val="Caption"/>
        <w:keepNext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>1</w:t>
      </w:r>
      <w:r>
        <w:fldChar w:fldCharType="end"/>
      </w:r>
      <w:r>
        <w:t xml:space="preserve"> :  Required project fields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pace="0" w:color="000000" w:sz="6"/>
          <w:left w:val="single" w:space="0" w:color="000000" w:sz="6"/>
          <w:bottom w:val="single" w:space="0" w:color="000000" w:sz="6"/>
          <w:right w:val="single" w:space="0" w:color="000000" w:sz="6"/>
          <w:insideH w:val="single" w:space="0" w:color="000000" w:sz="6"/>
          <w:insideV w:val="single" w:space="0" w:color="000000" w:sz="6"/>
        </w:tblBorders>
        <w:tblCellMar>
          <w:top w:type="dxa" w:w="57"/>
          <w:left w:type="dxa" w:w="108"/>
          <w:bottom w:type="dxa" w:w="57"/>
          <w:right w:type="dxa" w:w="108"/>
        </w:tblCellMar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8E8E8"/>
          </w:tcPr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b/>
              </w:rPr>
              <w:t xml:space="preserve">Field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b/>
              </w:rPr>
              <w:t xml:space="preserve">Type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b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rStyle w:val="VerbatimChar"/>
              </w:rPr>
              <w:t xml:space="preserve">project.code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Project code identifier</w:t>
            </w:r>
          </w:p>
        </w:tc>
      </w:tr>
      <w:tr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rStyle w:val="VerbatimChar"/>
              </w:rPr>
              <w:t xml:space="preserve">project.name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Human-readable project name</w:t>
            </w:r>
          </w:p>
        </w:tc>
      </w:tr>
      <w:tr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rStyle w:val="VerbatimChar"/>
              </w:rPr>
              <w:t xml:space="preserve">doc_files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list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One or more Markdown file paths to process</w:t>
            </w:r>
          </w:p>
        </w:tc>
      </w:tr>
    </w:tbl>
    <w:bookmarkEnd w:id="21586"/>
    <w:bookmarkEnd w:id="40"/>
    <w:bookmarkStart w:id="41" w:name="MANUAL-sec4.3"/>
    <w:p>
      <w:pPr>
        <w:pStyle w:val="Heading2"/>
        <w:numPr>
          <w:ilvl w:val="1"/>
          <w:numId w:val="100"/>
        </w:numPr>
      </w:pPr>
      <w:r>
        <w:t xml:space="preserve">Default Values</w:t>
      </w:r>
    </w:p>
    <w:bookmarkStart w:id="72517" w:name="csv-tbl-default-values"/>
    <w:p>
      <w:pPr>
        <w:pStyle w:val="Caption"/>
        <w:keepNext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>1</w:t>
      </w:r>
      <w:r>
        <w:fldChar w:fldCharType="end"/>
      </w:r>
      <w:r>
        <w:t xml:space="preserve"> :  Default configuration values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pace="0" w:color="000000" w:sz="6"/>
          <w:left w:val="single" w:space="0" w:color="000000" w:sz="6"/>
          <w:bottom w:val="single" w:space="0" w:color="000000" w:sz="6"/>
          <w:right w:val="single" w:space="0" w:color="000000" w:sz="6"/>
          <w:insideH w:val="single" w:space="0" w:color="000000" w:sz="6"/>
          <w:insideV w:val="single" w:space="0" w:color="000000" w:sz="6"/>
        </w:tblBorders>
        <w:tblCellMar>
          <w:top w:type="dxa" w:w="57"/>
          <w:left w:type="dxa" w:w="108"/>
          <w:bottom w:type="dxa" w:w="57"/>
          <w:right w:type="dxa" w:w="108"/>
        </w:tblCellMar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8E8E8"/>
          </w:tcPr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b/>
              </w:rPr>
              <w:t xml:space="preserve">Field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b/>
              </w:rPr>
              <w:t xml:space="preserve">Default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b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rStyle w:val="VerbatimChar"/>
              </w:rPr>
              <w:t xml:space="preserve">template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rStyle w:val="VerbatimChar"/>
              </w:rPr>
              <w:t xml:space="preserve">default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Built-in base model is always loaded</w:t>
            </w:r>
          </w:p>
        </w:tc>
      </w:tr>
      <w:tr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rStyle w:val="VerbatimChar"/>
              </w:rPr>
              <w:t xml:space="preserve">output_dir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rStyle w:val="VerbatimChar"/>
              </w:rPr>
              <w:t xml:space="preserve">build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Also stores</w:t>
            </w:r>
            <w:r>
              <w:t xml:space="preserve"> </w:t>
            </w:r>
            <w:r>
              <w:rPr>
                <w:rStyle w:val="VerbatimChar"/>
              </w:rPr>
              <w:t xml:space="preserve">specir.db</w:t>
            </w:r>
          </w:p>
        </w:tc>
      </w:tr>
      <w:tr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rStyle w:val="VerbatimChar"/>
              </w:rPr>
              <w:t xml:space="preserve">logging.level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rStyle w:val="VerbatimChar"/>
              </w:rPr>
              <w:t xml:space="preserve">INFO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Overridden by</w:t>
            </w:r>
            <w:r>
              <w:t xml:space="preserve"> </w:t>
            </w:r>
            <w:r>
              <w:rPr>
                <w:rStyle w:val="VerbatimChar"/>
              </w:rPr>
              <w:t xml:space="preserve">SPECCOMPILER_LOG_LEVEL</w:t>
            </w:r>
            <w:r>
              <w:t xml:space="preserve"> </w:t>
            </w:r>
            <w:r>
              <w:t xml:space="preserve">env var</w:t>
            </w:r>
          </w:p>
        </w:tc>
      </w:tr>
    </w:tbl>
    <w:bookmarkEnd w:id="72517"/>
    <w:bookmarkEnd w:id="41"/>
    <w:bookmarkEnd w:id="42"/>
    <w:bookmarkStart w:id="59" w:name="MANUAL-sec5"/>
    <w:p>
      <w:pPr>
        <w:pStyle w:val="Heading1"/>
        <w:numPr>
          <w:ilvl w:val="0"/>
          <w:numId w:val="100"/>
        </w:numPr>
      </w:pPr>
      <w:r>
        <w:t xml:space="preserve">Document Authoring</w:t>
      </w:r>
    </w:p>
    <w:p>
      <w:pPr>
        <w:pStyle w:val="FirstParagraph"/>
      </w:pPr>
      <w:r>
        <w:t xml:space="preserve">SpecCompiler extends standard Markdown with a structured overlay for specification documents. The syntax uses existing Markdown constructs (headers, blockquotes, code blocks, links) with specific patterns that the pipeline recognizes.</w:t>
      </w:r>
    </w:p>
    <w:bookmarkStart w:id="43" w:name="MANUAL-sec5.1"/>
    <w:p>
      <w:pPr>
        <w:pStyle w:val="Heading2"/>
        <w:numPr>
          <w:ilvl w:val="1"/>
          <w:numId w:val="100"/>
        </w:numPr>
      </w:pPr>
      <w:r>
        <w:t xml:space="preserve">Specifications</w:t>
      </w:r>
    </w:p>
    <w:p>
      <w:pPr>
        <w:pStyle w:val="FirstParagraph"/>
      </w:pPr>
      <w:r>
        <w:t xml:space="preserve">Level 1 headers declare the top-level document container.</w:t>
      </w:r>
    </w:p>
    <w:p>
      <w:pPr>
        <w:pStyle w:val="BodyText"/>
      </w:pPr>
      <w:r>
        <w:rPr>
          <w:b/>
          <w:bCs/>
        </w:rPr>
        <w:t xml:space="preserve">Pattern:</w:t>
      </w:r>
      <w:r>
        <w:t xml:space="preserve"> </w:t>
      </w:r>
      <w:r>
        <w:rPr>
          <w:rStyle w:val="VerbatimChar"/>
        </w:rPr>
        <w:t xml:space="preserve"># type: Title @PID</w:t>
      </w:r>
    </w:p>
    <w:bookmarkStart w:id="78709" w:name="listing-src-specification-pattern"/>
    <w:p>
      <w:pPr>
        <w:pStyle w:val="Caption"/>
        <w:keepNext/>
      </w:pPr>
      <w:r>
        <w:t xml:space="preserve">Listing </w:t>
      </w:r>
      <w:r>
        <w:fldChar w:fldCharType="begin"/>
      </w:r>
      <w:r>
        <w:instrText xml:space="preserve"> SEQ LISTING \* ARABIC </w:instrText>
      </w:r>
      <w:r>
        <w:fldChar w:fldCharType="separate"/>
      </w:r>
      <w:r>
        <w:t>1</w:t>
      </w:r>
      <w:r>
        <w:fldChar w:fldCharType="end"/>
      </w:r>
      <w:r>
        <w:t xml:space="preserve"> :  Specification declaration</w:t>
      </w:r>
    </w:p>
    <w:p>
      <w:pPr>
        <w:pStyle w:val="SourceCode"/>
      </w:pPr>
      <w:r>
        <w:rPr>
          <w:rStyle w:val="FunctionTok"/>
        </w:rPr>
        <w:t xml:space="preserve"># srs: Software Requirements Specification @SRS-001</w:t>
      </w:r>
    </w:p>
    <w:bookmarkEnd w:id="78709"/>
    <w:bookmarkEnd w:id="43"/>
    <w:bookmarkStart w:id="44" w:name="MANUAL-sec5.2"/>
    <w:p>
      <w:pPr>
        <w:pStyle w:val="Heading2"/>
        <w:numPr>
          <w:ilvl w:val="1"/>
          <w:numId w:val="100"/>
        </w:numPr>
      </w:pPr>
      <w:r>
        <w:t xml:space="preserve">Spec Objects</w:t>
      </w:r>
    </w:p>
    <w:p>
      <w:pPr>
        <w:pStyle w:val="FirstParagraph"/>
      </w:pPr>
      <w:r>
        <w:t xml:space="preserve">Level 2-6 headers declare requirements, design elements, sections, or any typed element.</w:t>
      </w:r>
    </w:p>
    <w:p>
      <w:pPr>
        <w:pStyle w:val="BodyText"/>
      </w:pPr>
      <w:r>
        <w:rPr>
          <w:b/>
          <w:bCs/>
        </w:rPr>
        <w:t xml:space="preserve">Pattern:</w:t>
      </w:r>
      <w:r>
        <w:t xml:space="preserve"> </w:t>
      </w:r>
      <w:r>
        <w:rPr>
          <w:rStyle w:val="VerbatimChar"/>
        </w:rPr>
        <w:t xml:space="preserve">## type: Title @PID</w:t>
      </w:r>
    </w:p>
    <w:bookmarkStart w:id="57333" w:name="listing-src-object-pattern"/>
    <w:p>
      <w:pPr>
        <w:pStyle w:val="Caption"/>
        <w:keepNext/>
      </w:pPr>
      <w:r>
        <w:t xml:space="preserve">Listing </w:t>
      </w:r>
      <w:r>
        <w:fldChar w:fldCharType="begin"/>
      </w:r>
      <w:r>
        <w:instrText xml:space="preserve"> SEQ LISTING \* ARABIC </w:instrText>
      </w:r>
      <w:r>
        <w:fldChar w:fldCharType="separate"/>
      </w:r>
      <w:r>
        <w:t>1</w:t>
      </w:r>
      <w:r>
        <w:fldChar w:fldCharType="end"/>
      </w:r>
      <w:r>
        <w:t xml:space="preserve"> :  Spec object declaration</w:t>
      </w:r>
    </w:p>
    <w:p>
      <w:pPr>
        <w:pStyle w:val="SourceCode"/>
      </w:pPr>
      <w:r>
        <w:rPr>
          <w:rStyle w:val="FunctionTok"/>
        </w:rPr>
        <w:t xml:space="preserve">## hlr: User Authentication @HLR-001</w:t>
      </w:r>
      <w:r>
        <w:br/>
      </w:r>
      <w:r>
        <w:rPr>
          <w:rStyle w:val="FunctionTok"/>
        </w:rPr>
        <w:t xml:space="preserve">### llr: Password Validation @LLR-001</w:t>
      </w:r>
      <w:r>
        <w:br/>
      </w:r>
      <w:r>
        <w:rPr>
          <w:rStyle w:val="FunctionTok"/>
        </w:rPr>
        <w:t xml:space="preserve">#### section: Implementation Notes</w:t>
      </w:r>
    </w:p>
    <w:bookmarkEnd w:id="57333"/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@PID</w:t>
      </w:r>
      <w:r>
        <w:t xml:space="preserve"> </w:t>
      </w:r>
      <w:r>
        <w:t xml:space="preserve">is omitted, a PID is auto-generated using the type’s</w:t>
      </w:r>
      <w:r>
        <w:t xml:space="preserve"> </w:t>
      </w:r>
      <w:r>
        <w:rPr>
          <w:rStyle w:val="VerbatimChar"/>
        </w:rPr>
        <w:t xml:space="preserve">pid_prefix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pid_format</w:t>
      </w:r>
      <w:r>
        <w:t xml:space="preserve">.</w:t>
      </w:r>
    </w:p>
    <w:bookmarkEnd w:id="44"/>
    <w:bookmarkStart w:id="45" w:name="MANUAL-sec5.3"/>
    <w:p>
      <w:pPr>
        <w:pStyle w:val="Heading2"/>
        <w:numPr>
          <w:ilvl w:val="1"/>
          <w:numId w:val="100"/>
        </w:numPr>
      </w:pPr>
      <w:r>
        <w:t xml:space="preserve">Attributes</w:t>
      </w:r>
    </w:p>
    <w:p>
      <w:pPr>
        <w:pStyle w:val="FirstParagraph"/>
      </w:pPr>
      <w:r>
        <w:t xml:space="preserve">Blockquotes declare attributes using the</w:t>
      </w:r>
      <w:r>
        <w:t xml:space="preserve"> </w:t>
      </w:r>
      <w:r>
        <w:rPr>
          <w:rStyle w:val="VerbatimChar"/>
        </w:rPr>
        <w:t xml:space="preserve">key: value</w:t>
      </w:r>
      <w:r>
        <w:t xml:space="preserve"> </w:t>
      </w:r>
      <w:r>
        <w:t xml:space="preserve">pattern. They belong to the most recently opened Specification or SpecObject header and do not need to appear immediately after it:</w:t>
      </w:r>
    </w:p>
    <w:bookmarkStart w:id="89902" w:name="listing-src-attribute-pattern"/>
    <w:p>
      <w:pPr>
        <w:pStyle w:val="Caption"/>
        <w:keepNext/>
      </w:pPr>
      <w:r>
        <w:t xml:space="preserve">Listing </w:t>
      </w:r>
      <w:r>
        <w:fldChar w:fldCharType="begin"/>
      </w:r>
      <w:r>
        <w:instrText xml:space="preserve"> SEQ LISTING \* ARABIC </w:instrText>
      </w:r>
      <w:r>
        <w:fldChar w:fldCharType="separate"/>
      </w:r>
      <w:r>
        <w:t>1</w:t>
      </w:r>
      <w:r>
        <w:fldChar w:fldCharType="end"/>
      </w:r>
      <w:r>
        <w:t xml:space="preserve"> :  Attribute declaration</w:t>
      </w:r>
    </w:p>
    <w:p>
      <w:pPr>
        <w:pStyle w:val="SourceCode"/>
      </w:pPr>
      <w:r>
        <w:rPr>
          <w:rStyle w:val="FunctionTok"/>
        </w:rPr>
        <w:t xml:space="preserve">## hlr: User Authentication @HLR-001</w:t>
      </w:r>
      <w:r>
        <w:br/>
      </w:r>
      <w:r>
        <w:br/>
      </w:r>
      <w:r>
        <w:rPr>
          <w:rStyle w:val="AttributeTok"/>
        </w:rPr>
        <w:t xml:space="preserve">&gt; priority: High</w:t>
      </w:r>
      <w:r>
        <w:br/>
      </w:r>
      <w:r>
        <w:br/>
      </w:r>
      <w:r>
        <w:rPr>
          <w:rStyle w:val="AttributeTok"/>
        </w:rPr>
        <w:t xml:space="preserve">&gt; status: Draft</w:t>
      </w:r>
      <w:r>
        <w:br/>
      </w:r>
      <w:r>
        <w:br/>
      </w:r>
      <w:r>
        <w:rPr>
          <w:rStyle w:val="AttributeTok"/>
        </w:rPr>
        <w:t xml:space="preserve">&gt; rationale: Required by security policy</w:t>
      </w:r>
    </w:p>
    <w:bookmarkEnd w:id="89902"/>
    <w:p>
      <w:pPr>
        <w:pStyle w:val="FirstParagraph"/>
      </w:pPr>
      <w:r>
        <w:t xml:space="preserve">Rules:</w:t>
      </w:r>
    </w:p>
    <w:p>
      <w:pPr>
        <w:pStyle w:val="Compact"/>
        <w:numPr>
          <w:ilvl w:val="0"/>
          <w:numId w:val="1008"/>
        </w:numPr>
      </w:pPr>
      <w:r>
        <w:t xml:space="preserve">Each attribute blockquote must be separated by a blank line.</w:t>
      </w:r>
    </w:p>
    <w:p>
      <w:pPr>
        <w:pStyle w:val="Compact"/>
        <w:numPr>
          <w:ilvl w:val="0"/>
          <w:numId w:val="1008"/>
        </w:numPr>
      </w:pPr>
      <w:r>
        <w:t xml:space="preserve">The first line must match</w:t>
      </w:r>
      <w:r>
        <w:t xml:space="preserve"> </w:t>
      </w:r>
      <w:r>
        <w:rPr>
          <w:rStyle w:val="VerbatimChar"/>
        </w:rPr>
        <w:t xml:space="preserve">key: value</w:t>
      </w:r>
      <w:r>
        <w:t xml:space="preserve"> </w:t>
      </w:r>
      <w:r>
        <w:t xml:space="preserve">(where</w:t>
      </w:r>
      <w:r>
        <w:t xml:space="preserve"> </w:t>
      </w:r>
      <w:r>
        <w:rPr>
          <w:rStyle w:val="VerbatimChar"/>
        </w:rPr>
        <w:t xml:space="preserve">key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[A-Za-z0-9_]+</w:t>
      </w:r>
      <w:r>
        <w:t xml:space="preserve">). If not, the blockquote is treated as prose. The key does not need to be a registered attribute type; unregistered keys default to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datatype.</w:t>
      </w:r>
    </w:p>
    <w:p>
      <w:pPr>
        <w:pStyle w:val="Compact"/>
        <w:numPr>
          <w:ilvl w:val="0"/>
          <w:numId w:val="1008"/>
        </w:numPr>
      </w:pPr>
      <w:r>
        <w:t xml:space="preserve">Multi-line values are supported: continuation lines append to the preceding attribute.</w:t>
      </w:r>
    </w:p>
    <w:p>
      <w:pPr>
        <w:pStyle w:val="Compact"/>
        <w:numPr>
          <w:ilvl w:val="0"/>
          <w:numId w:val="1008"/>
        </w:numPr>
      </w:pPr>
      <w:r>
        <w:t xml:space="preserve">Supported datatypes: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INTEGER</w:t>
      </w:r>
      <w:r>
        <w:t xml:space="preserve">,</w:t>
      </w:r>
      <w:r>
        <w:t xml:space="preserve"> </w:t>
      </w:r>
      <w:r>
        <w:rPr>
          <w:rStyle w:val="VerbatimChar"/>
        </w:rPr>
        <w:t xml:space="preserve">REAL</w:t>
      </w:r>
      <w:r>
        <w:t xml:space="preserve">,</w:t>
      </w:r>
      <w:r>
        <w:t xml:space="preserve"> </w:t>
      </w:r>
      <w:r>
        <w:rPr>
          <w:rStyle w:val="VerbatimChar"/>
        </w:rPr>
        <w:t xml:space="preserve">BOOLEAN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</w:t>
      </w:r>
      <w:r>
        <w:t xml:space="preserve"> </w:t>
      </w:r>
      <w:r>
        <w:t xml:space="preserve">(YYYY-MM-DD),</w:t>
      </w:r>
      <w:r>
        <w:t xml:space="preserve"> </w:t>
      </w:r>
      <w:r>
        <w:rPr>
          <w:rStyle w:val="VerbatimChar"/>
        </w:rPr>
        <w:t xml:space="preserve">ENUM</w:t>
      </w:r>
      <w:r>
        <w:t xml:space="preserve">,</w:t>
      </w:r>
      <w:r>
        <w:t xml:space="preserve"> </w:t>
      </w:r>
      <w:r>
        <w:rPr>
          <w:rStyle w:val="VerbatimChar"/>
        </w:rPr>
        <w:t xml:space="preserve">XHTML</w:t>
      </w:r>
      <w:r>
        <w:t xml:space="preserve">.</w:t>
      </w:r>
    </w:p>
    <w:bookmarkEnd w:id="45"/>
    <w:bookmarkStart w:id="53" w:name="MANUAL-sec5.4"/>
    <w:p>
      <w:pPr>
        <w:pStyle w:val="Heading2"/>
        <w:numPr>
          <w:ilvl w:val="1"/>
          <w:numId w:val="100"/>
        </w:numPr>
      </w:pPr>
      <w:r>
        <w:t xml:space="preserve">Floats</w:t>
      </w:r>
    </w:p>
    <w:p>
      <w:pPr>
        <w:pStyle w:val="FirstParagraph"/>
      </w:pPr>
      <w:r>
        <w:t xml:space="preserve">Fenced code blocks with a typed first class declare numbered elements.</w:t>
      </w:r>
    </w:p>
    <w:p>
      <w:pPr>
        <w:pStyle w:val="BodyText"/>
      </w:pPr>
      <w:r>
        <w:rPr>
          <w:b/>
          <w:bCs/>
        </w:rPr>
        <w:t xml:space="preserve">Pattern:</w:t>
      </w:r>
      <w:r>
        <w:t xml:space="preserve"> </w:t>
      </w:r>
      <w:r>
        <w:rPr>
          <w:rStyle w:val="VerbatimChar"/>
        </w:rPr>
        <w:t xml:space="preserve">```type.lang:label{key="val"}</w:t>
      </w:r>
    </w:p>
    <w:bookmarkStart w:id="46" w:name="MANUAL-sec5.4.1"/>
    <w:p>
      <w:pPr>
        <w:pStyle w:val="Heading3"/>
        <w:numPr>
          <w:ilvl w:val="2"/>
          <w:numId w:val="100"/>
        </w:numPr>
      </w:pPr>
      <w:r>
        <w:t xml:space="preserve">PlantUML Diagram</w:t>
      </w:r>
    </w:p>
    <w:bookmarkStart w:id="55431" w:name="listing-src-plantuml-float-syntax"/>
    <w:p>
      <w:pPr>
        <w:pStyle w:val="Caption"/>
        <w:keepNext/>
      </w:pPr>
      <w:r>
        <w:t xml:space="preserve">Listing </w:t>
      </w:r>
      <w:r>
        <w:fldChar w:fldCharType="begin"/>
      </w:r>
      <w:r>
        <w:instrText xml:space="preserve"> SEQ LISTING \* ARABIC </w:instrText>
      </w:r>
      <w:r>
        <w:fldChar w:fldCharType="separate"/>
      </w:r>
      <w:r>
        <w:t>1</w:t>
      </w:r>
      <w:r>
        <w:fldChar w:fldCharType="end"/>
      </w:r>
      <w:r>
        <w:t xml:space="preserve"> :  PlantUML float syntax</w:t>
      </w:r>
    </w:p>
    <w:p>
      <w:pPr>
        <w:pStyle w:val="SourceCode"/>
      </w:pPr>
      <w:r>
        <w:rPr>
          <w:rStyle w:val="InformationTok"/>
        </w:rPr>
        <w:t xml:space="preserve">```plantuml:diag-state{caption="State Machine"}</w:t>
      </w:r>
      <w:r>
        <w:br/>
      </w:r>
      <w:r>
        <w:rPr>
          <w:rStyle w:val="InformationTok"/>
        </w:rPr>
        <w:t xml:space="preserve">@startuml</w:t>
      </w:r>
      <w:r>
        <w:br/>
      </w:r>
      <w:r>
        <w:rPr>
          <w:rStyle w:val="InformationTok"/>
        </w:rPr>
        <w:t xml:space="preserve">[*] --&gt; Active</w:t>
      </w:r>
      <w:r>
        <w:br/>
      </w:r>
      <w:r>
        <w:rPr>
          <w:rStyle w:val="InformationTok"/>
        </w:rPr>
        <w:t xml:space="preserve">Active --&gt; Inactive</w:t>
      </w:r>
      <w:r>
        <w:br/>
      </w:r>
      <w:r>
        <w:rPr>
          <w:rStyle w:val="InformationTok"/>
        </w:rPr>
        <w:t xml:space="preserve">@enduml</w:t>
      </w:r>
      <w:r>
        <w:br/>
      </w:r>
      <w:r>
        <w:rPr>
          <w:rStyle w:val="InformationTok"/>
        </w:rPr>
        <w:t xml:space="preserve">```</w:t>
      </w:r>
    </w:p>
    <w:bookmarkEnd w:id="55431"/>
    <w:bookmarkEnd w:id="46"/>
    <w:bookmarkStart w:id="47" w:name="MANUAL-sec5.4.2"/>
    <w:p>
      <w:pPr>
        <w:pStyle w:val="Heading3"/>
        <w:numPr>
          <w:ilvl w:val="2"/>
          <w:numId w:val="100"/>
        </w:numPr>
      </w:pPr>
      <w:r>
        <w:t xml:space="preserve">Table</w:t>
      </w:r>
    </w:p>
    <w:bookmarkStart w:id="10374" w:name="listing-src-table-float-syntax"/>
    <w:p>
      <w:pPr>
        <w:pStyle w:val="Caption"/>
        <w:keepNext/>
      </w:pPr>
      <w:r>
        <w:t xml:space="preserve">Listing </w:t>
      </w:r>
      <w:r>
        <w:fldChar w:fldCharType="begin"/>
      </w:r>
      <w:r>
        <w:instrText xml:space="preserve"> SEQ LISTING \* ARABIC </w:instrText>
      </w:r>
      <w:r>
        <w:fldChar w:fldCharType="separate"/>
      </w:r>
      <w:r>
        <w:t>1</w:t>
      </w:r>
      <w:r>
        <w:fldChar w:fldCharType="end"/>
      </w:r>
      <w:r>
        <w:t xml:space="preserve"> :  Table float syntax</w:t>
      </w:r>
    </w:p>
    <w:p>
      <w:pPr>
        <w:pStyle w:val="SourceCode"/>
      </w:pPr>
      <w:r>
        <w:rPr>
          <w:rStyle w:val="InformationTok"/>
        </w:rPr>
        <w:t xml:space="preserve">```list-table:tbl-interfaces{caption="External Interfaces"}</w:t>
      </w:r>
      <w:r>
        <w:br/>
      </w:r>
      <w:r>
        <w:rPr>
          <w:rStyle w:val="InformationTok"/>
        </w:rPr>
        <w:t xml:space="preserve">&gt; header-rows: 1</w:t>
      </w:r>
      <w:r>
        <w:br/>
      </w:r>
      <w:r>
        <w:rPr>
          <w:rStyle w:val="InformationTok"/>
        </w:rPr>
        <w:t xml:space="preserve">&gt; aligns: l,l,l</w:t>
      </w:r>
      <w:r>
        <w:br/>
      </w:r>
      <w:r>
        <w:br/>
      </w:r>
      <w:r>
        <w:rPr>
          <w:rStyle w:val="InformationTok"/>
        </w:rPr>
        <w:t xml:space="preserve">* - Interface</w:t>
      </w:r>
      <w:r>
        <w:br/>
      </w:r>
      <w:r>
        <w:rPr>
          <w:rStyle w:val="InformationTok"/>
        </w:rPr>
        <w:t xml:space="preserve">  - Protocol</w:t>
      </w:r>
      <w:r>
        <w:br/>
      </w:r>
      <w:r>
        <w:rPr>
          <w:rStyle w:val="InformationTok"/>
        </w:rPr>
        <w:t xml:space="preserve">  - Direction</w:t>
      </w:r>
      <w:r>
        <w:br/>
      </w:r>
      <w:r>
        <w:rPr>
          <w:rStyle w:val="InformationTok"/>
        </w:rPr>
        <w:t xml:space="preserve">* - GPS</w:t>
      </w:r>
      <w:r>
        <w:br/>
      </w:r>
      <w:r>
        <w:rPr>
          <w:rStyle w:val="InformationTok"/>
        </w:rPr>
        <w:t xml:space="preserve">  - ARINC-429</w:t>
      </w:r>
      <w:r>
        <w:br/>
      </w:r>
      <w:r>
        <w:rPr>
          <w:rStyle w:val="InformationTok"/>
        </w:rPr>
        <w:t xml:space="preserve">  - Input</w:t>
      </w:r>
      <w:r>
        <w:br/>
      </w:r>
      <w:r>
        <w:rPr>
          <w:rStyle w:val="InformationTok"/>
        </w:rPr>
        <w:t xml:space="preserve">```</w:t>
      </w:r>
    </w:p>
    <w:bookmarkEnd w:id="10374"/>
    <w:bookmarkEnd w:id="47"/>
    <w:bookmarkStart w:id="48" w:name="MANUAL-sec5.4.3"/>
    <w:p>
      <w:pPr>
        <w:pStyle w:val="Heading3"/>
        <w:numPr>
          <w:ilvl w:val="2"/>
          <w:numId w:val="100"/>
        </w:numPr>
      </w:pPr>
      <w:r>
        <w:t xml:space="preserve">CSV Table</w:t>
      </w:r>
    </w:p>
    <w:p>
      <w:pPr>
        <w:pStyle w:val="FirstParagraph"/>
      </w:pPr>
      <w:r>
        <w:t xml:space="preserve">The Comma-Separated Values (CSV) float alias provides a compact syntax for tabular data:</w:t>
      </w:r>
    </w:p>
    <w:bookmarkStart w:id="55086" w:name="listing-src-csv-float-syntax"/>
    <w:p>
      <w:pPr>
        <w:pStyle w:val="Caption"/>
        <w:keepNext/>
      </w:pPr>
      <w:r>
        <w:t xml:space="preserve">Listing </w:t>
      </w:r>
      <w:r>
        <w:fldChar w:fldCharType="begin"/>
      </w:r>
      <w:r>
        <w:instrText xml:space="preserve"> SEQ LISTING \* ARABIC </w:instrText>
      </w:r>
      <w:r>
        <w:fldChar w:fldCharType="separate"/>
      </w:r>
      <w:r>
        <w:t>1</w:t>
      </w:r>
      <w:r>
        <w:fldChar w:fldCharType="end"/>
      </w:r>
      <w:r>
        <w:t xml:space="preserve"> :  CSV float syntax</w:t>
      </w:r>
    </w:p>
    <w:p>
      <w:pPr>
        <w:pStyle w:val="SourceCode"/>
      </w:pPr>
      <w:r>
        <w:rPr>
          <w:rStyle w:val="InformationTok"/>
        </w:rPr>
        <w:t xml:space="preserve">```csv:tbl-data{caption="Sample Data"}</w:t>
      </w:r>
      <w:r>
        <w:br/>
      </w:r>
      <w:r>
        <w:rPr>
          <w:rStyle w:val="InformationTok"/>
        </w:rPr>
        <w:t xml:space="preserve">Name,Value,Unit</w:t>
      </w:r>
      <w:r>
        <w:br/>
      </w:r>
      <w:r>
        <w:rPr>
          <w:rStyle w:val="InformationTok"/>
        </w:rPr>
        <w:t xml:space="preserve">Temperature,72.5,F</w:t>
      </w:r>
      <w:r>
        <w:br/>
      </w:r>
      <w:r>
        <w:rPr>
          <w:rStyle w:val="InformationTok"/>
        </w:rPr>
        <w:t xml:space="preserve">Pressure,1013.25,hPa</w:t>
      </w:r>
      <w:r>
        <w:br/>
      </w:r>
      <w:r>
        <w:rPr>
          <w:rStyle w:val="InformationTok"/>
        </w:rPr>
        <w:t xml:space="preserve">```</w:t>
      </w:r>
    </w:p>
    <w:bookmarkEnd w:id="55086"/>
    <w:p>
      <w:pPr>
        <w:pStyle w:val="FirstParagraph"/>
      </w:pPr>
      <w:r>
        <w:t xml:space="preserve">Both</w:t>
      </w:r>
      <w:r>
        <w:t xml:space="preserve"> </w:t>
      </w:r>
      <w:r>
        <w:rPr>
          <w:rStyle w:val="VerbatimChar"/>
        </w:rPr>
        <w:t xml:space="preserve">csv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list-table</w:t>
      </w:r>
      <w:r>
        <w:t xml:space="preserve"> </w:t>
      </w:r>
      <w:r>
        <w:t xml:space="preserve">produce TABLE floats. Use</w:t>
      </w:r>
      <w:r>
        <w:t xml:space="preserve"> </w:t>
      </w:r>
      <w:r>
        <w:rPr>
          <w:rStyle w:val="VerbatimChar"/>
        </w:rPr>
        <w:t xml:space="preserve">csv</w:t>
      </w:r>
      <w:r>
        <w:t xml:space="preserve"> </w:t>
      </w:r>
      <w:r>
        <w:t xml:space="preserve">for simple tabular data and</w:t>
      </w:r>
      <w:r>
        <w:t xml:space="preserve"> </w:t>
      </w:r>
      <w:r>
        <w:rPr>
          <w:rStyle w:val="VerbatimChar"/>
        </w:rPr>
        <w:t xml:space="preserve">list-table</w:t>
      </w:r>
      <w:r>
        <w:t xml:space="preserve"> </w:t>
      </w:r>
      <w:r>
        <w:t xml:space="preserve">for tables with rich Markdown content in cells. See</w:t>
      </w:r>
      <w:r>
        <w:t xml:space="preserve"> </w:t>
      </w:r>
      <w:hyperlink w:anchor="MANUAL-sec6.2">
        <w:r>
          <w:rPr>
            <w:rStyle w:val="Hyperlink"/>
          </w:rPr>
          <w:t xml:space="preserve">Floats in Practice</w:t>
        </w:r>
      </w:hyperlink>
      <w:r>
        <w:t xml:space="preserve"> </w:t>
      </w:r>
      <w:r>
        <w:t xml:space="preserve">for live examples of each.</w:t>
      </w:r>
    </w:p>
    <w:bookmarkEnd w:id="48"/>
    <w:bookmarkStart w:id="49" w:name="MANUAL-sec5.4.4"/>
    <w:p>
      <w:pPr>
        <w:pStyle w:val="Heading3"/>
        <w:numPr>
          <w:ilvl w:val="2"/>
          <w:numId w:val="100"/>
        </w:numPr>
      </w:pPr>
      <w:r>
        <w:t xml:space="preserve">Listing (Code)</w:t>
      </w:r>
    </w:p>
    <w:bookmarkStart w:id="69456" w:name="listing-src-listing-float-syntax"/>
    <w:p>
      <w:pPr>
        <w:pStyle w:val="Caption"/>
        <w:keepNext/>
      </w:pPr>
      <w:r>
        <w:t xml:space="preserve">Listing </w:t>
      </w:r>
      <w:r>
        <w:fldChar w:fldCharType="begin"/>
      </w:r>
      <w:r>
        <w:instrText xml:space="preserve"> SEQ LISTING \* ARABIC </w:instrText>
      </w:r>
      <w:r>
        <w:fldChar w:fldCharType="separate"/>
      </w:r>
      <w:r>
        <w:t>1</w:t>
      </w:r>
      <w:r>
        <w:fldChar w:fldCharType="end"/>
      </w:r>
      <w:r>
        <w:t xml:space="preserve"> :  Listing float syntax</w:t>
      </w:r>
    </w:p>
    <w:p>
      <w:pPr>
        <w:pStyle w:val="SourceCode"/>
      </w:pPr>
      <w:r>
        <w:rPr>
          <w:rStyle w:val="InformationTok"/>
        </w:rPr>
        <w:t xml:space="preserve">```listing.c:lst-init{caption="Initialization Routine"}</w:t>
      </w:r>
      <w:r>
        <w:br/>
      </w:r>
      <w:r>
        <w:rPr>
          <w:rStyle w:val="InformationTok"/>
        </w:rPr>
        <w:t xml:space="preserve">void init(void) {</w:t>
      </w:r>
      <w:r>
        <w:br/>
      </w:r>
      <w:r>
        <w:rPr>
          <w:rStyle w:val="InformationTok"/>
        </w:rPr>
        <w:t xml:space="preserve">    setup_hardware();</w:t>
      </w:r>
      <w:r>
        <w:br/>
      </w:r>
      <w:r>
        <w:rPr>
          <w:rStyle w:val="InformationTok"/>
        </w:rPr>
        <w:t xml:space="preserve">}</w:t>
      </w:r>
      <w:r>
        <w:br/>
      </w:r>
      <w:r>
        <w:rPr>
          <w:rStyle w:val="InformationTok"/>
        </w:rPr>
        <w:t xml:space="preserve">```</w:t>
      </w:r>
    </w:p>
    <w:bookmarkEnd w:id="69456"/>
    <w:bookmarkEnd w:id="49"/>
    <w:bookmarkStart w:id="50" w:name="MANUAL-sec5.4.5"/>
    <w:p>
      <w:pPr>
        <w:pStyle w:val="Heading3"/>
        <w:numPr>
          <w:ilvl w:val="2"/>
          <w:numId w:val="100"/>
        </w:numPr>
      </w:pPr>
      <w:r>
        <w:t xml:space="preserve">Chart (ECharts)</w:t>
      </w:r>
    </w:p>
    <w:bookmarkStart w:id="31094" w:name="listing-src-chart-float-syntax"/>
    <w:p>
      <w:pPr>
        <w:pStyle w:val="Caption"/>
        <w:keepNext/>
      </w:pPr>
      <w:r>
        <w:t xml:space="preserve">Listing </w:t>
      </w:r>
      <w:r>
        <w:fldChar w:fldCharType="begin"/>
      </w:r>
      <w:r>
        <w:instrText xml:space="preserve"> SEQ LISTING \* ARABIC </w:instrText>
      </w:r>
      <w:r>
        <w:fldChar w:fldCharType="separate"/>
      </w:r>
      <w:r>
        <w:t>1</w:t>
      </w:r>
      <w:r>
        <w:fldChar w:fldCharType="end"/>
      </w:r>
      <w:r>
        <w:t xml:space="preserve"> :  Chart float syntax</w:t>
      </w:r>
    </w:p>
    <w:p>
      <w:pPr>
        <w:pStyle w:val="SourceCode"/>
      </w:pPr>
      <w:r>
        <w:rPr>
          <w:rStyle w:val="InformationTok"/>
        </w:rPr>
        <w:t xml:space="preserve">```chart:chart-coverage{caption="Test Coverage"}</w:t>
      </w:r>
      <w:r>
        <w:br/>
      </w:r>
      <w:r>
        <w:rPr>
          <w:rStyle w:val="InformationTok"/>
        </w:rPr>
        <w:t xml:space="preserve">{</w:t>
      </w:r>
      <w:r>
        <w:br/>
      </w:r>
      <w:r>
        <w:rPr>
          <w:rStyle w:val="InformationTok"/>
        </w:rPr>
        <w:t xml:space="preserve">  "xAxis": { "data": ["Module A", "Module B"] },</w:t>
      </w:r>
      <w:r>
        <w:br/>
      </w:r>
      <w:r>
        <w:rPr>
          <w:rStyle w:val="InformationTok"/>
        </w:rPr>
        <w:t xml:space="preserve">  "series": [{ "type": "bar", "data": [95, 87] }]</w:t>
      </w:r>
      <w:r>
        <w:br/>
      </w:r>
      <w:r>
        <w:rPr>
          <w:rStyle w:val="InformationTok"/>
        </w:rPr>
        <w:t xml:space="preserve">}</w:t>
      </w:r>
      <w:r>
        <w:br/>
      </w:r>
      <w:r>
        <w:rPr>
          <w:rStyle w:val="InformationTok"/>
        </w:rPr>
        <w:t xml:space="preserve">```</w:t>
      </w:r>
    </w:p>
    <w:bookmarkEnd w:id="31094"/>
    <w:p>
      <w:pPr>
        <w:pStyle w:val="FirstParagraph"/>
      </w:pPr>
      <w:r>
        <w:t xml:space="preserve">Charts support data injection via view modules. Add</w:t>
      </w:r>
      <w:r>
        <w:t xml:space="preserve"> </w:t>
      </w:r>
      <w:r>
        <w:rPr>
          <w:rStyle w:val="VerbatimChar"/>
        </w:rPr>
        <w:t xml:space="preserve">view="gauss"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params="mean=0,sigma=1"</w:t>
      </w:r>
      <w:r>
        <w:t xml:space="preserve"> </w:t>
      </w:r>
      <w:r>
        <w:t xml:space="preserve">to the code fence attributes to inject generated data into the ECharts configuration at render time. See</w:t>
      </w:r>
      <w:r>
        <w:t xml:space="preserve"> </w:t>
      </w:r>
      <w:hyperlink w:anchor="echarts-chart-gauss">
        <w:r>
          <w:rPr>
            <w:rStyle w:val="Hyperlink"/>
          </w:rPr>
          <w:t xml:space="preserve">Figure 5</w:t>
        </w:r>
      </w:hyperlink>
      <w:r>
        <w:t xml:space="preserve"> </w:t>
      </w:r>
      <w:r>
        <w:t xml:space="preserve">for a working example.</w:t>
      </w:r>
    </w:p>
    <w:bookmarkEnd w:id="50"/>
    <w:bookmarkStart w:id="51" w:name="MANUAL-sec5.4.6"/>
    <w:p>
      <w:pPr>
        <w:pStyle w:val="Heading3"/>
        <w:numPr>
          <w:ilvl w:val="2"/>
          <w:numId w:val="100"/>
        </w:numPr>
      </w:pPr>
      <w:r>
        <w:t xml:space="preserve">Math</w:t>
      </w:r>
    </w:p>
    <w:bookmarkStart w:id="22760" w:name="listing-src-math-float-syntax"/>
    <w:p>
      <w:pPr>
        <w:pStyle w:val="Caption"/>
        <w:keepNext/>
      </w:pPr>
      <w:r>
        <w:t xml:space="preserve">Listing </w:t>
      </w:r>
      <w:r>
        <w:fldChar w:fldCharType="begin"/>
      </w:r>
      <w:r>
        <w:instrText xml:space="preserve"> SEQ LISTING \* ARABIC </w:instrText>
      </w:r>
      <w:r>
        <w:fldChar w:fldCharType="separate"/>
      </w:r>
      <w:r>
        <w:t>1</w:t>
      </w:r>
      <w:r>
        <w:fldChar w:fldCharType="end"/>
      </w:r>
      <w:r>
        <w:t xml:space="preserve"> :  Math float syntax</w:t>
      </w:r>
    </w:p>
    <w:p>
      <w:pPr>
        <w:pStyle w:val="SourceCode"/>
      </w:pPr>
      <w:r>
        <w:rPr>
          <w:rStyle w:val="InformationTok"/>
        </w:rPr>
        <w:t xml:space="preserve">```math:eq-force{caption="Newton's Second Law"}</w:t>
      </w:r>
      <w:r>
        <w:br/>
      </w:r>
      <w:r>
        <w:rPr>
          <w:rStyle w:val="InformationTok"/>
        </w:rPr>
        <w:t xml:space="preserve">F = ma</w:t>
      </w:r>
      <w:r>
        <w:br/>
      </w:r>
      <w:r>
        <w:rPr>
          <w:rStyle w:val="InformationTok"/>
        </w:rPr>
        <w:t xml:space="preserve">```</w:t>
      </w:r>
    </w:p>
    <w:bookmarkEnd w:id="22760"/>
    <w:p>
      <w:pPr>
        <w:pStyle w:val="FirstParagraph"/>
      </w:pPr>
      <w:r>
        <w:t xml:space="preserve">Math floats use AsciiMath notation and are rendered to MathML for HTML5 output and OMML for DOCX. See</w:t>
      </w:r>
      <w:r>
        <w:t xml:space="preserve"> </w:t>
      </w:r>
      <w:hyperlink w:anchor="math-eq-specificity">
        <w:r>
          <w:rPr>
            <w:rStyle w:val="Hyperlink"/>
          </w:rPr>
          <w:t xml:space="preserve">Equation 1</w:t>
        </w:r>
      </w:hyperlink>
      <w:r>
        <w:t xml:space="preserve"> </w:t>
      </w:r>
      <w:r>
        <w:t xml:space="preserve">and</w:t>
      </w:r>
      <w:r>
        <w:t xml:space="preserve"> </w:t>
      </w:r>
      <w:hyperlink w:anchor="math-eq-latency">
        <w:r>
          <w:rPr>
            <w:rStyle w:val="Hyperlink"/>
          </w:rPr>
          <w:t xml:space="preserve">Equation 2</w:t>
        </w:r>
      </w:hyperlink>
      <w:r>
        <w:t xml:space="preserve"> </w:t>
      </w:r>
      <w:r>
        <w:t xml:space="preserve">for live examples in this manual.</w:t>
      </w:r>
    </w:p>
    <w:bookmarkEnd w:id="51"/>
    <w:bookmarkStart w:id="52" w:name="MANUAL-sec5.4.7"/>
    <w:p>
      <w:pPr>
        <w:pStyle w:val="Heading3"/>
        <w:numPr>
          <w:ilvl w:val="2"/>
          <w:numId w:val="100"/>
        </w:numPr>
      </w:pPr>
      <w:r>
        <w:t xml:space="preserve">Float Syntax Summary</w:t>
      </w:r>
    </w:p>
    <w:bookmarkStart w:id="95403" w:name="csv-tbl-float-syntax"/>
    <w:p>
      <w:pPr>
        <w:pStyle w:val="Caption"/>
        <w:keepNext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>1</w:t>
      </w:r>
      <w:r>
        <w:fldChar w:fldCharType="end"/>
      </w:r>
      <w:r>
        <w:t xml:space="preserve"> :  Float syntax components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pace="0" w:color="000000" w:sz="6"/>
          <w:left w:val="single" w:space="0" w:color="000000" w:sz="6"/>
          <w:bottom w:val="single" w:space="0" w:color="000000" w:sz="6"/>
          <w:right w:val="single" w:space="0" w:color="000000" w:sz="6"/>
          <w:insideH w:val="single" w:space="0" w:color="000000" w:sz="6"/>
          <w:insideV w:val="single" w:space="0" w:color="000000" w:sz="6"/>
        </w:tblBorders>
        <w:tblCellMar>
          <w:top w:type="dxa" w:w="57"/>
          <w:left w:type="dxa" w:w="108"/>
          <w:bottom w:type="dxa" w:w="57"/>
          <w:right w:type="dxa" w:w="108"/>
        </w:tblCellMar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8E8E8"/>
          </w:tcPr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b/>
              </w:rPr>
              <w:t xml:space="preserve">Component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b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Float type identifier (for example</w:t>
            </w:r>
            <w:r>
              <w:t xml:space="preserve"> </w:t>
            </w:r>
            <w:r>
              <w:rPr>
                <w:rStyle w:val="VerbatimChar"/>
              </w:rPr>
              <w:t xml:space="preserve">figure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plantuml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list-table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listing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math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rStyle w:val="VerbatimChar"/>
              </w:rPr>
              <w:t xml:space="preserve">.lang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Optional language hint for syntax highlighting</w:t>
            </w:r>
          </w:p>
        </w:tc>
      </w:tr>
      <w:tr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rStyle w:val="VerbatimChar"/>
              </w:rPr>
              <w:t xml:space="preserve">:label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Float label for cross-referencing; must be unique within the specification</w:t>
            </w:r>
          </w:p>
        </w:tc>
      </w:tr>
      <w:tr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rStyle w:val="VerbatimChar"/>
              </w:rPr>
              <w:t xml:space="preserve">{key="val"}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Key-value attributes; common attribute:</w:t>
            </w:r>
            <w:r>
              <w:t xml:space="preserve"> </w:t>
            </w:r>
            <w:r>
              <w:rPr>
                <w:rStyle w:val="VerbatimChar"/>
              </w:rPr>
              <w:t xml:space="preserve">caption</w:t>
            </w:r>
          </w:p>
        </w:tc>
      </w:tr>
    </w:tbl>
    <w:bookmarkEnd w:id="95403"/>
    <w:bookmarkEnd w:id="52"/>
    <w:bookmarkEnd w:id="53"/>
    <w:bookmarkStart w:id="55" w:name="MANUAL-sec5.5"/>
    <w:p>
      <w:pPr>
        <w:pStyle w:val="Heading2"/>
        <w:numPr>
          <w:ilvl w:val="1"/>
          <w:numId w:val="100"/>
        </w:numPr>
      </w:pPr>
      <w:r>
        <w:t xml:space="preserve">Relations (Links)</w:t>
      </w:r>
    </w:p>
    <w:p>
      <w:pPr>
        <w:pStyle w:val="FirstParagraph"/>
      </w:pPr>
      <w:r>
        <w:t xml:space="preserve">Links use the pattern</w:t>
      </w:r>
      <w:r>
        <w:t xml:space="preserve"> </w:t>
      </w:r>
      <w:r>
        <w:rPr>
          <w:rStyle w:val="VerbatimChar"/>
        </w:rPr>
        <w:t xml:space="preserve">[content](selector)</w:t>
      </w:r>
      <w:r>
        <w:t xml:space="preserve">. Selectors are</w:t>
      </w:r>
      <w:r>
        <w:t xml:space="preserve"> </w:t>
      </w:r>
      <w:r>
        <w:rPr>
          <w:b/>
          <w:bCs/>
        </w:rPr>
        <w:t xml:space="preserve">not hardcoded</w:t>
      </w:r>
      <w:r>
        <w:t xml:space="preserve"> </w:t>
      </w:r>
      <w:r>
        <w:t xml:space="preserve">– they are registered by relation types in the model’s type system. Each relation type declares a</w:t>
      </w:r>
      <w:r>
        <w:t xml:space="preserve"> </w:t>
      </w:r>
      <w:r>
        <w:rPr>
          <w:rStyle w:val="VerbatimChar"/>
        </w:rPr>
        <w:t xml:space="preserve">link_selector</w:t>
      </w:r>
      <w:r>
        <w:t xml:space="preserve"> </w:t>
      </w:r>
      <w:r>
        <w:t xml:space="preserve">field, and the pipeline uses it for resolution and type inference. The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model registers the following selectors:</w:t>
      </w:r>
    </w:p>
    <w:bookmarkStart w:id="48255" w:name="csv-tbl-selectors"/>
    <w:p>
      <w:pPr>
        <w:pStyle w:val="Caption"/>
        <w:keepNext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>1</w:t>
      </w:r>
      <w:r>
        <w:fldChar w:fldCharType="end"/>
      </w:r>
      <w:r>
        <w:t xml:space="preserve"> :  Default model selectors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pace="0" w:color="000000" w:sz="6"/>
          <w:left w:val="single" w:space="0" w:color="000000" w:sz="6"/>
          <w:bottom w:val="single" w:space="0" w:color="000000" w:sz="6"/>
          <w:right w:val="single" w:space="0" w:color="000000" w:sz="6"/>
          <w:insideH w:val="single" w:space="0" w:color="000000" w:sz="6"/>
          <w:insideV w:val="single" w:space="0" w:color="000000" w:sz="6"/>
        </w:tblBorders>
        <w:tblCellMar>
          <w:top w:type="dxa" w:w="57"/>
          <w:left w:type="dxa" w:w="108"/>
          <w:bottom w:type="dxa" w:w="57"/>
          <w:right w:type="dxa" w:w="108"/>
        </w:tblCellMar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8E8E8"/>
          </w:tcPr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b/>
              </w:rPr>
              <w:t xml:space="preserve">Selector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b/>
              </w:rPr>
              <w:t xml:space="preserve">Registered by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b/>
              </w:rPr>
              <w:t xml:space="preserve">Resolution</w:t>
            </w:r>
          </w:p>
        </w:tc>
      </w:tr>
      <w:tr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rStyle w:val="VerbatimChar"/>
              </w:rPr>
              <w:t xml:space="preserve">@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rStyle w:val="VerbatimChar"/>
              </w:rPr>
              <w:t xml:space="preserve">traceable</w:t>
            </w:r>
            <w:r>
              <w:t xml:space="preserve"> </w:t>
            </w:r>
            <w:r>
              <w:t xml:space="preserve">base (XREF_SEC, and model-specific types)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PID lookup: same-spec first, then cross-document fallback</w:t>
            </w:r>
          </w:p>
        </w:tc>
      </w:tr>
      <w:tr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rStyle w:val="VerbatimChar"/>
              </w:rPr>
              <w:t xml:space="preserve">#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rStyle w:val="VerbatimChar"/>
              </w:rPr>
              <w:t xml:space="preserve">xref</w:t>
            </w:r>
            <w:r>
              <w:t xml:space="preserve"> </w:t>
            </w:r>
            <w:r>
              <w:t xml:space="preserve">base (XREF_FIGURE, XREF_TABLE, XREF_LISTING, XREF_MATH, XREF_SECP)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Scoped label resolution: local scope, then same-spec, then global</w:t>
            </w:r>
          </w:p>
        </w:tc>
      </w:tr>
      <w:tr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rStyle w:val="VerbatimChar"/>
              </w:rPr>
              <w:t xml:space="preserve">@cite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XREF_CITATION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Rewritten to pandoc Cite element (parenthetical)</w:t>
            </w:r>
          </w:p>
        </w:tc>
      </w:tr>
      <w:tr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rStyle w:val="VerbatimChar"/>
              </w:rPr>
              <w:t xml:space="preserve">@citep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XREF_CITATION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Rewritten to pandoc Cite element (in-text)</w:t>
            </w:r>
          </w:p>
        </w:tc>
      </w:tr>
    </w:tbl>
    <w:bookmarkEnd w:id="48255"/>
    <w:p>
      <w:pPr>
        <w:pStyle w:val="BodyText"/>
      </w:pPr>
      <w:r>
        <w:t xml:space="preserve">Custom models can register additional selectors by defining relation types with new</w:t>
      </w:r>
      <w:r>
        <w:t xml:space="preserve"> </w:t>
      </w:r>
      <w:r>
        <w:rPr>
          <w:rStyle w:val="VerbatimChar"/>
        </w:rPr>
        <w:t xml:space="preserve">link_selector</w:t>
      </w:r>
      <w:r>
        <w:t xml:space="preserve"> </w:t>
      </w:r>
      <w:r>
        <w:t xml:space="preserve">values.</w:t>
      </w:r>
    </w:p>
    <w:bookmarkStart w:id="65471" w:name="csv-tbl-relation-syntax"/>
    <w:p>
      <w:pPr>
        <w:pStyle w:val="Caption"/>
        <w:keepNext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>1</w:t>
      </w:r>
      <w:r>
        <w:fldChar w:fldCharType="end"/>
      </w:r>
      <w:r>
        <w:t xml:space="preserve"> :  Relation syntax patterns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pace="0" w:color="000000" w:sz="6"/>
          <w:left w:val="single" w:space="0" w:color="000000" w:sz="6"/>
          <w:bottom w:val="single" w:space="0" w:color="000000" w:sz="6"/>
          <w:right w:val="single" w:space="0" w:color="000000" w:sz="6"/>
          <w:insideH w:val="single" w:space="0" w:color="000000" w:sz="6"/>
          <w:insideV w:val="single" w:space="0" w:color="000000" w:sz="6"/>
        </w:tblBorders>
        <w:tblCellMar>
          <w:top w:type="dxa" w:w="57"/>
          <w:left w:type="dxa" w:w="108"/>
          <w:bottom w:type="dxa" w:w="57"/>
          <w:right w:type="dxa" w:w="108"/>
        </w:tblCellMar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8E8E8"/>
          </w:tcPr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b/>
              </w:rPr>
              <w:t xml:space="preserve">Syntax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b/>
              </w:rPr>
              <w:t xml:space="preserve">Example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b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rStyle w:val="VerbatimChar"/>
              </w:rPr>
              <w:t xml:space="preserve">[PID](@)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rStyle w:val="VerbatimChar"/>
              </w:rPr>
              <w:t xml:space="preserve">[HLR-001](@)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Reference by PID</w:t>
            </w:r>
          </w:p>
        </w:tc>
      </w:tr>
      <w:tr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rStyle w:val="VerbatimChar"/>
              </w:rPr>
              <w:t xml:space="preserve">[type:label](#)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rStyle w:val="VerbatimChar"/>
              </w:rPr>
              <w:t xml:space="preserve">[fig:diagram](#)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Typed float reference</w:t>
            </w:r>
          </w:p>
        </w:tc>
      </w:tr>
      <w:tr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rStyle w:val="VerbatimChar"/>
              </w:rPr>
              <w:t xml:space="preserve">[scope:type:label](#)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rStyle w:val="VerbatimChar"/>
              </w:rPr>
              <w:t xml:space="preserve">[REQ-001:fig:detail](#)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Scoped float reference</w:t>
            </w:r>
          </w:p>
        </w:tc>
      </w:tr>
      <w:tr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rStyle w:val="VerbatimChar"/>
              </w:rPr>
              <w:t xml:space="preserve">[key](@cite)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rStyle w:val="VerbatimChar"/>
              </w:rPr>
              <w:t xml:space="preserve">[smith2024](@cite)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Parenthetical citation</w:t>
            </w:r>
          </w:p>
        </w:tc>
      </w:tr>
      <w:tr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rStyle w:val="VerbatimChar"/>
              </w:rPr>
              <w:t xml:space="preserve">[key](@citep)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rStyle w:val="VerbatimChar"/>
              </w:rPr>
              <w:t xml:space="preserve">[smith2024](@citep)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In-text citation</w:t>
            </w:r>
          </w:p>
        </w:tc>
      </w:tr>
    </w:tbl>
    <w:bookmarkEnd w:id="65471"/>
    <w:bookmarkStart w:id="54" w:name="MANUAL-sec5.5.1"/>
    <w:p>
      <w:pPr>
        <w:pStyle w:val="Heading3"/>
        <w:numPr>
          <w:ilvl w:val="2"/>
          <w:numId w:val="100"/>
        </w:numPr>
      </w:pPr>
      <w:r>
        <w:t xml:space="preserve">Type Inference</w:t>
      </w:r>
    </w:p>
    <w:p>
      <w:pPr>
        <w:pStyle w:val="FirstParagraph"/>
      </w:pPr>
      <w:r>
        <w:t xml:space="preserve">After a link is resolved, the inference algorithm scores it against all registered relation types using 4 unweighted dimensions. Each matching dimension adds +1 to the specificity score. A constraint mismatch eliminates the candidate entirely. The total score for a candidate is computed as:</w:t>
      </w:r>
    </w:p>
    <w:p>
      <w:pPr>
        <w:tabs>
          <w:tab w:pos="4680" w:val="center"/>
          <w:tab w:pos="9360" w:val="right"/>
        </w:tabs>
      </w:pPr>
      <w:r>
        <w:tab/>
      </w:r>
      <m:oMath xmlns:m="http://schemas.openxmlformats.org/officeDocument/2006/math" xmlns:w="http://schemas.openxmlformats.org/wordprocessingml/2006/main">
        <m:r>
          <m:t xml:space="preserve">S=</m:t>
        </m:r>
        <m:nary>
          <m:naryPr>
            <m:chr m:val="∑"/>
            <m:limLoc m:val="undOvr"/>
            <m:grow m:val="1"/>
            <m:subHide m:val="off"/>
            <m:supHide m:val="off"/>
          </m:naryPr>
          <m:sub>
            <m:r>
              <m:t xml:space="preserve">i=1</m:t>
            </m:r>
          </m:sub>
          <m:sup>
            <m:r>
              <m:t xml:space="preserve">4</m:t>
            </m:r>
          </m:sup>
          <m:e/>
        </m:nary>
        <m:sSub>
          <m:sSubPr>
            <m:ctrlPr/>
          </m:sSubPr>
          <m:e>
            <m:r>
              <m:t xml:space="preserve">d</m:t>
            </m:r>
          </m:e>
          <m:sub>
            <m:r>
              <m:t xml:space="preserve">i</m:t>
            </m:r>
          </m:sub>
        </m:sSub>
        <m:r>
          <m:t xml:space="preserve">,&amp;nbsp;&amp;nbsp;</m:t>
        </m:r>
        <m:sSub>
          <m:sSubPr>
            <m:ctrlPr/>
          </m:sSubPr>
          <m:e>
            <m:r>
              <m:t xml:space="preserve">d</m:t>
            </m:r>
          </m:e>
          <m:sub>
            <m:r>
              <m:t xml:space="preserve">i</m:t>
            </m:r>
          </m:sub>
        </m:sSub>
        <m:r>
          <m:t xml:space="preserve">∈</m:t>
        </m:r>
        <m:r>
          <m:t xml:space="preserve">{0,1}</m:t>
        </m:r>
      </m:oMath>
      <w:r>
        <w:tab/>
      </w:r>
      <w:bookmarkStart w:id="23201" w:name="math-eq-specificity"/>
      <w:r>
        <w:t>(</w:t>
      </w:r>
      <w:r>
        <w:fldChar w:fldCharType="begin"/>
      </w:r>
      <w:r>
        <w:instrText xml:space="preserve"> SEQ MATH \* ARABIC </w:instrText>
      </w:r>
      <w:r>
        <w:fldChar w:fldCharType="separate"/>
      </w:r>
      <w:r>
        <w:t>1</w:t>
      </w:r>
      <w:r>
        <w:fldChar w:fldCharType="end"/>
      </w:r>
      <w:r>
        <w:t>)</w:t>
      </w:r>
      <w:bookmarkEnd w:id="23201"/>
    </w:p>
    <w:p>
      <w:pPr>
        <w:pStyle w:val="BodyText"/>
      </w:pPr>
      <w:r>
        <w:t xml:space="preserve">The four dimensions (</w:t>
      </w:r>
      <m:oMath xmlns:m="http://schemas.openxmlformats.org/officeDocument/2006/math" xmlns:w="http://schemas.openxmlformats.org/wordprocessingml/2006/main">
        <m:sSub>
          <m:sSubPr>
            <m:ctrlPr/>
          </m:sSubPr>
          <m:e>
            <m:r>
              <m:t xml:space="preserve">d</m:t>
            </m:r>
          </m:e>
          <m:sub>
            <m:r>
              <m:t xml:space="preserve">1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 xmlns:m="http://schemas.openxmlformats.org/officeDocument/2006/math" xmlns:w="http://schemas.openxmlformats.org/wordprocessingml/2006/main">
        <m:sSub>
          <m:sSubPr>
            <m:ctrlPr/>
          </m:sSubPr>
          <m:e>
            <m:r>
              <m:t xml:space="preserve">d</m:t>
            </m:r>
          </m:e>
          <m:sub>
            <m:r>
              <m:t xml:space="preserve">4</m:t>
            </m:r>
          </m:sub>
        </m:sSub>
      </m:oMath>
      <w:r>
        <w:t xml:space="preserve">) correspond to selector, source attribute, source type, and target type as shown in</w:t>
      </w:r>
      <w:r>
        <w:t xml:space="preserve"> </w:t>
      </w:r>
      <w:hyperlink w:anchor="csv-tbl-inference-scoring">
        <w:r>
          <w:rPr>
            <w:rStyle w:val="Hyperlink"/>
          </w:rPr>
          <w:t xml:space="preserve">Table 8</w:t>
        </w:r>
      </w:hyperlink>
      <w:r>
        <w:t xml:space="preserve">:</w:t>
      </w:r>
    </w:p>
    <w:bookmarkStart w:id="55430" w:name="csv-tbl-inference-scoring"/>
    <w:p>
      <w:pPr>
        <w:pStyle w:val="Caption"/>
        <w:keepNext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>1</w:t>
      </w:r>
      <w:r>
        <w:fldChar w:fldCharType="end"/>
      </w:r>
      <w:r>
        <w:t xml:space="preserve"> :  Type inference scoring dimensions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pace="0" w:color="000000" w:sz="6"/>
          <w:left w:val="single" w:space="0" w:color="000000" w:sz="6"/>
          <w:bottom w:val="single" w:space="0" w:color="000000" w:sz="6"/>
          <w:right w:val="single" w:space="0" w:color="000000" w:sz="6"/>
          <w:insideH w:val="single" w:space="0" w:color="000000" w:sz="6"/>
          <w:insideV w:val="single" w:space="0" w:color="000000" w:sz="6"/>
        </w:tblBorders>
        <w:tblCellMar>
          <w:top w:type="dxa" w:w="57"/>
          <w:left w:type="dxa" w:w="108"/>
          <w:bottom w:type="dxa" w:w="57"/>
          <w:right w:type="dxa" w:w="108"/>
        </w:tblCellMar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8E8E8"/>
          </w:tcPr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b/>
              </w:rPr>
              <w:t xml:space="preserve">Dimension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center"/>
              <w:ind w:right="0" w:firstLine="0" w:left="0"/>
              <w:spacing w:lineRule="auto" w:after="40" w:line="240" w:before="40"/>
            </w:pPr>
            <w:r>
              <w:rPr>
                <w:b/>
              </w:rPr>
              <w:t xml:space="preserve">Match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b/>
              </w:rPr>
              <w:t xml:space="preserve">Constraint mismatch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center"/>
              <w:ind w:right="0" w:firstLine="0" w:left="0"/>
              <w:spacing w:lineRule="auto" w:after="40" w:line="240" w:before="40"/>
            </w:pPr>
            <w:r>
              <w:rPr>
                <w:b/>
              </w:rPr>
              <w:t xml:space="preserve">No constraint (NULL)</w:t>
            </w:r>
          </w:p>
        </w:tc>
      </w:tr>
      <w:tr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b/>
                <w:bCs/>
              </w:rPr>
              <w:t xml:space="preserve">Selector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@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#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@cite</w:t>
            </w:r>
            <w:r>
              <w:t xml:space="preserve">, etc.)</w:t>
            </w:r>
          </w:p>
        </w:tc>
        <w:tc>
          <w:tcPr/>
          <w:p>
            <w:pPr>
              <w:pStyle w:val="Compact"/>
              <w:jc w:val="center"/>
              <w:ind w:right="0" w:firstLine="0" w:left="0"/>
              <w:spacing w:lineRule="auto" w:after="40" w:line="240" w:before="40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Eliminated</w:t>
            </w:r>
          </w:p>
        </w:tc>
        <w:tc>
          <w:tcPr/>
          <w:p>
            <w:pPr>
              <w:pStyle w:val="Compact"/>
              <w:jc w:val="center"/>
              <w:ind w:right="0" w:firstLine="0" w:left="0"/>
              <w:spacing w:lineRule="auto" w:after="40" w:line="240" w:before="40"/>
            </w:pPr>
            <w:r>
              <w:t xml:space="preserve">+0</w:t>
            </w:r>
          </w:p>
        </w:tc>
      </w:tr>
      <w:tr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b/>
                <w:bCs/>
              </w:rPr>
              <w:t xml:space="preserve">Source attribute</w:t>
            </w:r>
          </w:p>
        </w:tc>
        <w:tc>
          <w:tcPr/>
          <w:p>
            <w:pPr>
              <w:pStyle w:val="Compact"/>
              <w:jc w:val="center"/>
              <w:ind w:right="0" w:firstLine="0" w:left="0"/>
              <w:spacing w:lineRule="auto" w:after="40" w:line="240" w:before="40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Eliminated</w:t>
            </w:r>
          </w:p>
        </w:tc>
        <w:tc>
          <w:tcPr/>
          <w:p>
            <w:pPr>
              <w:pStyle w:val="Compact"/>
              <w:jc w:val="center"/>
              <w:ind w:right="0" w:firstLine="0" w:left="0"/>
              <w:spacing w:lineRule="auto" w:after="40" w:line="240" w:before="40"/>
            </w:pPr>
            <w:r>
              <w:t xml:space="preserve">+0</w:t>
            </w:r>
          </w:p>
        </w:tc>
      </w:tr>
      <w:tr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b/>
                <w:bCs/>
              </w:rPr>
              <w:t xml:space="preserve">Source type</w:t>
            </w:r>
          </w:p>
        </w:tc>
        <w:tc>
          <w:tcPr/>
          <w:p>
            <w:pPr>
              <w:pStyle w:val="Compact"/>
              <w:jc w:val="center"/>
              <w:ind w:right="0" w:firstLine="0" w:left="0"/>
              <w:spacing w:lineRule="auto" w:after="40" w:line="240" w:before="40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Eliminated</w:t>
            </w:r>
          </w:p>
        </w:tc>
        <w:tc>
          <w:tcPr/>
          <w:p>
            <w:pPr>
              <w:pStyle w:val="Compact"/>
              <w:jc w:val="center"/>
              <w:ind w:right="0" w:firstLine="0" w:left="0"/>
              <w:spacing w:lineRule="auto" w:after="40" w:line="240" w:before="40"/>
            </w:pPr>
            <w:r>
              <w:t xml:space="preserve">+0</w:t>
            </w:r>
          </w:p>
        </w:tc>
      </w:tr>
      <w:tr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b/>
                <w:bCs/>
              </w:rPr>
              <w:t xml:space="preserve">Target type</w:t>
            </w:r>
          </w:p>
        </w:tc>
        <w:tc>
          <w:tcPr/>
          <w:p>
            <w:pPr>
              <w:pStyle w:val="Compact"/>
              <w:jc w:val="center"/>
              <w:ind w:right="0" w:firstLine="0" w:left="0"/>
              <w:spacing w:lineRule="auto" w:after="40" w:line="240" w:before="40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Eliminated</w:t>
            </w:r>
          </w:p>
        </w:tc>
        <w:tc>
          <w:tcPr/>
          <w:p>
            <w:pPr>
              <w:pStyle w:val="Compact"/>
              <w:jc w:val="center"/>
              <w:ind w:right="0" w:firstLine="0" w:left="0"/>
              <w:spacing w:lineRule="auto" w:after="40" w:line="240" w:before="40"/>
            </w:pPr>
            <w:r>
              <w:t xml:space="preserve">+0</w:t>
            </w:r>
          </w:p>
        </w:tc>
      </w:tr>
    </w:tbl>
    <w:bookmarkEnd w:id="55430"/>
    <w:p>
      <w:pPr>
        <w:pStyle w:val="BodyText"/>
      </w:pPr>
      <w:r>
        <w:t xml:space="preserve">The highest-scoring candidate wins. If two candidates tie, the relation is marked ambiguous. For example,</w:t>
      </w:r>
      <w:r>
        <w:t xml:space="preserve"> </w:t>
      </w:r>
      <w:r>
        <w:rPr>
          <w:rStyle w:val="VerbatimChar"/>
        </w:rPr>
        <w:t xml:space="preserve">[fig:diagram](#)</w:t>
      </w:r>
      <w:r>
        <w:t xml:space="preserve"> </w:t>
      </w:r>
      <w:r>
        <w:t xml:space="preserve">resolving to a FIGURE float will match XREF_FIGURE (selector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+ target type FIGURE = specificity</w:t>
      </w:r>
      <w:r>
        <w:t xml:space="preserve"> </w:t>
      </w:r>
      <m:oMath xmlns:m="http://schemas.openxmlformats.org/officeDocument/2006/math" xmlns:w="http://schemas.openxmlformats.org/wordprocessingml/2006/main">
        <m:r>
          <m:t xml:space="preserve">S=2</m:t>
        </m:r>
      </m:oMath>
      <w:r>
        <w:t xml:space="preserve">) over the generic xref base (selector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only = specificity</w:t>
      </w:r>
      <w:r>
        <w:t xml:space="preserve"> </w:t>
      </w:r>
      <m:oMath xmlns:m="http://schemas.openxmlformats.org/officeDocument/2006/math" xmlns:w="http://schemas.openxmlformats.org/wordprocessingml/2006/main">
        <m:r>
          <m:t xml:space="preserve">S=1</m:t>
        </m:r>
      </m:oMath>
      <w:r>
        <w:t xml:space="preserve">).</w:t>
      </w:r>
    </w:p>
    <w:bookmarkEnd w:id="54"/>
    <w:bookmarkEnd w:id="55"/>
    <w:bookmarkStart w:id="56" w:name="MANUAL-sec5.6"/>
    <w:p>
      <w:pPr>
        <w:pStyle w:val="Heading2"/>
        <w:numPr>
          <w:ilvl w:val="1"/>
          <w:numId w:val="100"/>
        </w:numPr>
      </w:pPr>
      <w:r>
        <w:t xml:space="preserve">Views</w:t>
      </w:r>
    </w:p>
    <w:p>
      <w:pPr>
        <w:pStyle w:val="FirstParagraph"/>
      </w:pPr>
      <w:r>
        <w:t xml:space="preserve">Inline code with a specific prefix declares view placeholders:</w:t>
      </w:r>
    </w:p>
    <w:bookmarkStart w:id="69768" w:name="listing-src-inline-view"/>
    <w:p>
      <w:pPr>
        <w:pStyle w:val="Caption"/>
        <w:keepNext/>
      </w:pPr>
      <w:r>
        <w:t xml:space="preserve">Listing </w:t>
      </w:r>
      <w:r>
        <w:fldChar w:fldCharType="begin"/>
      </w:r>
      <w:r>
        <w:instrText xml:space="preserve"> SEQ LISTING \* ARABIC </w:instrText>
      </w:r>
      <w:r>
        <w:fldChar w:fldCharType="separate"/>
      </w:r>
      <w:r>
        <w:t>1</w:t>
      </w:r>
      <w:r>
        <w:fldChar w:fldCharType="end"/>
      </w:r>
      <w:r>
        <w:t xml:space="preserve"> :  Inline view placeholder</w:t>
      </w:r>
    </w:p>
    <w:p>
      <w:pPr>
        <w:pStyle w:val="SourceCode"/>
      </w:pPr>
      <w:r>
        <w:rPr>
          <w:rStyle w:val="InformationTok"/>
        </w:rPr>
        <w:t xml:space="preserve">`toc:`</w:t>
      </w:r>
    </w:p>
    <w:bookmarkEnd w:id="69768"/>
    <w:p>
      <w:pPr>
        <w:pStyle w:val="FirstParagraph"/>
      </w:pPr>
      <w:r>
        <w:t xml:space="preserve">Default model view types:</w:t>
      </w:r>
    </w:p>
    <w:bookmarkStart w:id="16648" w:name="csv-tbl-view-types"/>
    <w:p>
      <w:pPr>
        <w:pStyle w:val="Caption"/>
        <w:keepNext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>1</w:t>
      </w:r>
      <w:r>
        <w:fldChar w:fldCharType="end"/>
      </w:r>
      <w:r>
        <w:t xml:space="preserve"> :  Default view types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pace="0" w:color="000000" w:sz="6"/>
          <w:left w:val="single" w:space="0" w:color="000000" w:sz="6"/>
          <w:bottom w:val="single" w:space="0" w:color="000000" w:sz="6"/>
          <w:right w:val="single" w:space="0" w:color="000000" w:sz="6"/>
          <w:insideH w:val="single" w:space="0" w:color="000000" w:sz="6"/>
          <w:insideV w:val="single" w:space="0" w:color="000000" w:sz="6"/>
        </w:tblBorders>
        <w:tblCellMar>
          <w:top w:type="dxa" w:w="57"/>
          <w:left w:type="dxa" w:w="108"/>
          <w:bottom w:type="dxa" w:w="57"/>
          <w:right w:type="dxa" w:w="108"/>
        </w:tblCellMar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8E8E8"/>
          </w:tcPr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b/>
              </w:rPr>
              <w:t xml:space="preserve">Type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b/>
              </w:rPr>
              <w:t xml:space="preserve">Aliases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b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rStyle w:val="VerbatimChar"/>
              </w:rPr>
              <w:t xml:space="preserve">toc</w:t>
            </w:r>
            <w:r>
              <w:t xml:space="preserve"> </w:t>
            </w:r>
            <w:r>
              <w:t xml:space="preserve">- —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Table of Contents (TOC) from spec object headings</w:t>
            </w:r>
          </w:p>
        </w:tc>
      </w:tr>
      <w:tr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rStyle w:val="VerbatimChar"/>
              </w:rPr>
              <w:t xml:space="preserve">lof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rStyle w:val="VerbatimChar"/>
              </w:rPr>
              <w:t xml:space="preserve">lot</w:t>
            </w:r>
          </w:p>
        </w:tc>
      </w:tr>
      <w:tr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rStyle w:val="VerbatimChar"/>
              </w:rPr>
              <w:t xml:space="preserve">abbrev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rStyle w:val="VerbatimChar"/>
              </w:rPr>
              <w:t xml:space="preserve">sigla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acronym</w:t>
            </w:r>
          </w:p>
        </w:tc>
      </w:tr>
      <w:tr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rStyle w:val="VerbatimChar"/>
              </w:rPr>
              <w:t xml:space="preserve">abbrev_list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rStyle w:val="VerbatimChar"/>
              </w:rPr>
              <w:t xml:space="preserve">sigla_list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acronym_list</w:t>
            </w:r>
          </w:p>
        </w:tc>
      </w:tr>
      <w:tr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rStyle w:val="VerbatimChar"/>
              </w:rPr>
              <w:t xml:space="preserve">math_inline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rStyle w:val="VerbatimChar"/>
              </w:rPr>
              <w:t xml:space="preserve">eq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formula</w:t>
            </w:r>
          </w:p>
        </w:tc>
      </w:tr>
      <w:tr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rStyle w:val="VerbatimChar"/>
              </w:rPr>
              <w:t xml:space="preserve">gauss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rStyle w:val="VerbatimChar"/>
              </w:rPr>
              <w:t xml:space="preserve">gaussian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normal</w:t>
            </w:r>
          </w:p>
        </w:tc>
      </w:tr>
    </w:tbl>
    <w:bookmarkEnd w:id="16648"/>
    <w:bookmarkEnd w:id="56"/>
    <w:bookmarkStart w:id="57" w:name="MANUAL-sec5.7"/>
    <w:p>
      <w:pPr>
        <w:pStyle w:val="Heading2"/>
        <w:numPr>
          <w:ilvl w:val="1"/>
          <w:numId w:val="100"/>
        </w:numPr>
      </w:pPr>
      <w:r>
        <w:t xml:space="preserve">Body Content</w:t>
      </w:r>
    </w:p>
    <w:p>
      <w:pPr>
        <w:pStyle w:val="FirstParagraph"/>
      </w:pPr>
      <w:r>
        <w:t xml:space="preserve">Prose paragraphs, lists, and tables between headers accumulate to the most recently opened Specification or Spec Object.</w:t>
      </w:r>
    </w:p>
    <w:bookmarkEnd w:id="57"/>
    <w:bookmarkStart w:id="58" w:name="MANUAL-sec5.8"/>
    <w:p>
      <w:pPr>
        <w:pStyle w:val="Heading2"/>
        <w:numPr>
          <w:ilvl w:val="1"/>
          <w:numId w:val="100"/>
        </w:numPr>
      </w:pPr>
      <w:r>
        <w:t xml:space="preserve">File Includes</w:t>
      </w:r>
    </w:p>
    <w:p>
      <w:pPr>
        <w:pStyle w:val="FirstParagraph"/>
      </w:pPr>
      <w:r>
        <w:t xml:space="preserve">Split large documents into multiple files using fenced code blocks with the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class:</w:t>
      </w:r>
    </w:p>
    <w:bookmarkStart w:id="44202" w:name="listing-src-file-include"/>
    <w:p>
      <w:pPr>
        <w:pStyle w:val="Caption"/>
        <w:keepNext/>
      </w:pPr>
      <w:r>
        <w:t xml:space="preserve">Listing </w:t>
      </w:r>
      <w:r>
        <w:fldChar w:fldCharType="begin"/>
      </w:r>
      <w:r>
        <w:instrText xml:space="preserve"> SEQ LISTING \* ARABIC </w:instrText>
      </w:r>
      <w:r>
        <w:fldChar w:fldCharType="separate"/>
      </w:r>
      <w:r>
        <w:t>1</w:t>
      </w:r>
      <w:r>
        <w:fldChar w:fldCharType="end"/>
      </w:r>
      <w:r>
        <w:t xml:space="preserve"> :  Include directive syntax</w:t>
      </w:r>
    </w:p>
    <w:p>
      <w:pPr>
        <w:pStyle w:val="SourceCode"/>
      </w:pPr>
      <w:r>
        <w:rPr>
          <w:rStyle w:val="InformationTok"/>
        </w:rPr>
        <w:t xml:space="preserve">```include</w:t>
      </w:r>
      <w:r>
        <w:br/>
      </w:r>
      <w:r>
        <w:rPr>
          <w:rStyle w:val="InformationTok"/>
        </w:rPr>
        <w:t xml:space="preserve">path/to/chapter1.md</w:t>
      </w:r>
      <w:r>
        <w:br/>
      </w:r>
      <w:r>
        <w:rPr>
          <w:rStyle w:val="InformationTok"/>
        </w:rPr>
        <w:t xml:space="preserve">path/to/chapter2.md</w:t>
      </w:r>
      <w:r>
        <w:br/>
      </w:r>
      <w:r>
        <w:rPr>
          <w:rStyle w:val="InformationTok"/>
        </w:rPr>
        <w:t xml:space="preserve">```</w:t>
      </w:r>
    </w:p>
    <w:bookmarkEnd w:id="44202"/>
    <w:p>
      <w:pPr>
        <w:pStyle w:val="FirstParagraph"/>
      </w:pPr>
      <w:r>
        <w:t xml:space="preserve">Each line is a file path relative to the including document’s directory. Absolute paths are also supported. Lines starting with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are treated as comments and ignored.</w:t>
      </w:r>
    </w:p>
    <w:p>
      <w:pPr>
        <w:pStyle w:val="BodyText"/>
      </w:pPr>
      <w:r>
        <w:t xml:space="preserve">Include blocks are expanded recursively before the pipeline runs. Circular includes are detected and produce an error. The maximum nesting depth is 100 levels.</w:t>
      </w:r>
    </w:p>
    <w:p>
      <w:pPr>
        <w:pStyle w:val="BodyText"/>
      </w:pPr>
      <w:r>
        <w:t xml:space="preserve">Included files are tracked in the build graph for incremental builds – a change to any included file triggers a rebuild.</w:t>
      </w:r>
    </w:p>
    <w:bookmarkEnd w:id="58"/>
    <w:bookmarkEnd w:id="59"/>
    <w:bookmarkStart w:id="90" w:name="MANUAL-sec6"/>
    <w:p>
      <w:pPr>
        <w:pStyle w:val="Heading1"/>
        <w:numPr>
          <w:ilvl w:val="0"/>
          <w:numId w:val="100"/>
        </w:numPr>
      </w:pPr>
      <w:r>
        <w:t xml:space="preserve">Using the Default Model</w:t>
      </w:r>
    </w:p>
    <w:bookmarkStart w:id="60" w:name="MANUAL-sec6.1"/>
    <w:p>
      <w:pPr>
        <w:pStyle w:val="Heading2"/>
        <w:numPr>
          <w:ilvl w:val="1"/>
          <w:numId w:val="100"/>
        </w:numPr>
      </w:pPr>
      <w:r>
        <w:t xml:space="preserve">Rationale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model ships a complete document authoring toolkit so that authors can write structured technical documents without defining custom types. It provides: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Numbered floats</w:t>
      </w:r>
      <w:r>
        <w:t xml:space="preserve"> </w:t>
      </w:r>
      <w:r>
        <w:t xml:space="preserve">– figures, tables, code listings, math equations, PlantUML diagrams, and ECharts charts, each with automatic numbering and captions.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Typed cross-references</w:t>
      </w:r>
      <w:r>
        <w:t xml:space="preserve"> </w:t>
      </w:r>
      <w:r>
        <w:t xml:space="preserve">– relation types that resolve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links to specific float and object categories, enabling the pipeline to render appropriate display text (for example,</w:t>
      </w:r>
      <w:r>
        <w:t xml:space="preserve"> </w:t>
      </w:r>
      <w:r>
        <w:t xml:space="preserve">“Figure 3”</w:t>
      </w:r>
      <w:r>
        <w:t xml:space="preserve"> </w:t>
      </w:r>
      <w:r>
        <w:t xml:space="preserve">or</w:t>
      </w:r>
      <w:r>
        <w:t xml:space="preserve"> </w:t>
      </w:r>
      <w:r>
        <w:t xml:space="preserve">“Table 1”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Bibliography citations</w:t>
      </w:r>
      <w:r>
        <w:t xml:space="preserve"> </w:t>
      </w:r>
      <w:r>
        <w:t xml:space="preserve">– integration with Pandoc’s citeproc for parenthetical and in-text citation rendering from BibTeX files.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Content views</w:t>
      </w:r>
      <w:r>
        <w:t xml:space="preserve"> </w:t>
      </w:r>
      <w:r>
        <w:t xml:space="preserve">– generated content blocks such as TOC, list of figures, abbreviation tables, and inline math.</w:t>
      </w:r>
    </w:p>
    <w:p>
      <w:pPr>
        <w:pStyle w:val="FirstParagraph"/>
      </w:pPr>
      <w:r>
        <w:t xml:space="preserve">The following subsections demonstrate these features with live floats and cross-references. Every float, view, and link shown below is processed by SpecCompiler when this manual is built.</w:t>
      </w:r>
    </w:p>
    <w:bookmarkEnd w:id="60"/>
    <w:bookmarkStart w:id="73" w:name="MANUAL-sec6.2"/>
    <w:p>
      <w:pPr>
        <w:pStyle w:val="Heading2"/>
        <w:numPr>
          <w:ilvl w:val="1"/>
          <w:numId w:val="100"/>
        </w:numPr>
      </w:pPr>
      <w:r>
        <w:t xml:space="preserve">Floats in Practice</w:t>
      </w:r>
    </w:p>
    <w:p>
      <w:pPr>
        <w:pStyle w:val="FirstParagraph"/>
      </w:pPr>
      <w:r>
        <w:t xml:space="preserve">A SpecCompiler document can use all default float types. Each float has a type prefix, a label for cross-referencing, and a caption. The examples below are live – they are rendered when this manual is processed.</w:t>
      </w:r>
    </w:p>
    <w:bookmarkStart w:id="64" w:name="MANUAL-sec6.2.1"/>
    <w:p>
      <w:pPr>
        <w:pStyle w:val="Heading3"/>
        <w:numPr>
          <w:ilvl w:val="2"/>
          <w:numId w:val="100"/>
        </w:numPr>
      </w:pPr>
      <w:r>
        <w:t xml:space="preserve">Architecture Diagram (PlantUML)</w:t>
      </w:r>
    </w:p>
    <w:bookmarkStart w:id="2748" w:name="puml-diag-layers"/>
    <w:p>
      <w:pPr>
        <w:pStyle w:val="Caption"/>
        <w:keepNext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1</w:t>
      </w:r>
      <w:r>
        <w:fldChar w:fldCharType="end"/>
      </w:r>
      <w:r>
        <w:t xml:space="preserve"> – Layered Architecture</w:t>
      </w:r>
    </w:p>
    <w:p>
      <w:pPr>
        <w:pStyle w:val="FirstParagraph"/>
        <w:jc w:val="center"/>
      </w:pPr>
      <w:r>
        <w:drawing>
          <wp:inline>
            <wp:extent cx="4305300" cy="4457700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diagrams/ccaf214c9ff1f7a80a1494cd48152d222dd8ac4a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4457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48"/>
    <w:bookmarkEnd w:id="64"/>
    <w:bookmarkStart w:id="65" w:name="MANUAL-sec6.2.2"/>
    <w:p>
      <w:pPr>
        <w:pStyle w:val="Heading3"/>
        <w:numPr>
          <w:ilvl w:val="2"/>
          <w:numId w:val="100"/>
        </w:numPr>
      </w:pPr>
      <w:r>
        <w:t xml:space="preserve">Component Table (list-table)</w:t>
      </w:r>
    </w:p>
    <w:bookmarkStart w:id="61229" w:name="csv-tbl-components"/>
    <w:p>
      <w:pPr>
        <w:pStyle w:val="Caption"/>
        <w:keepNext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>1</w:t>
      </w:r>
      <w:r>
        <w:fldChar w:fldCharType="end"/>
      </w:r>
      <w:r>
        <w:t xml:space="preserve"> :  System Components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pace="0" w:color="000000" w:sz="6"/>
          <w:left w:val="single" w:space="0" w:color="000000" w:sz="6"/>
          <w:bottom w:val="single" w:space="0" w:color="000000" w:sz="6"/>
          <w:right w:val="single" w:space="0" w:color="000000" w:sz="6"/>
          <w:insideH w:val="single" w:space="0" w:color="000000" w:sz="6"/>
          <w:insideV w:val="single" w:space="0" w:color="000000" w:sz="6"/>
        </w:tblBorders>
        <w:tblCellMar>
          <w:top w:type="dxa" w:w="57"/>
          <w:left w:type="dxa" w:w="108"/>
          <w:bottom w:type="dxa" w:w="57"/>
          <w:right w:type="dxa" w:w="108"/>
        </w:tblCellMar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8E8E8"/>
          </w:tcPr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b/>
              </w:rPr>
              <w:t xml:space="preserve">Component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b/>
              </w:rPr>
              <w:t xml:space="preserve">Layer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b/>
              </w:rPr>
              <w:t xml:space="preserve">Technology</w:t>
            </w:r>
          </w:p>
        </w:tc>
      </w:tr>
      <w:tr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Web UI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Presentation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React</w:t>
            </w:r>
          </w:p>
        </w:tc>
      </w:tr>
      <w:tr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Auth Service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Business Logic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Node.js</w:t>
            </w:r>
          </w:p>
        </w:tc>
      </w:tr>
      <w:tr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Data Service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Business Logic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Python</w:t>
            </w:r>
          </w:p>
        </w:tc>
      </w:tr>
      <w:tr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Persistence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PostgreSQL</w:t>
            </w:r>
          </w:p>
        </w:tc>
      </w:tr>
    </w:tbl>
    <w:bookmarkEnd w:id="61229"/>
    <w:bookmarkEnd w:id="65"/>
    <w:bookmarkStart w:id="66" w:name="MANUAL-sec6.2.3"/>
    <w:p>
      <w:pPr>
        <w:pStyle w:val="Heading3"/>
        <w:numPr>
          <w:ilvl w:val="2"/>
          <w:numId w:val="100"/>
        </w:numPr>
      </w:pPr>
      <w:r>
        <w:t xml:space="preserve">Performance Metrics (CSV)</w:t>
      </w:r>
    </w:p>
    <w:bookmarkStart w:id="70414" w:name="csv-tbl-metrics"/>
    <w:p>
      <w:pPr>
        <w:pStyle w:val="Caption"/>
        <w:keepNext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>1</w:t>
      </w:r>
      <w:r>
        <w:fldChar w:fldCharType="end"/>
      </w:r>
      <w:r>
        <w:t xml:space="preserve"> :  Performance Metrics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pace="0" w:color="000000" w:sz="6"/>
          <w:left w:val="single" w:space="0" w:color="000000" w:sz="6"/>
          <w:bottom w:val="single" w:space="0" w:color="000000" w:sz="6"/>
          <w:right w:val="single" w:space="0" w:color="000000" w:sz="6"/>
          <w:insideH w:val="single" w:space="0" w:color="000000" w:sz="6"/>
          <w:insideV w:val="single" w:space="0" w:color="000000" w:sz="6"/>
        </w:tblBorders>
        <w:tblCellMar>
          <w:top w:type="dxa" w:w="57"/>
          <w:left w:type="dxa" w:w="108"/>
          <w:bottom w:type="dxa" w:w="57"/>
          <w:right w:type="dxa" w:w="108"/>
        </w:tblCellMar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8E8E8"/>
          </w:tcPr>
          <w:p>
            <w:pPr>
              <w:pStyle w:val="Compact"/>
              <w:ind w:right="0" w:firstLine="0" w:left="0"/>
              <w:spacing w:lineRule="auto" w:after="40" w:line="240" w:before="40"/>
            </w:pPr>
            <w:r>
              <w:rPr>
                <w:b/>
              </w:rPr>
              <w:t xml:space="preserve">Metric</w:t>
            </w:r>
          </w:p>
        </w:tc>
        <w:tc>
          <w:tcPr>
            <w:shd w:val="clear" w:color="auto" w:fill="E8E8E8"/>
          </w:tcPr>
          <w:p>
            <w:pPr>
              <w:pStyle w:val="Compact"/>
              <w:ind w:right="0" w:firstLine="0" w:left="0"/>
              <w:spacing w:lineRule="auto" w:after="40" w:line="240" w:before="40"/>
            </w:pPr>
            <w:r>
              <w:rPr>
                <w:b/>
              </w:rPr>
              <w:t xml:space="preserve">Target</w:t>
            </w:r>
          </w:p>
        </w:tc>
        <w:tc>
          <w:tcPr>
            <w:shd w:val="clear" w:color="auto" w:fill="E8E8E8"/>
          </w:tcPr>
          <w:p>
            <w:pPr>
              <w:pStyle w:val="Compact"/>
              <w:ind w:right="0" w:firstLine="0" w:left="0"/>
              <w:spacing w:lineRule="auto" w:after="40" w:line="240" w:before="40"/>
            </w:pPr>
            <w:r>
              <w:rPr>
                <w:b/>
              </w:rPr>
              <w:t xml:space="preserve">Actual</w:t>
            </w:r>
          </w:p>
        </w:tc>
        <w:tc>
          <w:tcPr>
            <w:shd w:val="clear" w:color="auto" w:fill="E8E8E8"/>
          </w:tcPr>
          <w:p>
            <w:pPr>
              <w:pStyle w:val="Compact"/>
              <w:ind w:right="0" w:firstLine="0" w:left="0"/>
              <w:spacing w:lineRule="auto" w:after="40" w:line="240" w:before="40"/>
            </w:pPr>
            <w:r>
              <w:rPr>
                <w:b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ind w:right="0" w:firstLine="0" w:left="0"/>
              <w:spacing w:lineRule="auto" w:after="40" w:line="240" w:before="40"/>
            </w:pPr>
            <w:r>
              <w:t xml:space="preserve">Response time (ms)</w:t>
            </w:r>
          </w:p>
        </w:tc>
        <w:tc>
          <w:tcPr/>
          <w:p>
            <w:pPr>
              <w:pStyle w:val="Compact"/>
              <w:ind w:right="0" w:firstLine="0" w:left="0"/>
              <w:spacing w:lineRule="auto" w:after="40" w:line="240" w:before="40"/>
            </w:pPr>
            <w:r>
              <w:t xml:space="preserve">200</w:t>
            </w:r>
          </w:p>
        </w:tc>
        <w:tc>
          <w:tcPr/>
          <w:p>
            <w:pPr>
              <w:pStyle w:val="Compact"/>
              <w:ind w:right="0" w:firstLine="0" w:left="0"/>
              <w:spacing w:lineRule="auto" w:after="40" w:line="240" w:before="40"/>
            </w:pPr>
            <w:r>
              <w:t xml:space="preserve">185</w:t>
            </w:r>
          </w:p>
        </w:tc>
        <w:tc>
          <w:tcPr/>
          <w:p>
            <w:pPr>
              <w:pStyle w:val="Compact"/>
              <w:ind w:right="0" w:firstLine="0" w:left="0"/>
              <w:spacing w:lineRule="auto" w:after="40" w:line="240" w:before="40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ind w:right="0" w:firstLine="0" w:left="0"/>
              <w:spacing w:lineRule="auto" w:after="40" w:line="240" w:before="40"/>
            </w:pPr>
            <w:r>
              <w:t xml:space="preserve">Throughput (req/s)</w:t>
            </w:r>
          </w:p>
        </w:tc>
        <w:tc>
          <w:tcPr/>
          <w:p>
            <w:pPr>
              <w:pStyle w:val="Compact"/>
              <w:ind w:right="0" w:firstLine="0" w:left="0"/>
              <w:spacing w:lineRule="auto" w:after="40" w:line="240" w:before="40"/>
            </w:pPr>
            <w:r>
              <w:t xml:space="preserve">1000</w:t>
            </w:r>
          </w:p>
        </w:tc>
        <w:tc>
          <w:tcPr/>
          <w:p>
            <w:pPr>
              <w:pStyle w:val="Compact"/>
              <w:ind w:right="0" w:firstLine="0" w:left="0"/>
              <w:spacing w:lineRule="auto" w:after="40" w:line="240" w:before="40"/>
            </w:pPr>
            <w:r>
              <w:t xml:space="preserve">1120</w:t>
            </w:r>
          </w:p>
        </w:tc>
        <w:tc>
          <w:tcPr/>
          <w:p>
            <w:pPr>
              <w:pStyle w:val="Compact"/>
              <w:ind w:right="0" w:firstLine="0" w:left="0"/>
              <w:spacing w:lineRule="auto" w:after="40" w:line="240" w:before="40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ind w:right="0" w:firstLine="0" w:left="0"/>
              <w:spacing w:lineRule="auto" w:after="40" w:line="240" w:before="40"/>
            </w:pPr>
            <w:r>
              <w:t xml:space="preserve">Error rate (%)</w:t>
            </w:r>
          </w:p>
        </w:tc>
        <w:tc>
          <w:tcPr/>
          <w:p>
            <w:pPr>
              <w:pStyle w:val="Compact"/>
              <w:ind w:right="0" w:firstLine="0" w:left="0"/>
              <w:spacing w:lineRule="auto" w:after="40" w:line="240" w:before="40"/>
            </w:pPr>
            <w:r>
              <w:t xml:space="preserve">1.0</w:t>
            </w:r>
          </w:p>
        </w:tc>
        <w:tc>
          <w:tcPr/>
          <w:p>
            <w:pPr>
              <w:pStyle w:val="Compact"/>
              <w:ind w:right="0" w:firstLine="0" w:left="0"/>
              <w:spacing w:lineRule="auto" w:after="40" w:line="240" w:before="40"/>
            </w:pPr>
            <w:r>
              <w:t xml:space="preserve">0.3</w:t>
            </w:r>
          </w:p>
        </w:tc>
        <w:tc>
          <w:tcPr/>
          <w:p>
            <w:pPr>
              <w:pStyle w:val="Compact"/>
              <w:ind w:right="0" w:firstLine="0" w:left="0"/>
              <w:spacing w:lineRule="auto" w:after="40" w:line="240" w:before="40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ind w:right="0" w:firstLine="0" w:left="0"/>
              <w:spacing w:lineRule="auto" w:after="40" w:line="240" w:before="40"/>
            </w:pPr>
            <w:r>
              <w:t xml:space="preserve">Memory usage (MB)</w:t>
            </w:r>
          </w:p>
        </w:tc>
        <w:tc>
          <w:tcPr/>
          <w:p>
            <w:pPr>
              <w:pStyle w:val="Compact"/>
              <w:ind w:right="0" w:firstLine="0" w:left="0"/>
              <w:spacing w:lineRule="auto" w:after="40" w:line="240" w:before="40"/>
            </w:pPr>
            <w:r>
              <w:t xml:space="preserve">512</w:t>
            </w:r>
          </w:p>
        </w:tc>
        <w:tc>
          <w:tcPr/>
          <w:p>
            <w:pPr>
              <w:pStyle w:val="Compact"/>
              <w:ind w:right="0" w:firstLine="0" w:left="0"/>
              <w:spacing w:lineRule="auto" w:after="40" w:line="240" w:before="40"/>
            </w:pPr>
            <w:r>
              <w:t xml:space="preserve">487</w:t>
            </w:r>
          </w:p>
        </w:tc>
        <w:tc>
          <w:tcPr/>
          <w:p>
            <w:pPr>
              <w:pStyle w:val="Compact"/>
              <w:ind w:right="0" w:firstLine="0" w:left="0"/>
              <w:spacing w:lineRule="auto" w:after="40" w:line="240" w:before="40"/>
            </w:pPr>
            <w:r>
              <w:t xml:space="preserve">Pass</w:t>
            </w:r>
          </w:p>
        </w:tc>
      </w:tr>
    </w:tbl>
    <w:bookmarkEnd w:id="70414"/>
    <w:bookmarkEnd w:id="66"/>
    <w:bookmarkStart w:id="67" w:name="MANUAL-sec6.2.4"/>
    <w:p>
      <w:pPr>
        <w:pStyle w:val="Heading3"/>
        <w:numPr>
          <w:ilvl w:val="2"/>
          <w:numId w:val="100"/>
        </w:numPr>
      </w:pPr>
      <w:r>
        <w:t xml:space="preserve">Initialization Code (Listing)</w:t>
      </w:r>
    </w:p>
    <w:bookmarkStart w:id="92378" w:name="listing-lst-init"/>
    <w:p>
      <w:pPr>
        <w:pStyle w:val="Caption"/>
        <w:keepNext/>
      </w:pPr>
      <w:r>
        <w:t xml:space="preserve">Listing </w:t>
      </w:r>
      <w:r>
        <w:fldChar w:fldCharType="begin"/>
      </w:r>
      <w:r>
        <w:instrText xml:space="preserve"> SEQ LISTING \* ARABIC </w:instrText>
      </w:r>
      <w:r>
        <w:fldChar w:fldCharType="separate"/>
      </w:r>
      <w:r>
        <w:t>1</w:t>
      </w:r>
      <w:r>
        <w:fldChar w:fldCharType="end"/>
      </w:r>
      <w:r>
        <w:t xml:space="preserve"> :  Service Initialization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initialize(config):</w:t>
      </w:r>
      <w:r>
        <w:br/>
      </w:r>
      <w:r>
        <w:rPr>
          <w:rStyle w:val="NormalTok"/>
        </w:rPr>
        <w:t xml:space="preserve">   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(config.db_url)</w:t>
      </w:r>
      <w:r>
        <w:br/>
      </w:r>
      <w:r>
        <w:rPr>
          <w:rStyle w:val="NormalTok"/>
        </w:rPr>
        <w:t xml:space="preserve">    auth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AuthService(db)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Application(auth, db)</w:t>
      </w:r>
    </w:p>
    <w:bookmarkEnd w:id="92378"/>
    <w:bookmarkEnd w:id="67"/>
    <w:bookmarkStart w:id="68" w:name="MANUAL-sec6.2.5"/>
    <w:p>
      <w:pPr>
        <w:pStyle w:val="Heading3"/>
        <w:numPr>
          <w:ilvl w:val="2"/>
          <w:numId w:val="100"/>
        </w:numPr>
      </w:pPr>
      <w:r>
        <w:t xml:space="preserve">Latency Model (Math)</w:t>
      </w:r>
    </w:p>
    <w:p>
      <w:pPr>
        <w:tabs>
          <w:tab w:pos="4680" w:val="center"/>
          <w:tab w:pos="9360" w:val="right"/>
        </w:tabs>
      </w:pPr>
      <w:r>
        <w:tab/>
      </w:r>
      <m:oMath xmlns:m="http://schemas.openxmlformats.org/officeDocument/2006/math" xmlns:w="http://schemas.openxmlformats.org/wordprocessingml/2006/main">
        <m:r>
          <m:t xml:space="preserve">L=</m:t>
        </m:r>
        <m:sSub>
          <m:sSubPr>
            <m:ctrlPr/>
          </m:sSubPr>
          <m:e>
            <m:r>
              <m:t xml:space="preserve">T</m:t>
            </m:r>
          </m:e>
          <m:sub>
            <m:r>
              <m:t xml:space="preserve">≠twork</m:t>
            </m:r>
          </m:sub>
        </m:sSub>
        <m:r>
          <m:t xml:space="preserve">+</m:t>
        </m:r>
        <m:sSub>
          <m:sSubPr>
            <m:ctrlPr/>
          </m:sSubPr>
          <m:e>
            <m:r>
              <m:t xml:space="preserve">T</m:t>
            </m:r>
          </m:e>
          <m:sub>
            <m:r>
              <m:t xml:space="preserve">processing</m:t>
            </m:r>
          </m:sub>
        </m:sSub>
        <m:r>
          <m:t xml:space="preserve">+</m:t>
        </m:r>
        <m:sSub>
          <m:sSubPr>
            <m:ctrlPr/>
          </m:sSubPr>
          <m:e>
            <m:r>
              <m:t xml:space="preserve">T</m:t>
            </m:r>
          </m:e>
          <m:sub>
            <m:r>
              <m:t xml:space="preserve">db</m:t>
            </m:r>
          </m:sub>
        </m:sSub>
      </m:oMath>
      <w:r>
        <w:tab/>
      </w:r>
      <w:bookmarkStart w:id="22083" w:name="math-eq-latency"/>
      <w:r>
        <w:t>(</w:t>
      </w:r>
      <w:r>
        <w:fldChar w:fldCharType="begin"/>
      </w:r>
      <w:r>
        <w:instrText xml:space="preserve"> SEQ MATH \* ARABIC </w:instrText>
      </w:r>
      <w:r>
        <w:fldChar w:fldCharType="separate"/>
      </w:r>
      <w:r>
        <w:t>2</w:t>
      </w:r>
      <w:r>
        <w:fldChar w:fldCharType="end"/>
      </w:r>
      <w:r>
        <w:t>)</w:t>
      </w:r>
      <w:bookmarkEnd w:id="22083"/>
    </w:p>
    <w:bookmarkEnd w:id="68"/>
    <w:bookmarkStart w:id="72" w:name="MANUAL-sec6.2.6"/>
    <w:p>
      <w:pPr>
        <w:pStyle w:val="Heading3"/>
        <w:numPr>
          <w:ilvl w:val="2"/>
          <w:numId w:val="100"/>
        </w:numPr>
      </w:pPr>
      <w:r>
        <w:t xml:space="preserve">Throughput Chart (ECharts)</w:t>
      </w:r>
    </w:p>
    <w:bookmarkStart w:id="35981" w:name="echarts-chart-throughput"/>
    <w:p>
      <w:pPr>
        <w:pStyle w:val="Caption"/>
        <w:keepNext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1</w:t>
      </w:r>
      <w:r>
        <w:fldChar w:fldCharType="end"/>
      </w:r>
      <w:r>
        <w:t xml:space="preserve"> – Throughput by Module</w:t>
      </w:r>
    </w:p>
    <w:p>
      <w:pPr>
        <w:pStyle w:val="FirstParagraph"/>
        <w:jc w:val="center"/>
      </w:pPr>
      <w:r>
        <w:drawing>
          <wp:inline>
            <wp:extent cx="5334000" cy="3556000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charts/1fb101eb15ee05554a4e2804a92932285d31e452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5981"/>
    <w:bookmarkEnd w:id="72"/>
    <w:bookmarkEnd w:id="73"/>
    <w:bookmarkStart w:id="75" w:name="MANUAL-sec6.3"/>
    <w:p>
      <w:pPr>
        <w:pStyle w:val="Heading2"/>
        <w:numPr>
          <w:ilvl w:val="1"/>
          <w:numId w:val="100"/>
        </w:numPr>
      </w:pPr>
      <w:r>
        <w:t xml:space="preserve">Cross-References</w:t>
      </w:r>
    </w:p>
    <w:p>
      <w:pPr>
        <w:pStyle w:val="FirstParagraph"/>
      </w:pPr>
      <w:r>
        <w:t xml:space="preserve">Every float and object defined above can be referenced from prose. The following paragraph demonstrates cross-reference resolution using the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selector.</w:t>
      </w:r>
    </w:p>
    <w:p>
      <w:pPr>
        <w:pStyle w:val="BodyText"/>
      </w:pPr>
      <w:r>
        <w:t xml:space="preserve">The system architecture is depicted in</w:t>
      </w:r>
      <w:r>
        <w:t xml:space="preserve"> </w:t>
      </w:r>
      <w:hyperlink w:anchor="puml-diag-layers">
        <w:r>
          <w:rPr>
            <w:rStyle w:val="Hyperlink"/>
          </w:rPr>
          <w:t xml:space="preserve">Figure 3</w:t>
        </w:r>
      </w:hyperlink>
      <w:r>
        <w:t xml:space="preserve">. Component details, including the technology stack for each layer, are listed in</w:t>
      </w:r>
      <w:r>
        <w:t xml:space="preserve"> </w:t>
      </w:r>
      <w:hyperlink w:anchor="csv-tbl-components">
        <w:r>
          <w:rPr>
            <w:rStyle w:val="Hyperlink"/>
          </w:rPr>
          <w:t xml:space="preserve">Table 10</w:t>
        </w:r>
      </w:hyperlink>
      <w:r>
        <w:t xml:space="preserve">. Performance targets and actuals are compared in</w:t>
      </w:r>
      <w:r>
        <w:t xml:space="preserve"> </w:t>
      </w:r>
      <w:hyperlink w:anchor="csv-tbl-metrics">
        <w:r>
          <w:rPr>
            <w:rStyle w:val="Hyperlink"/>
          </w:rPr>
          <w:t xml:space="preserve">Table 11</w:t>
        </w:r>
      </w:hyperlink>
      <w:r>
        <w:t xml:space="preserve"> </w:t>
      </w:r>
      <w:r>
        <w:t xml:space="preserve">– all four metrics pass their thresholds. The initialization logic is shown in</w:t>
      </w:r>
      <w:r>
        <w:t xml:space="preserve"> </w:t>
      </w:r>
      <w:hyperlink w:anchor="listing-lst-init">
        <w:r>
          <w:rPr>
            <w:rStyle w:val="Hyperlink"/>
          </w:rPr>
          <w:t xml:space="preserve">Listing 16</w:t>
        </w:r>
      </w:hyperlink>
      <w:r>
        <w:t xml:space="preserve">, and the latency model driving performance requirements is defined by</w:t>
      </w:r>
      <w:r>
        <w:t xml:space="preserve"> </w:t>
      </w:r>
      <w:hyperlink w:anchor="math-eq-latency">
        <w:r>
          <w:rPr>
            <w:rStyle w:val="Hyperlink"/>
          </w:rPr>
          <w:t xml:space="preserve">Equation 2</w:t>
        </w:r>
      </w:hyperlink>
      <w:r>
        <w:t xml:space="preserve">. Finally, throughput measurements by module are visualized in</w:t>
      </w:r>
      <w:r>
        <w:t xml:space="preserve"> </w:t>
      </w:r>
      <w:hyperlink w:anchor="echarts-chart-throughput">
        <w:r>
          <w:rPr>
            <w:rStyle w:val="Hyperlink"/>
          </w:rPr>
          <w:t xml:space="preserve">Figure 4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selector resolves by PID and works across documents. For example, this sentence references the introduction of this manual:</w:t>
      </w:r>
      <w:r>
        <w:t xml:space="preserve"> </w:t>
      </w:r>
      <w:hyperlink w:anchor="MANUAL-sec1">
        <w:r>
          <w:rPr>
            <w:rStyle w:val="Hyperlink"/>
          </w:rPr>
          <w:t xml:space="preserve">INDEX</w:t>
        </w:r>
      </w:hyperlink>
      <w:r>
        <w:t xml:space="preserve">. Cross-document references to the companion guides also work; see</w:t>
      </w:r>
      <w:r>
        <w:t xml:space="preserve"> </w:t>
      </w:r>
      <w:hyperlink r:id="rId23">
        <w:r>
          <w:rPr>
            <w:rStyle w:val="Hyperlink"/>
          </w:rPr>
          <w:t xml:space="preserve">creating-a-model: Model Directory Layout</w:t>
        </w:r>
      </w:hyperlink>
      <w:r>
        <w:t xml:space="preserve"> </w:t>
      </w:r>
      <w:r>
        <w:t xml:space="preserve">for the model directory layout and</w:t>
      </w:r>
      <w:r>
        <w:t xml:space="preserve"> </w:t>
      </w:r>
      <w:hyperlink r:id="rId74">
        <w:r>
          <w:rPr>
            <w:rStyle w:val="Hyperlink"/>
          </w:rPr>
          <w:t xml:space="preserve">docx-customization: Style Presets</w:t>
        </w:r>
      </w:hyperlink>
      <w:r>
        <w:t xml:space="preserve"> </w:t>
      </w:r>
      <w:r>
        <w:t xml:space="preserve">for DOCX style presets.</w:t>
      </w:r>
    </w:p>
    <w:bookmarkStart w:id="68857" w:name="csv-tbl-xref-selectors"/>
    <w:p>
      <w:pPr>
        <w:pStyle w:val="Caption"/>
        <w:keepNext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>1</w:t>
      </w:r>
      <w:r>
        <w:fldChar w:fldCharType="end"/>
      </w:r>
      <w:r>
        <w:t xml:space="preserve"> :  Cross-reference selector comparison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pace="0" w:color="000000" w:sz="6"/>
          <w:left w:val="single" w:space="0" w:color="000000" w:sz="6"/>
          <w:bottom w:val="single" w:space="0" w:color="000000" w:sz="6"/>
          <w:right w:val="single" w:space="0" w:color="000000" w:sz="6"/>
          <w:insideH w:val="single" w:space="0" w:color="000000" w:sz="6"/>
          <w:insideV w:val="single" w:space="0" w:color="000000" w:sz="6"/>
        </w:tblBorders>
        <w:tblCellMar>
          <w:top w:type="dxa" w:w="57"/>
          <w:left w:type="dxa" w:w="108"/>
          <w:bottom w:type="dxa" w:w="57"/>
          <w:right w:type="dxa" w:w="108"/>
        </w:tblCellMar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8E8E8"/>
          </w:tcPr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b/>
              </w:rPr>
              <w:t xml:space="preserve">Selector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b/>
              </w:rPr>
              <w:t xml:space="preserve">Syntax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b/>
              </w:rPr>
              <w:t xml:space="preserve">Resolution</w:t>
            </w:r>
          </w:p>
        </w:tc>
      </w:tr>
      <w:tr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rStyle w:val="VerbatimChar"/>
              </w:rPr>
              <w:t xml:space="preserve">@</w:t>
            </w:r>
            <w:r>
              <w:t xml:space="preserve"> </w:t>
            </w:r>
            <w:r>
              <w:t xml:space="preserve">(PID)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rStyle w:val="VerbatimChar"/>
              </w:rPr>
              <w:t xml:space="preserve">[PID](@)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Exact PID lookup. Same-spec first, then cross-document fallback. Never ambiguous.</w:t>
            </w:r>
          </w:p>
        </w:tc>
      </w:tr>
      <w:tr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rStyle w:val="VerbatimChar"/>
              </w:rPr>
              <w:t xml:space="preserve">#</w:t>
            </w:r>
            <w:r>
              <w:t xml:space="preserve"> </w:t>
            </w:r>
            <w:r>
              <w:t xml:space="preserve">(Label)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rStyle w:val="VerbatimChar"/>
              </w:rPr>
              <w:t xml:space="preserve">[type:label](#)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Scoped resolution: local scope, then same specification, then global. May be ambiguous if multiple matches at the same scope level.</w:t>
            </w:r>
          </w:p>
        </w:tc>
      </w:tr>
    </w:tbl>
    <w:bookmarkEnd w:id="68857"/>
    <w:bookmarkEnd w:id="75"/>
    <w:bookmarkStart w:id="79" w:name="MANUAL-sec6.4"/>
    <w:p>
      <w:pPr>
        <w:pStyle w:val="Heading2"/>
        <w:numPr>
          <w:ilvl w:val="1"/>
          <w:numId w:val="100"/>
        </w:numPr>
      </w:pPr>
      <w:r>
        <w:t xml:space="preserve">Section References</w:t>
      </w:r>
    </w:p>
    <w:p>
      <w:pPr>
        <w:pStyle w:val="FirstParagraph"/>
      </w:pPr>
      <w:r>
        <w:t xml:space="preserve">Headers without an explicit</w:t>
      </w:r>
      <w:r>
        <w:t xml:space="preserve"> </w:t>
      </w:r>
      <w:r>
        <w:rPr>
          <w:rStyle w:val="VerbatimChar"/>
        </w:rPr>
        <w:t xml:space="preserve">TYPE:</w:t>
      </w:r>
      <w:r>
        <w:t xml:space="preserve"> </w:t>
      </w:r>
      <w:r>
        <w:t xml:space="preserve">prefix default to the SECTION type. Sections receive auto-generated PIDs and labels that can be used for cross-referencing: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PID format</w:t>
      </w:r>
      <w:r>
        <w:t xml:space="preserve">:</w:t>
      </w:r>
      <w:r>
        <w:t xml:space="preserve"> </w:t>
      </w:r>
      <w:r>
        <w:rPr>
          <w:rStyle w:val="VerbatimChar"/>
        </w:rPr>
        <w:t xml:space="preserve">{spec_pid}-sec{depth.numbers}</w:t>
      </w:r>
      <w:r>
        <w:t xml:space="preserve"> </w:t>
      </w:r>
      <w:r>
        <w:t xml:space="preserve">– for example,</w:t>
      </w:r>
      <w:r>
        <w:t xml:space="preserve"> </w:t>
      </w:r>
      <w:r>
        <w:rPr>
          <w:rStyle w:val="VerbatimChar"/>
        </w:rPr>
        <w:t xml:space="preserve">SRS-sec1</w:t>
      </w:r>
      <w:r>
        <w:t xml:space="preserve">,</w:t>
      </w:r>
      <w:r>
        <w:t xml:space="preserve"> </w:t>
      </w:r>
      <w:r>
        <w:rPr>
          <w:rStyle w:val="VerbatimChar"/>
        </w:rPr>
        <w:t xml:space="preserve">SRS-sec1.2</w:t>
      </w:r>
      <w:r>
        <w:t xml:space="preserve">,</w:t>
      </w:r>
      <w:r>
        <w:t xml:space="preserve"> </w:t>
      </w:r>
      <w:r>
        <w:rPr>
          <w:rStyle w:val="VerbatimChar"/>
        </w:rPr>
        <w:t xml:space="preserve">SRS-sec2.3.1</w:t>
      </w:r>
      <w:r>
        <w:t xml:space="preserve">. Use the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selector:</w:t>
      </w:r>
      <w:r>
        <w:t xml:space="preserve"> </w:t>
      </w:r>
      <w:r>
        <w:rPr>
          <w:rStyle w:val="VerbatimChar"/>
        </w:rPr>
        <w:t xml:space="preserve">[SRS-sec1.2](@)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Label format</w:t>
      </w:r>
      <w:r>
        <w:t xml:space="preserve">:</w:t>
      </w:r>
      <w:r>
        <w:t xml:space="preserve"> </w:t>
      </w:r>
      <w:r>
        <w:rPr>
          <w:rStyle w:val="VerbatimChar"/>
        </w:rPr>
        <w:t xml:space="preserve">section:{title-slug}</w:t>
      </w:r>
      <w:r>
        <w:t xml:space="preserve"> </w:t>
      </w:r>
      <w:r>
        <w:t xml:space="preserve">– for example,</w:t>
      </w:r>
      <w:r>
        <w:t xml:space="preserve"> </w:t>
      </w:r>
      <w:r>
        <w:rPr>
          <w:rStyle w:val="VerbatimChar"/>
        </w:rPr>
        <w:t xml:space="preserve">## Introduction</w:t>
      </w:r>
      <w:r>
        <w:t xml:space="preserve"> </w:t>
      </w:r>
      <w:r>
        <w:t xml:space="preserve">produces the label</w:t>
      </w:r>
      <w:r>
        <w:t xml:space="preserve"> </w:t>
      </w:r>
      <w:r>
        <w:rPr>
          <w:rStyle w:val="VerbatimChar"/>
        </w:rPr>
        <w:t xml:space="preserve">section:introduction</w:t>
      </w:r>
      <w:r>
        <w:t xml:space="preserve">. Use the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selector:</w:t>
      </w:r>
      <w:r>
        <w:t xml:space="preserve"> </w:t>
      </w:r>
      <w:r>
        <w:rPr>
          <w:rStyle w:val="VerbatimChar"/>
        </w:rPr>
        <w:t xml:space="preserve">[section:introduction](#)</w:t>
      </w:r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selector performs an exact PID lookup and is never ambiguous. The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selector uses scoped resolution (closest scope wins), which is useful when multiple specifications have sections with similar names.</w:t>
      </w:r>
    </w:p>
    <w:p>
      <w:pPr>
        <w:pStyle w:val="BodyText"/>
      </w:pPr>
      <w:r>
        <w:t xml:space="preserve">For cross-document section references with the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selector, use the explicit scope syntax:</w:t>
      </w:r>
      <w:r>
        <w:t xml:space="preserve"> </w:t>
      </w:r>
      <w:r>
        <w:rPr>
          <w:rStyle w:val="VerbatimChar"/>
        </w:rPr>
        <w:t xml:space="preserve">[SPEC-A:section:design](#)</w:t>
      </w:r>
      <w:r>
        <w:t xml:space="preserve"> </w:t>
      </w:r>
      <w:r>
        <w:t xml:space="preserve">to target a section labeled</w:t>
      </w:r>
      <w:r>
        <w:t xml:space="preserve"> </w:t>
      </w:r>
      <w:r>
        <w:t xml:space="preserve">“design”</w:t>
      </w:r>
      <w:r>
        <w:t xml:space="preserve"> </w:t>
      </w:r>
      <w:r>
        <w:t xml:space="preserve">within the specification whose PID is</w:t>
      </w:r>
      <w:r>
        <w:t xml:space="preserve"> </w:t>
      </w:r>
      <w:r>
        <w:rPr>
          <w:rStyle w:val="VerbatimChar"/>
        </w:rPr>
        <w:t xml:space="preserve">SPEC-A</w:t>
      </w:r>
      <w:r>
        <w:t xml:space="preserve">.</w:t>
      </w:r>
    </w:p>
    <w:p>
      <w:pPr>
        <w:pStyle w:val="BodyText"/>
      </w:pPr>
      <w:r>
        <w:t xml:space="preserve">This manual references its own sections using both selectors. Here are examples that resolve within this document:</w:t>
      </w:r>
    </w:p>
    <w:p>
      <w:pPr>
        <w:pStyle w:val="Compact"/>
        <w:numPr>
          <w:ilvl w:val="0"/>
          <w:numId w:val="1011"/>
        </w:numPr>
      </w:pPr>
      <w:r>
        <w:t xml:space="preserve">By PID:</w:t>
      </w:r>
      <w:r>
        <w:t xml:space="preserve"> </w:t>
      </w:r>
      <w:hyperlink w:anchor="MANUAL-sec2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links to Installation,</w:t>
      </w:r>
      <w:r>
        <w:t xml:space="preserve"> </w:t>
      </w:r>
      <w:hyperlink w:anchor="MANUAL-sec4">
        <w:r>
          <w:rPr>
            <w:rStyle w:val="Hyperlink"/>
          </w:rPr>
          <w:t xml:space="preserve">Project Configuration</w:t>
        </w:r>
      </w:hyperlink>
      <w:r>
        <w:t xml:space="preserve"> </w:t>
      </w:r>
      <w:r>
        <w:t xml:space="preserve">links to Document Authoring.</w:t>
      </w:r>
    </w:p>
    <w:p>
      <w:pPr>
        <w:pStyle w:val="Compact"/>
        <w:numPr>
          <w:ilvl w:val="0"/>
          <w:numId w:val="1011"/>
        </w:numPr>
      </w:pPr>
      <w:r>
        <w:t xml:space="preserve">By label:</w:t>
      </w:r>
      <w:r>
        <w:t xml:space="preserve"> </w:t>
      </w:r>
      <w:hyperlink w:anchor="MANUAL-sec2.3">
        <w:r>
          <w:rPr>
            <w:rStyle w:val="Hyperlink"/>
          </w:rPr>
          <w:t xml:space="preserve">Pipeline Summary</w:t>
        </w:r>
      </w:hyperlink>
      <w:r>
        <w:t xml:space="preserve"> </w:t>
      </w:r>
      <w:r>
        <w:t xml:space="preserve">links to Pipeline Summary,</w:t>
      </w:r>
      <w:r>
        <w:t xml:space="preserve"> </w:t>
      </w:r>
      <w:hyperlink w:anchor="MANUAL-sec12">
        <w:r>
          <w:rPr>
            <w:rStyle w:val="Hyperlink"/>
          </w:rPr>
          <w:t xml:space="preserve">Troubleshooting</w:t>
        </w:r>
      </w:hyperlink>
      <w:r>
        <w:t xml:space="preserve"> </w:t>
      </w:r>
      <w:r>
        <w:t xml:space="preserve">links to Troubleshooting.</w:t>
      </w:r>
    </w:p>
    <w:p>
      <w:pPr>
        <w:pStyle w:val="FirstParagraph"/>
      </w:pPr>
      <w:r>
        <w:t xml:space="preserve">Cross-document references work identically. Because the companion guides are listed in the same</w:t>
      </w:r>
      <w:r>
        <w:t xml:space="preserve"> </w:t>
      </w:r>
      <w:r>
        <w:rPr>
          <w:rStyle w:val="VerbatimChar"/>
        </w:rPr>
        <w:t xml:space="preserve">project.yaml</w:t>
      </w:r>
      <w:r>
        <w:t xml:space="preserve">, these links resolve at build time:</w:t>
      </w:r>
    </w:p>
    <w:p>
      <w:pPr>
        <w:pStyle w:val="Compact"/>
        <w:numPr>
          <w:ilvl w:val="0"/>
          <w:numId w:val="1012"/>
        </w:numPr>
      </w:pPr>
      <w:hyperlink r:id="rId76">
        <w:r>
          <w:rPr>
            <w:rStyle w:val="Hyperlink"/>
          </w:rPr>
          <w:t xml:space="preserve">creating-a-model: Walkthrough: Custom Float Type</w:t>
        </w:r>
      </w:hyperlink>
      <w:r>
        <w:t xml:space="preserve"> </w:t>
      </w:r>
      <w:r>
        <w:t xml:space="preserve">links to the float walkthrough in the model guide.</w:t>
      </w:r>
    </w:p>
    <w:p>
      <w:pPr>
        <w:pStyle w:val="Compact"/>
        <w:numPr>
          <w:ilvl w:val="0"/>
          <w:numId w:val="1012"/>
        </w:numPr>
      </w:pPr>
      <w:hyperlink r:id="rId77">
        <w:r>
          <w:rPr>
            <w:rStyle w:val="Hyperlink"/>
          </w:rPr>
          <w:t xml:space="preserve">docx-customization: Postprocessors</w:t>
        </w:r>
      </w:hyperlink>
      <w:r>
        <w:t xml:space="preserve"> </w:t>
      </w:r>
      <w:r>
        <w:t xml:space="preserve">links to the DOCX customization guide.</w:t>
      </w:r>
    </w:p>
    <w:p>
      <w:pPr>
        <w:pStyle w:val="Compact"/>
        <w:numPr>
          <w:ilvl w:val="0"/>
          <w:numId w:val="1012"/>
        </w:numPr>
      </w:pPr>
      <w:hyperlink r:id="rId78">
        <w:r>
          <w:rPr>
            <w:rStyle w:val="Hyperlink"/>
          </w:rPr>
          <w:t xml:space="preserve">docx-customization: Preset Inheritance</w:t>
        </w:r>
      </w:hyperlink>
      <w:r>
        <w:t xml:space="preserve"> </w:t>
      </w:r>
      <w:r>
        <w:t xml:space="preserve">links to preset inheritance in the DOCX guide.</w:t>
      </w:r>
    </w:p>
    <w:bookmarkEnd w:id="79"/>
    <w:bookmarkStart w:id="80" w:name="MANUAL-sec6.5"/>
    <w:p>
      <w:pPr>
        <w:pStyle w:val="Heading2"/>
        <w:numPr>
          <w:ilvl w:val="1"/>
          <w:numId w:val="100"/>
        </w:numPr>
      </w:pPr>
      <w:r>
        <w:t xml:space="preserve">Citations and Bibliography</w:t>
      </w:r>
    </w:p>
    <w:p>
      <w:pPr>
        <w:pStyle w:val="FirstParagraph"/>
      </w:pPr>
      <w:r>
        <w:t xml:space="preserve">SpecCompiler integrates with Pandoc’s citeproc processor for scholarly citations.</w:t>
      </w:r>
    </w:p>
    <w:p>
      <w:pPr>
        <w:pStyle w:val="BodyText"/>
      </w:pPr>
      <w:r>
        <w:rPr>
          <w:b/>
          <w:bCs/>
        </w:rPr>
        <w:t xml:space="preserve">Step 1.</w:t>
      </w:r>
      <w:r>
        <w:t xml:space="preserve"> </w:t>
      </w:r>
      <w:r>
        <w:t xml:space="preserve">Add bibliography configuration to</w:t>
      </w:r>
      <w:r>
        <w:t xml:space="preserve"> </w:t>
      </w:r>
      <w:r>
        <w:rPr>
          <w:rStyle w:val="VerbatimChar"/>
        </w:rPr>
        <w:t xml:space="preserve">project.yaml</w:t>
      </w:r>
      <w:r>
        <w:t xml:space="preserve">:</w:t>
      </w:r>
    </w:p>
    <w:bookmarkStart w:id="9127" w:name="listing-src-bib-config"/>
    <w:p>
      <w:pPr>
        <w:pStyle w:val="Caption"/>
        <w:keepNext/>
      </w:pPr>
      <w:r>
        <w:t xml:space="preserve">Listing </w:t>
      </w:r>
      <w:r>
        <w:fldChar w:fldCharType="begin"/>
      </w:r>
      <w:r>
        <w:instrText xml:space="preserve"> SEQ LISTING \* ARABIC </w:instrText>
      </w:r>
      <w:r>
        <w:fldChar w:fldCharType="separate"/>
      </w:r>
      <w:r>
        <w:t>1</w:t>
      </w:r>
      <w:r>
        <w:fldChar w:fldCharType="end"/>
      </w:r>
      <w:r>
        <w:t xml:space="preserve"> :  Bibliography configuration in project.yaml</w:t>
      </w:r>
    </w:p>
    <w:p>
      <w:pPr>
        <w:pStyle w:val="SourceCode"/>
      </w:pPr>
      <w:r>
        <w:rPr>
          <w:rStyle w:val="FunctionTok"/>
        </w:rPr>
        <w:t xml:space="preserve">bibliography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refs.bib</w:t>
      </w:r>
      <w:r>
        <w:br/>
      </w:r>
      <w:r>
        <w:rPr>
          <w:rStyle w:val="FunctionTok"/>
        </w:rPr>
        <w:t xml:space="preserve">csl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ieee.csl</w:t>
      </w:r>
    </w:p>
    <w:bookmarkEnd w:id="9127"/>
    <w:p>
      <w:pPr>
        <w:pStyle w:val="FirstParagraph"/>
      </w:pPr>
      <w:r>
        <w:rPr>
          <w:b/>
          <w:bCs/>
        </w:rPr>
        <w:t xml:space="preserve">Step 2.</w:t>
      </w:r>
      <w:r>
        <w:t xml:space="preserve"> </w:t>
      </w:r>
      <w:r>
        <w:t xml:space="preserve">Create a BibTeX file (</w:t>
      </w:r>
      <w:r>
        <w:rPr>
          <w:rStyle w:val="VerbatimChar"/>
        </w:rPr>
        <w:t xml:space="preserve">refs.bib</w:t>
      </w:r>
      <w:r>
        <w:t xml:space="preserve">):</w:t>
      </w:r>
    </w:p>
    <w:bookmarkStart w:id="72833" w:name="listing-src-bib-file"/>
    <w:p>
      <w:pPr>
        <w:pStyle w:val="Caption"/>
        <w:keepNext/>
      </w:pPr>
      <w:r>
        <w:t xml:space="preserve">Listing </w:t>
      </w:r>
      <w:r>
        <w:fldChar w:fldCharType="begin"/>
      </w:r>
      <w:r>
        <w:instrText xml:space="preserve"> SEQ LISTING \* ARABIC </w:instrText>
      </w:r>
      <w:r>
        <w:fldChar w:fldCharType="separate"/>
      </w:r>
      <w:r>
        <w:t>1</w:t>
      </w:r>
      <w:r>
        <w:fldChar w:fldCharType="end"/>
      </w:r>
      <w:r>
        <w:t xml:space="preserve"> :  Example BibTeX file</w:t>
      </w:r>
    </w:p>
    <w:p>
      <w:pPr>
        <w:pStyle w:val="SourceCode"/>
      </w:pPr>
      <w:r>
        <w:rPr>
          <w:rStyle w:val="VariableTok"/>
        </w:rPr>
        <w:t xml:space="preserve">@article</w:t>
      </w:r>
      <w:r>
        <w:rPr>
          <w:rStyle w:val="NormalTok"/>
        </w:rPr>
        <w:t xml:space="preserve">{</w:t>
      </w:r>
      <w:r>
        <w:rPr>
          <w:rStyle w:val="OtherTok"/>
        </w:rPr>
        <w:t xml:space="preserve">smith2024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author</w:t>
      </w:r>
      <w:r>
        <w:rPr>
          <w:rStyle w:val="NormalTok"/>
        </w:rPr>
        <w:t xml:space="preserve">  = {Smith, John},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title</w:t>
      </w:r>
      <w:r>
        <w:rPr>
          <w:rStyle w:val="NormalTok"/>
        </w:rPr>
        <w:t xml:space="preserve">   = {Advances in Systems Engineering},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journal</w:t>
      </w:r>
      <w:r>
        <w:rPr>
          <w:rStyle w:val="NormalTok"/>
        </w:rPr>
        <w:t xml:space="preserve"> = {IEEE Transactions},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    = {2024}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VariableTok"/>
        </w:rPr>
        <w:t xml:space="preserve">@book</w:t>
      </w:r>
      <w:r>
        <w:rPr>
          <w:rStyle w:val="NormalTok"/>
        </w:rPr>
        <w:t xml:space="preserve">{</w:t>
      </w:r>
      <w:r>
        <w:rPr>
          <w:rStyle w:val="OtherTok"/>
        </w:rPr>
        <w:t xml:space="preserve">jones2023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author</w:t>
      </w:r>
      <w:r>
        <w:rPr>
          <w:rStyle w:val="NormalTok"/>
        </w:rPr>
        <w:t xml:space="preserve">    = {Jones, Alice},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title</w:t>
      </w:r>
      <w:r>
        <w:rPr>
          <w:rStyle w:val="NormalTok"/>
        </w:rPr>
        <w:t xml:space="preserve">     = {Software Architecture Patterns},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publisher</w:t>
      </w:r>
      <w:r>
        <w:rPr>
          <w:rStyle w:val="NormalTok"/>
        </w:rPr>
        <w:t xml:space="preserve"> = {O'Reilly},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      = {2023}</w:t>
      </w:r>
      <w:r>
        <w:br/>
      </w:r>
      <w:r>
        <w:rPr>
          <w:rStyle w:val="NormalTok"/>
        </w:rPr>
        <w:t xml:space="preserve">}</w:t>
      </w:r>
    </w:p>
    <w:bookmarkEnd w:id="72833"/>
    <w:p>
      <w:pPr>
        <w:pStyle w:val="FirstParagraph"/>
      </w:pPr>
      <w:r>
        <w:rPr>
          <w:b/>
          <w:bCs/>
        </w:rPr>
        <w:t xml:space="preserve">Step 3.</w:t>
      </w:r>
      <w:r>
        <w:t xml:space="preserve"> </w:t>
      </w:r>
      <w:r>
        <w:t xml:space="preserve">Use citation syntax in your document:</w:t>
      </w:r>
    </w:p>
    <w:bookmarkStart w:id="25784" w:name="listing-src-citation-syntax"/>
    <w:p>
      <w:pPr>
        <w:pStyle w:val="Caption"/>
        <w:keepNext/>
      </w:pPr>
      <w:r>
        <w:t xml:space="preserve">Listing </w:t>
      </w:r>
      <w:r>
        <w:fldChar w:fldCharType="begin"/>
      </w:r>
      <w:r>
        <w:instrText xml:space="preserve"> SEQ LISTING \* ARABIC </w:instrText>
      </w:r>
      <w:r>
        <w:fldChar w:fldCharType="separate"/>
      </w:r>
      <w:r>
        <w:t>1</w:t>
      </w:r>
      <w:r>
        <w:fldChar w:fldCharType="end"/>
      </w:r>
      <w:r>
        <w:t xml:space="preserve"> :  Citation syntax examples</w:t>
      </w:r>
    </w:p>
    <w:p>
      <w:pPr>
        <w:pStyle w:val="SourceCode"/>
      </w:pPr>
      <w:r>
        <w:rPr>
          <w:rStyle w:val="NormalTok"/>
        </w:rPr>
        <w:t xml:space="preserve">Recent work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smith2024</w:t>
      </w:r>
      <w:r>
        <w:rPr>
          <w:rStyle w:val="CommentTok"/>
        </w:rPr>
        <w:t xml:space="preserve">](@cite)</w:t>
      </w:r>
      <w:r>
        <w:rPr>
          <w:rStyle w:val="NormalTok"/>
        </w:rPr>
        <w:t xml:space="preserve"> demonstrates the approach.</w:t>
      </w:r>
      <w:r>
        <w:br/>
      </w:r>
      <w:r>
        <w:br/>
      </w:r>
      <w:r>
        <w:rPr>
          <w:rStyle w:val="NormalTok"/>
        </w:rPr>
        <w:t xml:space="preserve">As Smith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smith2024</w:t>
      </w:r>
      <w:r>
        <w:rPr>
          <w:rStyle w:val="CommentTok"/>
        </w:rPr>
        <w:t xml:space="preserve">](@citep)</w:t>
      </w:r>
      <w:r>
        <w:rPr>
          <w:rStyle w:val="NormalTok"/>
        </w:rPr>
        <w:t xml:space="preserve"> argues, the method is effective.</w:t>
      </w:r>
      <w:r>
        <w:br/>
      </w:r>
      <w:r>
        <w:br/>
      </w:r>
      <w:r>
        <w:rPr>
          <w:rStyle w:val="NormalTok"/>
        </w:rPr>
        <w:t xml:space="preserve">Multiple sources support this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smith2024;jones2023</w:t>
      </w:r>
      <w:r>
        <w:rPr>
          <w:rStyle w:val="CommentTok"/>
        </w:rPr>
        <w:t xml:space="preserve">](@cite)</w:t>
      </w:r>
      <w:r>
        <w:rPr>
          <w:rStyle w:val="NormalTok"/>
        </w:rPr>
        <w:t xml:space="preserve">.</w:t>
      </w:r>
    </w:p>
    <w:bookmarkEnd w:id="25784"/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[key](@cite)</w:t>
      </w:r>
      <w:r>
        <w:t xml:space="preserve"> </w:t>
      </w:r>
      <w:r>
        <w:t xml:space="preserve">produces a</w:t>
      </w:r>
      <w:r>
        <w:t xml:space="preserve"> </w:t>
      </w:r>
      <w:r>
        <w:rPr>
          <w:b/>
          <w:bCs/>
        </w:rPr>
        <w:t xml:space="preserve">parenthetical</w:t>
      </w:r>
      <w:r>
        <w:t xml:space="preserve"> </w:t>
      </w:r>
      <w:r>
        <w:t xml:space="preserve">citation – for example,</w:t>
      </w:r>
      <w:r>
        <w:t xml:space="preserve"> </w:t>
      </w:r>
      <w:r>
        <w:t xml:space="preserve">“(Smith, 2024)”</w:t>
      </w:r>
      <w:r>
        <w:t xml:space="preserve"> </w:t>
      </w:r>
      <w:r>
        <w:t xml:space="preserve">in author-date styles or</w:t>
      </w:r>
      <w:r>
        <w:t xml:space="preserve"> </w:t>
      </w:r>
      <w:r>
        <w:t xml:space="preserve">“[1]”</w:t>
      </w:r>
      <w:r>
        <w:t xml:space="preserve"> </w:t>
      </w:r>
      <w:r>
        <w:t xml:space="preserve">in numeric styles.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[key](@citep)</w:t>
      </w:r>
      <w:r>
        <w:t xml:space="preserve"> </w:t>
      </w:r>
      <w:r>
        <w:t xml:space="preserve">produces an</w:t>
      </w:r>
      <w:r>
        <w:t xml:space="preserve"> </w:t>
      </w:r>
      <w:r>
        <w:rPr>
          <w:b/>
          <w:bCs/>
        </w:rPr>
        <w:t xml:space="preserve">in-text</w:t>
      </w:r>
      <w:r>
        <w:t xml:space="preserve"> </w:t>
      </w:r>
      <w:r>
        <w:t xml:space="preserve">citation – for example,</w:t>
      </w:r>
      <w:r>
        <w:t xml:space="preserve"> </w:t>
      </w:r>
      <w:r>
        <w:t xml:space="preserve">“Smith (2024)”</w:t>
      </w:r>
      <w:r>
        <w:t xml:space="preserve"> </w:t>
      </w:r>
      <w:r>
        <w:t xml:space="preserve">or</w:t>
      </w:r>
      <w:r>
        <w:t xml:space="preserve"> </w:t>
      </w:r>
      <w:r>
        <w:t xml:space="preserve">“Smith [1]”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Multiple keys separated by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produce a grouped citation.</w:t>
      </w:r>
    </w:p>
    <w:p>
      <w:pPr>
        <w:pStyle w:val="FirstParagraph"/>
      </w:pPr>
      <w:r>
        <w:rPr>
          <w:b/>
          <w:bCs/>
        </w:rPr>
        <w:t xml:space="preserve">Processing pipeline</w:t>
      </w:r>
      <w:r>
        <w:t xml:space="preserve">: During the TRANSFORM phase, citation links are rewritten to Pandoc</w:t>
      </w:r>
      <w:r>
        <w:t xml:space="preserve"> </w:t>
      </w:r>
      <w:r>
        <w:rPr>
          <w:rStyle w:val="VerbatimChar"/>
        </w:rPr>
        <w:t xml:space="preserve">Cite</w:t>
      </w:r>
      <w:r>
        <w:t xml:space="preserve"> </w:t>
      </w:r>
      <w:r>
        <w:t xml:space="preserve">elements. During EMIT, Pandoc’s citeproc processor formats citations and appends a bibliography list to the document according to the configured CSL style.</w:t>
      </w:r>
    </w:p>
    <w:bookmarkEnd w:id="80"/>
    <w:bookmarkStart w:id="89" w:name="MANUAL-sec6.6"/>
    <w:p>
      <w:pPr>
        <w:pStyle w:val="Heading2"/>
        <w:numPr>
          <w:ilvl w:val="1"/>
          <w:numId w:val="100"/>
        </w:numPr>
      </w:pPr>
      <w:r>
        <w:t xml:space="preserve">Views in Practice</w:t>
      </w:r>
    </w:p>
    <w:p>
      <w:pPr>
        <w:pStyle w:val="FirstParagraph"/>
      </w:pPr>
      <w:r>
        <w:t xml:space="preserve">Views generate content blocks from the SPEC-IR.</w:t>
      </w:r>
    </w:p>
    <w:bookmarkStart w:id="81" w:name="MANUAL-sec6.6.1"/>
    <w:p>
      <w:pPr>
        <w:pStyle w:val="Heading3"/>
        <w:numPr>
          <w:ilvl w:val="2"/>
          <w:numId w:val="100"/>
        </w:numPr>
      </w:pPr>
      <w:r>
        <w:t xml:space="preserve">Abbreviations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abbrev:</w:t>
      </w:r>
      <w:r>
        <w:t xml:space="preserve"> </w:t>
      </w:r>
      <w:r>
        <w:t xml:space="preserve">view defines abbreviations inline. On first use, the full meaning is displayed alongside the abbreviation. All definitions are collected for the</w:t>
      </w:r>
      <w:r>
        <w:t xml:space="preserve"> </w:t>
      </w:r>
      <w:r>
        <w:rPr>
          <w:rStyle w:val="VerbatimChar"/>
        </w:rPr>
        <w:t xml:space="preserve">abbrev_list</w:t>
      </w:r>
      <w:r>
        <w:t xml:space="preserve"> </w:t>
      </w:r>
      <w:r>
        <w:t xml:space="preserve">view shown in the</w:t>
      </w:r>
      <w:r>
        <w:t xml:space="preserve"> </w:t>
      </w:r>
      <w:hyperlink w:anchor="MANUAL-sec17">
        <w:r>
          <w:rPr>
            <w:rStyle w:val="Hyperlink"/>
          </w:rPr>
          <w:t xml:space="preserve">List of Abbreviations</w:t>
        </w:r>
      </w:hyperlink>
      <w:r>
        <w:t xml:space="preserve"> </w:t>
      </w:r>
      <w:r>
        <w:t xml:space="preserve">appendix.</w:t>
      </w:r>
    </w:p>
    <w:p>
      <w:pPr>
        <w:pStyle w:val="BodyText"/>
      </w:pPr>
      <w:r>
        <w:t xml:space="preserve">This manual defines abbreviations on first use throughout the text. For example, Entity-Attribute-Value (EAV) is the database pattern used for flexible attributes, and Newline-Delimited JSON (NDJSON) is the format used for diagnostic output.</w:t>
      </w:r>
    </w:p>
    <w:p>
      <w:pPr>
        <w:pStyle w:val="BodyText"/>
      </w:pPr>
      <w:r>
        <w:t xml:space="preserve">The syntax is:</w:t>
      </w:r>
      <w:r>
        <w:t xml:space="preserve"> </w:t>
      </w:r>
      <w:r>
        <w:rPr>
          <w:rStyle w:val="VerbatimChar"/>
        </w:rPr>
        <w:t xml:space="preserve">`abbrev: Full Meaning Text (ABBREVIATION)`</w:t>
      </w:r>
      <w:r>
        <w:t xml:space="preserve">. The abbreviation goes in parentheses at the end.</w:t>
      </w:r>
    </w:p>
    <w:bookmarkEnd w:id="81"/>
    <w:bookmarkStart w:id="82" w:name="MANUAL-sec6.6.2"/>
    <w:p>
      <w:pPr>
        <w:pStyle w:val="Heading3"/>
        <w:numPr>
          <w:ilvl w:val="2"/>
          <w:numId w:val="100"/>
        </w:numPr>
      </w:pPr>
      <w:r>
        <w:t xml:space="preserve">Inline Math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eq:</w:t>
      </w:r>
      <w:r>
        <w:t xml:space="preserve"> </w:t>
      </w:r>
      <w:r>
        <w:t xml:space="preserve">prefix renders inline math expressions using AsciiMath notation. For example, the quadratic formula is</w:t>
      </w:r>
      <w:r>
        <w:t xml:space="preserve"> </w:t>
      </w:r>
      <m:oMath xmlns:m="http://schemas.openxmlformats.org/officeDocument/2006/math" xmlns:w="http://schemas.openxmlformats.org/wordprocessingml/2006/main">
        <m:r>
          <m:t xml:space="preserve">x=</m:t>
        </m:r>
        <m:f>
          <m:fPr>
            <m:type m:val="bar"/>
          </m:fPr>
          <m:num>
            <m:r>
              <m:t xml:space="preserve">−b±</m:t>
            </m:r>
            <m:rad>
              <m:radPr>
                <m:degHide m:val="on"/>
              </m:radPr>
              <m:deg/>
              <m:e>
                <m:sSup>
                  <m:sSupPr>
                    <m:ctrlPr/>
                  </m:sSupPr>
                  <m:e>
                    <m:r>
                      <m:t xml:space="preserve">b</m:t>
                    </m:r>
                  </m:e>
                  <m:sup>
                    <m:r>
                      <m:t xml:space="preserve">2</m:t>
                    </m:r>
                  </m:sup>
                </m:sSup>
                <m:r>
                  <m:t xml:space="preserve">−4ac</m:t>
                </m:r>
              </m:e>
            </m:rad>
          </m:num>
          <m:den>
            <m:r>
              <m:t xml:space="preserve">2a</m:t>
            </m:r>
          </m:den>
        </m:f>
      </m:oMath>
      <w:r>
        <w:t xml:space="preserve">, and Euler’s identity is</w:t>
      </w:r>
      <w:r>
        <w:t xml:space="preserve"> </w:t>
      </w:r>
      <m:oMath xmlns:m="http://schemas.openxmlformats.org/officeDocument/2006/math" xmlns:w="http://schemas.openxmlformats.org/wordprocessingml/2006/main">
        <m:sSup>
          <m:sSupPr>
            <m:ctrlPr/>
          </m:sSupPr>
          <m:e>
            <m:r>
              <m:t xml:space="preserve">e</m:t>
            </m:r>
          </m:e>
          <m:sup>
            <m:r>
              <m:t xml:space="preserve">iπ</m:t>
            </m:r>
          </m:sup>
        </m:sSup>
        <m:r>
          <m:t xml:space="preserve">+1=0</m:t>
        </m:r>
      </m:oMath>
      <w:r>
        <w:t xml:space="preserve">.</w:t>
      </w:r>
    </w:p>
    <w:p>
      <w:pPr>
        <w:pStyle w:val="BodyText"/>
      </w:pPr>
      <w:r>
        <w:t xml:space="preserve">Inline math is useful for formulas within prose paragraphs, while block</w:t>
      </w:r>
      <w:r>
        <w:t xml:space="preserve"> </w:t>
      </w:r>
      <w:r>
        <w:rPr>
          <w:rStyle w:val="VerbatimChar"/>
        </w:rPr>
        <w:t xml:space="preserve">math:</w:t>
      </w:r>
      <w:r>
        <w:t xml:space="preserve"> </w:t>
      </w:r>
      <w:r>
        <w:t xml:space="preserve">floats (like</w:t>
      </w:r>
      <w:r>
        <w:t xml:space="preserve"> </w:t>
      </w:r>
      <w:hyperlink w:anchor="math-eq-specificity">
        <w:r>
          <w:rPr>
            <w:rStyle w:val="Hyperlink"/>
          </w:rPr>
          <w:t xml:space="preserve">Equation 1</w:t>
        </w:r>
      </w:hyperlink>
      <w:r>
        <w:t xml:space="preserve"> </w:t>
      </w:r>
      <w:r>
        <w:t xml:space="preserve">and</w:t>
      </w:r>
      <w:r>
        <w:t xml:space="preserve"> </w:t>
      </w:r>
      <w:hyperlink w:anchor="math-eq-latency">
        <w:r>
          <w:rPr>
            <w:rStyle w:val="Hyperlink"/>
          </w:rPr>
          <w:t xml:space="preserve">Equation 2</w:t>
        </w:r>
      </w:hyperlink>
      <w:r>
        <w:t xml:space="preserve">) provide numbered equations with captions.</w:t>
      </w:r>
    </w:p>
    <w:bookmarkEnd w:id="82"/>
    <w:bookmarkStart w:id="87" w:name="MANUAL-sec6.6.3"/>
    <w:p>
      <w:pPr>
        <w:pStyle w:val="Heading3"/>
        <w:numPr>
          <w:ilvl w:val="2"/>
          <w:numId w:val="100"/>
        </w:numPr>
      </w:pPr>
      <w:r>
        <w:t xml:space="preserve">Chart with Data View Injection (Gauss)</w:t>
      </w:r>
    </w:p>
    <w:p>
      <w:pPr>
        <w:pStyle w:val="FirstParagraph"/>
      </w:pPr>
      <w:r>
        <w:t xml:space="preserve">Charts can load data dynamically from view modules using the</w:t>
      </w:r>
      <w:r>
        <w:t xml:space="preserve"> </w:t>
      </w:r>
      <w:r>
        <w:rPr>
          <w:rStyle w:val="VerbatimChar"/>
        </w:rPr>
        <w:t xml:space="preserve">view</w:t>
      </w:r>
      <w:r>
        <w:t xml:space="preserve"> </w:t>
      </w:r>
      <w:r>
        <w:t xml:space="preserve">attribute. The</w:t>
      </w:r>
      <w:r>
        <w:t xml:space="preserve"> </w:t>
      </w:r>
      <w:r>
        <w:rPr>
          <w:rStyle w:val="VerbatimChar"/>
        </w:rPr>
        <w:t xml:space="preserve">gauss</w:t>
      </w:r>
      <w:r>
        <w:t xml:space="preserve"> </w:t>
      </w:r>
      <w:r>
        <w:t xml:space="preserve">view generates a Gaussian probability density function and injects it into the ECharts dataset. The chart below demonstrates this – the</w:t>
      </w:r>
      <w:r>
        <w:t xml:space="preserve"> </w:t>
      </w:r>
      <w:r>
        <w:rPr>
          <w:rStyle w:val="VerbatimChar"/>
        </w:rPr>
        <w:t xml:space="preserve">view="gauss"</w:t>
      </w:r>
      <w:r>
        <w:t xml:space="preserve"> </w:t>
      </w:r>
      <w:r>
        <w:t xml:space="preserve">attribute triggers the data injection pipeline:</w:t>
      </w:r>
    </w:p>
    <w:bookmarkStart w:id="83674" w:name="echarts-chart-gauss"/>
    <w:p>
      <w:pPr>
        <w:pStyle w:val="Caption"/>
        <w:keepNext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1</w:t>
      </w:r>
      <w:r>
        <w:fldChar w:fldCharType="end"/>
      </w:r>
      <w:r>
        <w:t xml:space="preserve"> – Standard Normal Distribution</w:t>
      </w:r>
    </w:p>
    <w:p>
      <w:pPr>
        <w:pStyle w:val="BodyText"/>
        <w:jc w:val="center"/>
      </w:pPr>
      <w:r>
        <w:drawing>
          <wp:inline>
            <wp:extent cx="5334000" cy="3556000"/>
            <wp:effectExtent b="0" l="0" r="0" t="0"/>
            <wp:docPr descr="" title="" id="84" name="Picture"/>
            <a:graphic>
              <a:graphicData uri="http://schemas.openxmlformats.org/drawingml/2006/picture">
                <pic:pic>
                  <pic:nvPicPr>
                    <pic:cNvPr descr="charts/7ef7ee309feaead857317ab44ef31f57790fbd01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3674"/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params</w:t>
      </w:r>
      <w:r>
        <w:t xml:space="preserve"> </w:t>
      </w:r>
      <w:r>
        <w:t xml:space="preserve">attribute passes</w:t>
      </w:r>
      <w:r>
        <w:t xml:space="preserve"> </w:t>
      </w:r>
      <w:r>
        <w:rPr>
          <w:rStyle w:val="VerbatimChar"/>
        </w:rPr>
        <w:t xml:space="preserve">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sigma</w:t>
      </w:r>
      <w:r>
        <w:t xml:space="preserve">,</w:t>
      </w:r>
      <w:r>
        <w:t xml:space="preserve"> </w:t>
      </w:r>
      <w:r>
        <w:rPr>
          <w:rStyle w:val="VerbatimChar"/>
        </w:rPr>
        <w:t xml:space="preserve">xmin</w:t>
      </w:r>
      <w:r>
        <w:t xml:space="preserve">,</w:t>
      </w:r>
      <w:r>
        <w:t xml:space="preserve"> </w:t>
      </w:r>
      <w:r>
        <w:rPr>
          <w:rStyle w:val="VerbatimChar"/>
        </w:rPr>
        <w:t xml:space="preserve">xmax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points</w:t>
      </w:r>
      <w:r>
        <w:t xml:space="preserve"> </w:t>
      </w:r>
      <w:r>
        <w:t xml:space="preserve">to the Gauss view’s</w:t>
      </w:r>
      <w:r>
        <w:t xml:space="preserve"> </w:t>
      </w:r>
      <w:r>
        <w:rPr>
          <w:rStyle w:val="VerbatimChar"/>
        </w:rPr>
        <w:t xml:space="preserve">generate()</w:t>
      </w:r>
      <w:r>
        <w:t xml:space="preserve"> </w:t>
      </w:r>
      <w:r>
        <w:t xml:space="preserve">function. The function returns an ECharts dataset that replaces the chart’s placeholder data at render time. This same mechanism supports custom data views that query the SPEC-IR database; see</w:t>
      </w:r>
      <w:r>
        <w:t xml:space="preserve"> </w:t>
      </w:r>
      <w:hyperlink r:id="rId86">
        <w:r>
          <w:rPr>
            <w:rStyle w:val="Hyperlink"/>
          </w:rPr>
          <w:t xml:space="preserve">creating-a-model: Walkthrough: Custom View</w:t>
        </w:r>
      </w:hyperlink>
      <w:r>
        <w:t xml:space="preserve"> </w:t>
      </w:r>
      <w:r>
        <w:t xml:space="preserve">in the model guide for details on creating view modules.</w:t>
      </w:r>
    </w:p>
    <w:bookmarkEnd w:id="87"/>
    <w:bookmarkStart w:id="88" w:name="MANUAL-sec6.6.4"/>
    <w:p>
      <w:pPr>
        <w:pStyle w:val="Heading3"/>
        <w:numPr>
          <w:ilvl w:val="2"/>
          <w:numId w:val="100"/>
        </w:numPr>
      </w:pPr>
      <w:r>
        <w:t xml:space="preserve">Generated Lists</w:t>
      </w:r>
    </w:p>
    <w:p>
      <w:pPr>
        <w:pStyle w:val="FirstParagraph"/>
      </w:pPr>
      <w:r>
        <w:t xml:space="preserve">The [LOF] and [LOT] views produce navigable lists of figures and tables. These are rendered in the appendices of this manual:</w:t>
      </w:r>
    </w:p>
    <w:p>
      <w:pPr>
        <w:pStyle w:val="Compact"/>
        <w:numPr>
          <w:ilvl w:val="0"/>
          <w:numId w:val="1014"/>
        </w:numPr>
      </w:pPr>
      <w:hyperlink w:anchor="MANUAL-sec14">
        <w:r>
          <w:rPr>
            <w:rStyle w:val="Hyperlink"/>
          </w:rPr>
          <w:t xml:space="preserve">List of Figures</w:t>
        </w:r>
      </w:hyperlink>
      <w:r>
        <w:t xml:space="preserve"> </w:t>
      </w:r>
      <w:r>
        <w:t xml:space="preserve">– generated by [LOF]</w:t>
      </w:r>
    </w:p>
    <w:p>
      <w:pPr>
        <w:pStyle w:val="Compact"/>
        <w:numPr>
          <w:ilvl w:val="0"/>
          <w:numId w:val="1014"/>
        </w:numPr>
      </w:pPr>
      <w:hyperlink w:anchor="MANUAL-sec15">
        <w:r>
          <w:rPr>
            <w:rStyle w:val="Hyperlink"/>
          </w:rPr>
          <w:t xml:space="preserve">List of Tables</w:t>
        </w:r>
      </w:hyperlink>
      <w:r>
        <w:t xml:space="preserve"> </w:t>
      </w:r>
      <w:r>
        <w:t xml:space="preserve">– generated by [LOT]</w:t>
      </w:r>
    </w:p>
    <w:p>
      <w:pPr>
        <w:pStyle w:val="Compact"/>
        <w:numPr>
          <w:ilvl w:val="0"/>
          <w:numId w:val="1014"/>
        </w:numPr>
      </w:pPr>
      <w:hyperlink w:anchor="MANUAL-sec17">
        <w:r>
          <w:rPr>
            <w:rStyle w:val="Hyperlink"/>
          </w:rPr>
          <w:t xml:space="preserve">List of Abbreviations</w:t>
        </w:r>
      </w:hyperlink>
      <w:r>
        <w:t xml:space="preserve"> </w:t>
      </w:r>
      <w:r>
        <w:t xml:space="preserve">– generated by</w:t>
      </w:r>
      <w:r>
        <w:t xml:space="preserve"> </w:t>
      </w:r>
      <w:r>
        <w:rPr>
          <w:rStyle w:val="VerbatimChar"/>
        </w:rPr>
        <w:t xml:space="preserve">abbrev_list</w:t>
      </w:r>
    </w:p>
    <w:bookmarkEnd w:id="88"/>
    <w:bookmarkEnd w:id="89"/>
    <w:bookmarkEnd w:id="90"/>
    <w:bookmarkStart w:id="94" w:name="MANUAL-sec7"/>
    <w:p>
      <w:pPr>
        <w:pStyle w:val="Heading1"/>
        <w:numPr>
          <w:ilvl w:val="0"/>
          <w:numId w:val="100"/>
        </w:numPr>
      </w:pPr>
      <w:r>
        <w:t xml:space="preserve">Invocation</w:t>
      </w:r>
    </w:p>
    <w:bookmarkStart w:id="91" w:name="MANUAL-sec7.1"/>
    <w:p>
      <w:pPr>
        <w:pStyle w:val="Heading2"/>
        <w:numPr>
          <w:ilvl w:val="1"/>
          <w:numId w:val="100"/>
        </w:numPr>
      </w:pPr>
      <w:r>
        <w:t xml:space="preserve">Basic Usage</w:t>
      </w:r>
    </w:p>
    <w:bookmarkStart w:id="1073" w:name="listing-src-basic-usage"/>
    <w:p>
      <w:pPr>
        <w:pStyle w:val="Caption"/>
        <w:keepNext/>
      </w:pPr>
      <w:r>
        <w:t xml:space="preserve">Listing </w:t>
      </w:r>
      <w:r>
        <w:fldChar w:fldCharType="begin"/>
      </w:r>
      <w:r>
        <w:instrText xml:space="preserve"> SEQ LISTING \* ARABIC </w:instrText>
      </w:r>
      <w:r>
        <w:fldChar w:fldCharType="separate"/>
      </w:r>
      <w:r>
        <w:t>1</w:t>
      </w:r>
      <w:r>
        <w:fldChar w:fldCharType="end"/>
      </w:r>
      <w:r>
        <w:t xml:space="preserve"> :  Basic invocation</w:t>
      </w:r>
    </w:p>
    <w:p>
      <w:pPr>
        <w:pStyle w:val="SourceCode"/>
      </w:pPr>
      <w:r>
        <w:rPr>
          <w:rStyle w:val="ExtensionTok"/>
        </w:rPr>
        <w:t xml:space="preserve">specc</w:t>
      </w:r>
      <w:r>
        <w:rPr>
          <w:rStyle w:val="NormalTok"/>
        </w:rPr>
        <w:t xml:space="preserve"> build</w:t>
      </w:r>
    </w:p>
    <w:bookmarkEnd w:id="1073"/>
    <w:p>
      <w:pPr>
        <w:pStyle w:val="FirstParagraph"/>
      </w:pPr>
      <w:r>
        <w:t xml:space="preserve">Processes all files from</w:t>
      </w:r>
      <w:r>
        <w:t xml:space="preserve"> </w:t>
      </w:r>
      <w:r>
        <w:rPr>
          <w:rStyle w:val="VerbatimChar"/>
        </w:rPr>
        <w:t xml:space="preserve">doc_files</w:t>
      </w:r>
      <w:r>
        <w:t xml:space="preserve"> </w:t>
      </w:r>
      <w:r>
        <w:t xml:space="preserve">in the current directory’s</w:t>
      </w:r>
      <w:r>
        <w:t xml:space="preserve"> </w:t>
      </w:r>
      <w:r>
        <w:rPr>
          <w:rStyle w:val="VerbatimChar"/>
        </w:rPr>
        <w:t xml:space="preserve">project.yaml</w:t>
      </w:r>
      <w:r>
        <w:t xml:space="preserve">. An alternative project file can be specified:</w:t>
      </w:r>
      <w:r>
        <w:t xml:space="preserve"> </w:t>
      </w:r>
      <w:r>
        <w:rPr>
          <w:rStyle w:val="VerbatimChar"/>
        </w:rPr>
        <w:t xml:space="preserve">specc build my-project.yaml</w:t>
      </w:r>
      <w:r>
        <w:t xml:space="preserve">.</w:t>
      </w:r>
    </w:p>
    <w:bookmarkEnd w:id="91"/>
    <w:bookmarkStart w:id="92" w:name="MANUAL-sec7.2"/>
    <w:p>
      <w:pPr>
        <w:pStyle w:val="Heading2"/>
        <w:numPr>
          <w:ilvl w:val="1"/>
          <w:numId w:val="100"/>
        </w:numPr>
      </w:pPr>
      <w:r>
        <w:t xml:space="preserve">Environment Variables</w:t>
      </w:r>
    </w:p>
    <w:bookmarkStart w:id="23843" w:name="csv-tbl-env-vars"/>
    <w:p>
      <w:pPr>
        <w:pStyle w:val="Caption"/>
        <w:keepNext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>1</w:t>
      </w:r>
      <w:r>
        <w:fldChar w:fldCharType="end"/>
      </w:r>
      <w:r>
        <w:t xml:space="preserve"> :  Environment variables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pace="0" w:color="000000" w:sz="6"/>
          <w:left w:val="single" w:space="0" w:color="000000" w:sz="6"/>
          <w:bottom w:val="single" w:space="0" w:color="000000" w:sz="6"/>
          <w:right w:val="single" w:space="0" w:color="000000" w:sz="6"/>
          <w:insideH w:val="single" w:space="0" w:color="000000" w:sz="6"/>
          <w:insideV w:val="single" w:space="0" w:color="000000" w:sz="6"/>
        </w:tblBorders>
        <w:tblCellMar>
          <w:top w:type="dxa" w:w="57"/>
          <w:left w:type="dxa" w:w="108"/>
          <w:bottom w:type="dxa" w:w="57"/>
          <w:right w:type="dxa" w:w="108"/>
        </w:tblCellMar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8E8E8"/>
          </w:tcPr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b/>
              </w:rPr>
              <w:t xml:space="preserve">Variable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b/>
              </w:rPr>
              <w:t xml:space="preserve">Default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b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rStyle w:val="VerbatimChar"/>
              </w:rPr>
              <w:t xml:space="preserve">SPECCOMPILER_LOG_LEVEL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rStyle w:val="VerbatimChar"/>
              </w:rPr>
              <w:t xml:space="preserve">INFO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Override log level:</w:t>
            </w:r>
            <w:r>
              <w:t xml:space="preserve"> </w:t>
            </w:r>
            <w:r>
              <w:rPr>
                <w:rStyle w:val="VerbatimChar"/>
              </w:rPr>
              <w:t xml:space="preserve">DEBUG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INFO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WARN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</w:p>
        </w:tc>
      </w:tr>
      <w:tr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rStyle w:val="VerbatimChar"/>
              </w:rPr>
              <w:t xml:space="preserve">SPECCOMPILER_HOME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rStyle w:val="VerbatimChar"/>
              </w:rPr>
              <w:t xml:space="preserve">/opt/speccompiler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SpecCompiler installation root (model and binary lookup)</w:t>
            </w:r>
          </w:p>
        </w:tc>
      </w:tr>
      <w:tr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rStyle w:val="VerbatimChar"/>
              </w:rPr>
              <w:t xml:space="preserve">SPECCOMPILER_DIST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rStyle w:val="VerbatimChar"/>
              </w:rPr>
              <w:t xml:space="preserve">/opt/speccompiler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Distribution root (used internally for external renderers)</w:t>
            </w:r>
          </w:p>
        </w:tc>
      </w:tr>
      <w:tr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rStyle w:val="VerbatimChar"/>
              </w:rPr>
              <w:t xml:space="preserve">SPECCOMPILER_IMAGE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rStyle w:val="VerbatimChar"/>
              </w:rPr>
              <w:t xml:space="preserve">speccompiler-core:latest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Docker image reference (overrides default in wrapper)</w:t>
            </w:r>
          </w:p>
        </w:tc>
      </w:tr>
      <w:tr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rStyle w:val="VerbatimChar"/>
              </w:rPr>
              <w:t xml:space="preserve">NO_COLOR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(unset)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Disable ANSI color codes in output</w:t>
            </w:r>
          </w:p>
        </w:tc>
      </w:tr>
    </w:tbl>
    <w:bookmarkEnd w:id="23843"/>
    <w:bookmarkEnd w:id="92"/>
    <w:bookmarkStart w:id="93" w:name="MANUAL-sec7.3"/>
    <w:p>
      <w:pPr>
        <w:pStyle w:val="Heading2"/>
        <w:numPr>
          <w:ilvl w:val="1"/>
          <w:numId w:val="100"/>
        </w:numPr>
      </w:pPr>
      <w:r>
        <w:t xml:space="preserve">Exit Codes</w:t>
      </w:r>
    </w:p>
    <w:bookmarkStart w:id="82958" w:name="csv-tbl-exit-codes"/>
    <w:p>
      <w:pPr>
        <w:pStyle w:val="Caption"/>
        <w:keepNext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>1</w:t>
      </w:r>
      <w:r>
        <w:fldChar w:fldCharType="end"/>
      </w:r>
      <w:r>
        <w:t xml:space="preserve"> :  Exit Codes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pace="0" w:color="000000" w:sz="6"/>
          <w:left w:val="single" w:space="0" w:color="000000" w:sz="6"/>
          <w:bottom w:val="single" w:space="0" w:color="000000" w:sz="6"/>
          <w:right w:val="single" w:space="0" w:color="000000" w:sz="6"/>
          <w:insideH w:val="single" w:space="0" w:color="000000" w:sz="6"/>
          <w:insideV w:val="single" w:space="0" w:color="000000" w:sz="6"/>
        </w:tblBorders>
        <w:tblCellMar>
          <w:top w:type="dxa" w:w="57"/>
          <w:left w:type="dxa" w:w="108"/>
          <w:bottom w:type="dxa" w:w="57"/>
          <w:right w:type="dxa" w:w="108"/>
        </w:tblCellMar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8E8E8"/>
          </w:tcPr>
          <w:p>
            <w:pPr>
              <w:pStyle w:val="Compact"/>
              <w:ind w:right="0" w:firstLine="0" w:left="0"/>
              <w:spacing w:lineRule="auto" w:after="40" w:line="240" w:before="40"/>
            </w:pPr>
            <w:r>
              <w:rPr>
                <w:b/>
              </w:rPr>
              <w:t xml:space="preserve">Code</w:t>
            </w:r>
          </w:p>
        </w:tc>
        <w:tc>
          <w:tcPr>
            <w:shd w:val="clear" w:color="auto" w:fill="E8E8E8"/>
          </w:tcPr>
          <w:p>
            <w:pPr>
              <w:pStyle w:val="Compact"/>
              <w:ind w:right="0" w:firstLine="0" w:left="0"/>
              <w:spacing w:lineRule="auto" w:after="40" w:line="240" w:before="40"/>
            </w:pPr>
            <w:r>
              <w:rPr>
                <w:b/>
              </w:rPr>
              <w:t xml:space="preserve">Meaning</w:t>
            </w:r>
          </w:p>
        </w:tc>
      </w:tr>
      <w:tr>
        <w:tc>
          <w:tcPr/>
          <w:p>
            <w:pPr>
              <w:pStyle w:val="Compact"/>
              <w:ind w:right="0" w:firstLine="0" w:left="0"/>
              <w:spacing w:lineRule="auto" w:after="40" w:line="240" w:before="40"/>
            </w:pPr>
            <w:r>
              <w:t xml:space="preserve">0</w:t>
            </w:r>
          </w:p>
        </w:tc>
        <w:tc>
          <w:tcPr/>
          <w:p>
            <w:pPr>
              <w:pStyle w:val="Compact"/>
              <w:ind w:right="0" w:firstLine="0" w:left="0"/>
              <w:spacing w:lineRule="auto" w:after="40" w:line="240" w:before="40"/>
            </w:pPr>
            <w:r>
              <w:t xml:space="preserve">Success: all documents processed and outputs generated</w:t>
            </w:r>
          </w:p>
        </w:tc>
      </w:tr>
      <w:tr>
        <w:tc>
          <w:tcPr/>
          <w:p>
            <w:pPr>
              <w:pStyle w:val="Compact"/>
              <w:ind w:right="0" w:firstLine="0" w:left="0"/>
              <w:spacing w:lineRule="auto" w:after="40" w:line="240" w:before="40"/>
            </w:pPr>
            <w:r>
              <w:t xml:space="preserve">1</w:t>
            </w:r>
          </w:p>
        </w:tc>
        <w:tc>
          <w:tcPr/>
          <w:p>
            <w:pPr>
              <w:pStyle w:val="Compact"/>
              <w:ind w:right="0" w:firstLine="0" w:left="0"/>
              <w:spacing w:lineRule="auto" w:after="40" w:line="240" w:before="40"/>
            </w:pPr>
            <w:r>
              <w:t xml:space="preserve">Failure: Docker not running or missing config or pipeline error</w:t>
            </w:r>
          </w:p>
        </w:tc>
      </w:tr>
    </w:tbl>
    <w:bookmarkEnd w:id="82958"/>
    <w:bookmarkEnd w:id="93"/>
    <w:bookmarkEnd w:id="94"/>
    <w:bookmarkStart w:id="99" w:name="MANUAL-sec8"/>
    <w:p>
      <w:pPr>
        <w:pStyle w:val="Heading1"/>
        <w:numPr>
          <w:ilvl w:val="0"/>
          <w:numId w:val="100"/>
        </w:numPr>
      </w:pPr>
      <w:r>
        <w:t xml:space="preserve">Output Formats</w:t>
      </w:r>
    </w:p>
    <w:p>
      <w:pPr>
        <w:pStyle w:val="FirstParagraph"/>
      </w:pPr>
      <w:r>
        <w:t xml:space="preserve">Four output formats are supported. Multiple formats can be generated in a single run.</w:t>
      </w:r>
    </w:p>
    <w:bookmarkStart w:id="95" w:name="MANUAL-sec8.1"/>
    <w:p>
      <w:pPr>
        <w:pStyle w:val="Heading2"/>
        <w:numPr>
          <w:ilvl w:val="1"/>
          <w:numId w:val="100"/>
        </w:numPr>
      </w:pPr>
      <w:r>
        <w:t xml:space="preserve">DOCX (Microsoft Word)</w:t>
      </w:r>
    </w:p>
    <w:p>
      <w:pPr>
        <w:pStyle w:val="Compact"/>
        <w:numPr>
          <w:ilvl w:val="0"/>
          <w:numId w:val="1015"/>
        </w:numPr>
      </w:pPr>
      <w:r>
        <w:t xml:space="preserve">Style presets via</w:t>
      </w:r>
      <w:r>
        <w:t xml:space="preserve"> </w:t>
      </w:r>
      <w:r>
        <w:rPr>
          <w:rStyle w:val="VerbatimChar"/>
        </w:rPr>
        <w:t xml:space="preserve">docx.preset</w:t>
      </w:r>
      <w:r>
        <w:t xml:space="preserve"> </w:t>
      </w:r>
      <w:r>
        <w:t xml:space="preserve">or custom</w:t>
      </w:r>
      <w:r>
        <w:t xml:space="preserve"> </w:t>
      </w:r>
      <w:r>
        <w:rPr>
          <w:rStyle w:val="VerbatimChar"/>
        </w:rPr>
        <w:t xml:space="preserve">docx.reference_doc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Model-specific postprocessors for format transformations.</w:t>
      </w:r>
    </w:p>
    <w:p>
      <w:pPr>
        <w:pStyle w:val="FirstParagraph"/>
      </w:pPr>
      <w:r>
        <w:t xml:space="preserve">For a complete guide on customizing DOCX output – including paragraph styles, table styles, caption configuration, and postprocessors – see</w:t>
      </w:r>
      <w:r>
        <w:t xml:space="preserve"> </w:t>
      </w:r>
      <w:hyperlink r:id="rId74">
        <w:r>
          <w:rPr>
            <w:rStyle w:val="Hyperlink"/>
          </w:rPr>
          <w:t xml:space="preserve">docx-customization: Style Presets</w:t>
        </w:r>
      </w:hyperlink>
      <w:r>
        <w:t xml:space="preserve"> </w:t>
      </w:r>
      <w:r>
        <w:t xml:space="preserve">and</w:t>
      </w:r>
      <w:r>
        <w:t xml:space="preserve"> </w:t>
      </w:r>
      <w:hyperlink r:id="rId77">
        <w:r>
          <w:rPr>
            <w:rStyle w:val="Hyperlink"/>
          </w:rPr>
          <w:t xml:space="preserve">docx-customization: Postprocessors</w:t>
        </w:r>
      </w:hyperlink>
      <w:r>
        <w:t xml:space="preserve"> </w:t>
      </w:r>
      <w:r>
        <w:t xml:space="preserve">in the companion</w:t>
      </w:r>
      <w:r>
        <w:t xml:space="preserve"> </w:t>
      </w:r>
      <w:r>
        <w:rPr>
          <w:i/>
          <w:iCs/>
        </w:rPr>
        <w:t xml:space="preserve">DOCX Customization</w:t>
      </w:r>
      <w:r>
        <w:t xml:space="preserve"> </w:t>
      </w:r>
      <w:r>
        <w:t xml:space="preserve">guide.</w:t>
      </w:r>
    </w:p>
    <w:bookmarkEnd w:id="95"/>
    <w:bookmarkStart w:id="96" w:name="MANUAL-sec8.2"/>
    <w:p>
      <w:pPr>
        <w:pStyle w:val="Heading2"/>
        <w:numPr>
          <w:ilvl w:val="1"/>
          <w:numId w:val="100"/>
        </w:numPr>
      </w:pPr>
      <w:r>
        <w:t xml:space="preserve">HTML5</w:t>
      </w:r>
    </w:p>
    <w:bookmarkStart w:id="92230" w:name="csv-tbl-html5-options"/>
    <w:p>
      <w:pPr>
        <w:pStyle w:val="Caption"/>
        <w:keepNext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>1</w:t>
      </w:r>
      <w:r>
        <w:fldChar w:fldCharType="end"/>
      </w:r>
      <w:r>
        <w:t xml:space="preserve"> :  HTML5 output options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pace="0" w:color="000000" w:sz="6"/>
          <w:left w:val="single" w:space="0" w:color="000000" w:sz="6"/>
          <w:bottom w:val="single" w:space="0" w:color="000000" w:sz="6"/>
          <w:right w:val="single" w:space="0" w:color="000000" w:sz="6"/>
          <w:insideH w:val="single" w:space="0" w:color="000000" w:sz="6"/>
          <w:insideV w:val="single" w:space="0" w:color="000000" w:sz="6"/>
        </w:tblBorders>
        <w:tblCellMar>
          <w:top w:type="dxa" w:w="57"/>
          <w:left w:type="dxa" w:w="108"/>
          <w:bottom w:type="dxa" w:w="57"/>
          <w:right w:type="dxa" w:w="108"/>
        </w:tblCellMar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8E8E8"/>
          </w:tcPr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b/>
              </w:rPr>
              <w:t xml:space="preserve">Option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b/>
              </w:rPr>
              <w:t xml:space="preserve">Type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b/>
              </w:rPr>
              <w:t xml:space="preserve">Default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b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rStyle w:val="VerbatimChar"/>
              </w:rPr>
              <w:t xml:space="preserve">number_sections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Add section numbering</w:t>
            </w:r>
          </w:p>
        </w:tc>
      </w:tr>
      <w:tr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rStyle w:val="VerbatimChar"/>
              </w:rPr>
              <w:t xml:space="preserve">table_of_contents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Generate table of contents</w:t>
            </w:r>
          </w:p>
        </w:tc>
      </w:tr>
      <w:tr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rStyle w:val="VerbatimChar"/>
              </w:rPr>
              <w:t xml:space="preserve">toc_depth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Heading depth for TOC</w:t>
            </w:r>
          </w:p>
        </w:tc>
      </w:tr>
      <w:tr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rStyle w:val="VerbatimChar"/>
              </w:rPr>
              <w:t xml:space="preserve">standalone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Produce complete HTML document</w:t>
            </w:r>
          </w:p>
        </w:tc>
      </w:tr>
      <w:tr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rStyle w:val="VerbatimChar"/>
              </w:rPr>
              <w:t xml:space="preserve">embed_resources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Embed CSS and images inline</w:t>
            </w:r>
          </w:p>
        </w:tc>
      </w:tr>
    </w:tbl>
    <w:bookmarkEnd w:id="92230"/>
    <w:bookmarkEnd w:id="96"/>
    <w:bookmarkStart w:id="97" w:name="MANUAL-sec8.3"/>
    <w:p>
      <w:pPr>
        <w:pStyle w:val="Heading2"/>
        <w:numPr>
          <w:ilvl w:val="1"/>
          <w:numId w:val="100"/>
        </w:numPr>
      </w:pPr>
      <w:r>
        <w:t xml:space="preserve">Markdown (GitHub-Flavored Markdown (GFM))</w:t>
      </w:r>
    </w:p>
    <w:p>
      <w:pPr>
        <w:pStyle w:val="FirstParagraph"/>
      </w:pPr>
      <w:r>
        <w:t xml:space="preserve">GitHub-Flavored Markdown. Useful for review platforms and static site generators.</w:t>
      </w:r>
    </w:p>
    <w:bookmarkEnd w:id="97"/>
    <w:bookmarkStart w:id="98" w:name="MANUAL-sec8.4"/>
    <w:p>
      <w:pPr>
        <w:pStyle w:val="Heading2"/>
        <w:numPr>
          <w:ilvl w:val="1"/>
          <w:numId w:val="100"/>
        </w:numPr>
      </w:pPr>
      <w:r>
        <w:t xml:space="preserve">JSON (Pandoc AST)</w:t>
      </w:r>
    </w:p>
    <w:p>
      <w:pPr>
        <w:pStyle w:val="FirstParagraph"/>
      </w:pPr>
      <w:r>
        <w:t xml:space="preserve">Full Pandoc AST for programmatic integration with other tools.</w:t>
      </w:r>
    </w:p>
    <w:bookmarkEnd w:id="98"/>
    <w:bookmarkEnd w:id="99"/>
    <w:bookmarkStart w:id="103" w:name="MANUAL-sec9"/>
    <w:p>
      <w:pPr>
        <w:pStyle w:val="Heading1"/>
        <w:numPr>
          <w:ilvl w:val="0"/>
          <w:numId w:val="100"/>
        </w:numPr>
      </w:pPr>
      <w:r>
        <w:t xml:space="preserve">Verification and Diagnostics</w:t>
      </w:r>
    </w:p>
    <w:bookmarkStart w:id="100" w:name="MANUAL-sec9.1"/>
    <w:p>
      <w:pPr>
        <w:pStyle w:val="Heading2"/>
        <w:numPr>
          <w:ilvl w:val="1"/>
          <w:numId w:val="100"/>
        </w:numPr>
      </w:pPr>
      <w:r>
        <w:t xml:space="preserve">Diagnostic Output</w:t>
      </w:r>
    </w:p>
    <w:p>
      <w:pPr>
        <w:pStyle w:val="FirstParagraph"/>
      </w:pPr>
      <w:r>
        <w:t xml:space="preserve">Diagnostics are emitted in NDJSON format to stderr:</w:t>
      </w:r>
    </w:p>
    <w:bookmarkStart w:id="24499" w:name="listing-src-diagnostic-ndjson"/>
    <w:p>
      <w:pPr>
        <w:pStyle w:val="Caption"/>
        <w:keepNext/>
      </w:pPr>
      <w:r>
        <w:t xml:space="preserve">Listing </w:t>
      </w:r>
      <w:r>
        <w:fldChar w:fldCharType="begin"/>
      </w:r>
      <w:r>
        <w:instrText xml:space="preserve"> SEQ LISTING \* ARABIC </w:instrText>
      </w:r>
      <w:r>
        <w:fldChar w:fldCharType="separate"/>
      </w:r>
      <w:r>
        <w:t>1</w:t>
      </w:r>
      <w:r>
        <w:fldChar w:fldCharType="end"/>
      </w:r>
      <w:r>
        <w:t xml:space="preserve"> :  Diagnostic NDJSON example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"error"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"[object_missing_required] Object missing required attribute 'priority' on HLR-001"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"file"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"srs.md"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"line"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}</w:t>
      </w:r>
    </w:p>
    <w:bookmarkEnd w:id="24499"/>
    <w:bookmarkEnd w:id="100"/>
    <w:bookmarkStart w:id="101" w:name="MANUAL-sec9.2"/>
    <w:p>
      <w:pPr>
        <w:pStyle w:val="Heading2"/>
        <w:numPr>
          <w:ilvl w:val="1"/>
          <w:numId w:val="100"/>
        </w:numPr>
      </w:pPr>
      <w:r>
        <w:t xml:space="preserve">Diagnostic Reference</w:t>
      </w:r>
    </w:p>
    <w:bookmarkStart w:id="98060" w:name="csv-tbl-error-codes"/>
    <w:p>
      <w:pPr>
        <w:pStyle w:val="Caption"/>
        <w:keepNext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>1</w:t>
      </w:r>
      <w:r>
        <w:fldChar w:fldCharType="end"/>
      </w:r>
      <w:r>
        <w:t xml:space="preserve"> :  Validation diagnostics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pace="0" w:color="000000" w:sz="6"/>
          <w:left w:val="single" w:space="0" w:color="000000" w:sz="6"/>
          <w:bottom w:val="single" w:space="0" w:color="000000" w:sz="6"/>
          <w:right w:val="single" w:space="0" w:color="000000" w:sz="6"/>
          <w:insideH w:val="single" w:space="0" w:color="000000" w:sz="6"/>
          <w:insideV w:val="single" w:space="0" w:color="000000" w:sz="6"/>
        </w:tblBorders>
        <w:tblCellMar>
          <w:top w:type="dxa" w:w="57"/>
          <w:left w:type="dxa" w:w="108"/>
          <w:bottom w:type="dxa" w:w="57"/>
          <w:right w:type="dxa" w:w="108"/>
        </w:tblCellMar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E8E8E8"/>
          </w:tcPr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b/>
              </w:rPr>
              <w:t xml:space="preserve">Policy Key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b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rStyle w:val="VerbatimChar"/>
              </w:rPr>
              <w:t xml:space="preserve">spec_missing_required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Specification missing required attribute</w:t>
            </w:r>
          </w:p>
        </w:tc>
      </w:tr>
      <w:tr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rStyle w:val="VerbatimChar"/>
              </w:rPr>
              <w:t xml:space="preserve">spec_invalid_type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Invalid specification type reference</w:t>
            </w:r>
          </w:p>
        </w:tc>
      </w:tr>
      <w:tr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rStyle w:val="VerbatimChar"/>
              </w:rPr>
              <w:t xml:space="preserve">object_missing_required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Spec object missing required attribute</w:t>
            </w:r>
          </w:p>
        </w:tc>
      </w:tr>
      <w:tr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rStyle w:val="VerbatimChar"/>
              </w:rPr>
              <w:t xml:space="preserve">object_cardinality_over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Attribute cardinality exceeded</w:t>
            </w:r>
          </w:p>
        </w:tc>
      </w:tr>
      <w:tr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rStyle w:val="VerbatimChar"/>
              </w:rPr>
              <w:t xml:space="preserve">object_cast_failures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Attribute type cast failure</w:t>
            </w:r>
          </w:p>
        </w:tc>
      </w:tr>
      <w:tr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rStyle w:val="VerbatimChar"/>
              </w:rPr>
              <w:t xml:space="preserve">object_invalid_enum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Invalid enum value</w:t>
            </w:r>
          </w:p>
        </w:tc>
      </w:tr>
      <w:tr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rStyle w:val="VerbatimChar"/>
              </w:rPr>
              <w:t xml:space="preserve">object_invalid_date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Invalid date format (expected YYYY-MM-DD)</w:t>
            </w:r>
          </w:p>
        </w:tc>
      </w:tr>
      <w:tr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rStyle w:val="VerbatimChar"/>
              </w:rPr>
              <w:t xml:space="preserve">object_bounds_violation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Value outside declared bounds</w:t>
            </w:r>
          </w:p>
        </w:tc>
      </w:tr>
      <w:tr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rStyle w:val="VerbatimChar"/>
              </w:rPr>
              <w:t xml:space="preserve">object_duplicate_pid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Duplicate PID across spec objects</w:t>
            </w:r>
          </w:p>
        </w:tc>
      </w:tr>
      <w:tr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rStyle w:val="VerbatimChar"/>
              </w:rPr>
              <w:t xml:space="preserve">float_orphan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Float has no parent object (orphan)</w:t>
            </w:r>
          </w:p>
        </w:tc>
      </w:tr>
      <w:tr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rStyle w:val="VerbatimChar"/>
              </w:rPr>
              <w:t xml:space="preserve">float_duplicate_label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Duplicate float label in specification</w:t>
            </w:r>
          </w:p>
        </w:tc>
      </w:tr>
      <w:tr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rStyle w:val="VerbatimChar"/>
              </w:rPr>
              <w:t xml:space="preserve">float_render_failure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External render failure</w:t>
            </w:r>
          </w:p>
        </w:tc>
      </w:tr>
      <w:tr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rStyle w:val="VerbatimChar"/>
              </w:rPr>
              <w:t xml:space="preserve">float_invalid_type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Invalid float type reference</w:t>
            </w:r>
          </w:p>
        </w:tc>
      </w:tr>
      <w:tr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rStyle w:val="VerbatimChar"/>
              </w:rPr>
              <w:t xml:space="preserve">relation_unresolved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Unresolved link (PIDs are case-sensitive)</w:t>
            </w:r>
          </w:p>
        </w:tc>
      </w:tr>
      <w:tr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rStyle w:val="VerbatimChar"/>
              </w:rPr>
              <w:t xml:space="preserve">relation_dangling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Dangling relation (target not found)</w:t>
            </w:r>
          </w:p>
        </w:tc>
      </w:tr>
      <w:tr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rStyle w:val="VerbatimChar"/>
              </w:rPr>
              <w:t xml:space="preserve">relation_ambiguous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Ambiguous float reference</w:t>
            </w:r>
          </w:p>
        </w:tc>
      </w:tr>
      <w:tr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rStyle w:val="VerbatimChar"/>
              </w:rPr>
              <w:t xml:space="preserve">view_materialization_failure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View materialization failure</w:t>
            </w:r>
          </w:p>
        </w:tc>
      </w:tr>
    </w:tbl>
    <w:bookmarkEnd w:id="98060"/>
    <w:bookmarkEnd w:id="101"/>
    <w:bookmarkStart w:id="102" w:name="MANUAL-sec9.3"/>
    <w:p>
      <w:pPr>
        <w:pStyle w:val="Heading2"/>
        <w:numPr>
          <w:ilvl w:val="1"/>
          <w:numId w:val="100"/>
        </w:numPr>
      </w:pPr>
      <w:r>
        <w:t xml:space="preserve">Suppressing Validation Rules</w:t>
      </w:r>
    </w:p>
    <w:p>
      <w:pPr>
        <w:pStyle w:val="FirstParagraph"/>
      </w:pPr>
      <w:r>
        <w:t xml:space="preserve">Every diagnostic listed in</w:t>
      </w:r>
      <w:r>
        <w:t xml:space="preserve"> </w:t>
      </w:r>
      <w:hyperlink w:anchor="csv-tbl-error-codes">
        <w:r>
          <w:rPr>
            <w:rStyle w:val="Hyperlink"/>
          </w:rPr>
          <w:t xml:space="preserve">Table 16</w:t>
        </w:r>
      </w:hyperlink>
      <w:r>
        <w:t xml:space="preserve"> </w:t>
      </w:r>
      <w:r>
        <w:t xml:space="preserve">can be suppressed or downgraded in</w:t>
      </w:r>
      <w:r>
        <w:t xml:space="preserve"> </w:t>
      </w:r>
      <w:r>
        <w:rPr>
          <w:rStyle w:val="VerbatimChar"/>
        </w:rPr>
        <w:t xml:space="preserve">project.yaml</w:t>
      </w:r>
      <w:r>
        <w:t xml:space="preserve"> </w:t>
      </w:r>
      <w:r>
        <w:t xml:space="preserve">using its policy key:</w:t>
      </w:r>
    </w:p>
    <w:bookmarkStart w:id="14565" w:name="listing-src-suppress-example"/>
    <w:p>
      <w:pPr>
        <w:pStyle w:val="Caption"/>
        <w:keepNext/>
      </w:pPr>
      <w:r>
        <w:t xml:space="preserve">Listing </w:t>
      </w:r>
      <w:r>
        <w:fldChar w:fldCharType="begin"/>
      </w:r>
      <w:r>
        <w:instrText xml:space="preserve"> SEQ LISTING \* ARABIC </w:instrText>
      </w:r>
      <w:r>
        <w:fldChar w:fldCharType="separate"/>
      </w:r>
      <w:r>
        <w:t>1</w:t>
      </w:r>
      <w:r>
        <w:fldChar w:fldCharType="end"/>
      </w:r>
      <w:r>
        <w:t xml:space="preserve"> :  Suppressing a validation rule</w:t>
      </w:r>
    </w:p>
    <w:p>
      <w:pPr>
        <w:pStyle w:val="SourceCode"/>
      </w:pPr>
      <w:r>
        <w:rPr>
          <w:rStyle w:val="FunctionTok"/>
        </w:rPr>
        <w:t xml:space="preserve">validation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float_orphan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ignore</w:t>
      </w:r>
      <w:r>
        <w:rPr>
          <w:rStyle w:val="CommentTok"/>
        </w:rPr>
        <w:t xml:space="preserve">              # suppress entirely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relation_unresolved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warn</w:t>
      </w:r>
      <w:r>
        <w:rPr>
          <w:rStyle w:val="CommentTok"/>
        </w:rPr>
        <w:t xml:space="preserve">         # downgrade to warning</w:t>
      </w:r>
    </w:p>
    <w:bookmarkEnd w:id="14565"/>
    <w:p>
      <w:pPr>
        <w:pStyle w:val="FirstParagraph"/>
      </w:pPr>
      <w:r>
        <w:t xml:space="preserve">All proofs default to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(halt the build). Set a key to</w:t>
      </w:r>
      <w:r>
        <w:t xml:space="preserve"> </w:t>
      </w:r>
      <w:r>
        <w:rPr>
          <w:rStyle w:val="VerbatimChar"/>
        </w:rPr>
        <w:t xml:space="preserve">warn</w:t>
      </w:r>
      <w:r>
        <w:t xml:space="preserve"> </w:t>
      </w:r>
      <w:r>
        <w:t xml:space="preserve">to emit a warning without halting, or</w:t>
      </w:r>
      <w:r>
        <w:t xml:space="preserve"> </w:t>
      </w:r>
      <w:r>
        <w:rPr>
          <w:rStyle w:val="VerbatimChar"/>
        </w:rPr>
        <w:t xml:space="preserve">ignore</w:t>
      </w:r>
      <w:r>
        <w:t xml:space="preserve"> </w:t>
      </w:r>
      <w:r>
        <w:t xml:space="preserve">to suppress the diagnostic entirely. Custom proofs can define their own policy keys; see</w:t>
      </w:r>
      <w:r>
        <w:t xml:space="preserve"> </w:t>
      </w:r>
      <w:hyperlink r:id="rId25">
        <w:r>
          <w:rPr>
            <w:rStyle w:val="Hyperlink"/>
          </w:rPr>
          <w:t xml:space="preserve">creating-a-model: Validation Proofs</w:t>
        </w:r>
      </w:hyperlink>
      <w:r>
        <w:t xml:space="preserve"> </w:t>
      </w:r>
      <w:r>
        <w:t xml:space="preserve">in the model guide.</w:t>
      </w:r>
    </w:p>
    <w:bookmarkEnd w:id="102"/>
    <w:bookmarkEnd w:id="103"/>
    <w:bookmarkStart w:id="106" w:name="MANUAL-sec10"/>
    <w:p>
      <w:pPr>
        <w:pStyle w:val="Heading1"/>
        <w:numPr>
          <w:ilvl w:val="0"/>
          <w:numId w:val="100"/>
        </w:numPr>
      </w:pPr>
      <w:r>
        <w:t xml:space="preserve">Incremental Builds</w:t>
      </w:r>
    </w:p>
    <w:bookmarkStart w:id="104" w:name="MANUAL-sec10.1"/>
    <w:p>
      <w:pPr>
        <w:pStyle w:val="Heading2"/>
        <w:numPr>
          <w:ilvl w:val="1"/>
          <w:numId w:val="100"/>
        </w:numPr>
      </w:pPr>
      <w:r>
        <w:t xml:space="preserve">Build Cache Mechanism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File hashing</w:t>
      </w:r>
      <w:r>
        <w:t xml:space="preserve"> </w:t>
      </w:r>
      <w:r>
        <w:t xml:space="preserve">– SHA-1 hash of each input file.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Include dependency tracking</w:t>
      </w:r>
      <w:r>
        <w:t xml:space="preserve"> </w:t>
      </w:r>
      <w:r>
        <w:t xml:space="preserve">– Tracked in</w:t>
      </w:r>
      <w:r>
        <w:t xml:space="preserve"> </w:t>
      </w:r>
      <w:r>
        <w:rPr>
          <w:rStyle w:val="VerbatimChar"/>
        </w:rPr>
        <w:t xml:space="preserve">build_graph</w:t>
      </w:r>
      <w:r>
        <w:t xml:space="preserve"> </w:t>
      </w:r>
      <w:r>
        <w:t xml:space="preserve">table.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Cache comparison</w:t>
      </w:r>
      <w:r>
        <w:t xml:space="preserve"> </w:t>
      </w:r>
      <w:r>
        <w:t xml:space="preserve">– Current hashes vs</w:t>
      </w:r>
      <w:r>
        <w:t xml:space="preserve"> </w:t>
      </w:r>
      <w:r>
        <w:rPr>
          <w:rStyle w:val="VerbatimChar"/>
        </w:rPr>
        <w:t xml:space="preserve">build_cache</w:t>
      </w:r>
      <w:r>
        <w:t xml:space="preserve"> </w:t>
      </w:r>
      <w:r>
        <w:t xml:space="preserve">table.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Skip decision</w:t>
      </w:r>
      <w:r>
        <w:t xml:space="preserve"> </w:t>
      </w:r>
      <w:r>
        <w:t xml:space="preserve">– Unchanged documents reuse cached SPEC-IR data.</w:t>
      </w:r>
    </w:p>
    <w:bookmarkEnd w:id="104"/>
    <w:bookmarkStart w:id="105" w:name="MANUAL-sec10.2"/>
    <w:p>
      <w:pPr>
        <w:pStyle w:val="Heading2"/>
        <w:numPr>
          <w:ilvl w:val="1"/>
          <w:numId w:val="100"/>
        </w:numPr>
      </w:pPr>
      <w:r>
        <w:t xml:space="preserve">Forcing a Full Rebuild</w:t>
      </w:r>
    </w:p>
    <w:bookmarkStart w:id="55656" w:name="listing-src-force-rebuild"/>
    <w:p>
      <w:pPr>
        <w:pStyle w:val="Caption"/>
        <w:keepNext/>
      </w:pPr>
      <w:r>
        <w:t xml:space="preserve">Listing </w:t>
      </w:r>
      <w:r>
        <w:fldChar w:fldCharType="begin"/>
      </w:r>
      <w:r>
        <w:instrText xml:space="preserve"> SEQ LISTING \* ARABIC </w:instrText>
      </w:r>
      <w:r>
        <w:fldChar w:fldCharType="separate"/>
      </w:r>
      <w:r>
        <w:t>1</w:t>
      </w:r>
      <w:r>
        <w:fldChar w:fldCharType="end"/>
      </w:r>
      <w:r>
        <w:t xml:space="preserve"> :  Force full rebuild</w:t>
      </w:r>
    </w:p>
    <w:p>
      <w:pPr>
        <w:pStyle w:val="SourceCode"/>
      </w:pPr>
      <w:r>
        <w:rPr>
          <w:rStyle w:val="ExtensionTok"/>
        </w:rPr>
        <w:t xml:space="preserve">specc</w:t>
      </w:r>
      <w:r>
        <w:rPr>
          <w:rStyle w:val="NormalTok"/>
        </w:rPr>
        <w:t xml:space="preserve"> clean</w:t>
      </w:r>
      <w:r>
        <w:br/>
      </w:r>
      <w:r>
        <w:rPr>
          <w:rStyle w:val="ExtensionTok"/>
        </w:rPr>
        <w:t xml:space="preserve">specc</w:t>
      </w:r>
      <w:r>
        <w:rPr>
          <w:rStyle w:val="NormalTok"/>
        </w:rPr>
        <w:t xml:space="preserve"> build</w:t>
      </w:r>
    </w:p>
    <w:bookmarkEnd w:id="55656"/>
    <w:bookmarkEnd w:id="105"/>
    <w:bookmarkEnd w:id="106"/>
    <w:bookmarkStart w:id="115" w:name="MANUAL-sec11"/>
    <w:p>
      <w:pPr>
        <w:pStyle w:val="Heading1"/>
        <w:numPr>
          <w:ilvl w:val="0"/>
          <w:numId w:val="100"/>
        </w:numPr>
      </w:pPr>
      <w:r>
        <w:t xml:space="preserve">Type System and Models</w:t>
      </w:r>
    </w:p>
    <w:bookmarkStart w:id="110" w:name="MANUAL-sec11.1"/>
    <w:p>
      <w:pPr>
        <w:pStyle w:val="Heading2"/>
        <w:numPr>
          <w:ilvl w:val="1"/>
          <w:numId w:val="100"/>
        </w:numPr>
      </w:pPr>
      <w:r>
        <w:t xml:space="preserve">Custom Models</w:t>
      </w:r>
    </w:p>
    <w:p>
      <w:pPr>
        <w:pStyle w:val="FirstParagraph"/>
      </w:pPr>
      <w:r>
        <w:t xml:space="preserve">Set</w:t>
      </w:r>
      <w:r>
        <w:t xml:space="preserve"> </w:t>
      </w:r>
      <w:r>
        <w:rPr>
          <w:rStyle w:val="VerbatimChar"/>
        </w:rPr>
        <w:t xml:space="preserve">template: mymodel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project.yaml</w:t>
      </w:r>
      <w:r>
        <w:t xml:space="preserve">. Types load in order: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models/default/types/</w:t>
      </w:r>
      <w:r>
        <w:t xml:space="preserve"> </w:t>
      </w:r>
      <w:r>
        <w:t xml:space="preserve">– Always loaded first.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models/mymodel/types/</w:t>
      </w:r>
      <w:r>
        <w:t xml:space="preserve"> </w:t>
      </w:r>
      <w:r>
        <w:t xml:space="preserve">– Loaded as overlay.</w:t>
      </w:r>
    </w:p>
    <w:p>
      <w:pPr>
        <w:pStyle w:val="FirstParagraph"/>
      </w:pPr>
      <w:r>
        <w:t xml:space="preserve">For a complete walkthrough on creating custom types, including object types, float types, relation types with inference rules, and view types, see the companion</w:t>
      </w:r>
      <w:r>
        <w:t xml:space="preserve"> </w:t>
      </w:r>
      <w:r>
        <w:rPr>
          <w:i/>
          <w:iCs/>
        </w:rPr>
        <w:t xml:space="preserve">Creating a Custom Model</w:t>
      </w:r>
      <w:r>
        <w:t xml:space="preserve"> </w:t>
      </w:r>
      <w:r>
        <w:t xml:space="preserve">guide. Key sections include:</w:t>
      </w:r>
    </w:p>
    <w:p>
      <w:pPr>
        <w:pStyle w:val="Compact"/>
        <w:numPr>
          <w:ilvl w:val="0"/>
          <w:numId w:val="1018"/>
        </w:numPr>
      </w:pPr>
      <w:hyperlink r:id="rId23">
        <w:r>
          <w:rPr>
            <w:rStyle w:val="Hyperlink"/>
          </w:rPr>
          <w:t xml:space="preserve">creating-a-model: Model Directory Layout</w:t>
        </w:r>
      </w:hyperlink>
      <w:r>
        <w:t xml:space="preserve"> </w:t>
      </w:r>
      <w:r>
        <w:t xml:space="preserve">– Directory structure for models.</w:t>
      </w:r>
    </w:p>
    <w:p>
      <w:pPr>
        <w:pStyle w:val="Compact"/>
        <w:numPr>
          <w:ilvl w:val="0"/>
          <w:numId w:val="1018"/>
        </w:numPr>
      </w:pPr>
      <w:hyperlink r:id="rId107">
        <w:r>
          <w:rPr>
            <w:rStyle w:val="Hyperlink"/>
          </w:rPr>
          <w:t xml:space="preserve">creating-a-model: Type Definition Pattern</w:t>
        </w:r>
      </w:hyperlink>
      <w:r>
        <w:t xml:space="preserve"> </w:t>
      </w:r>
      <w:r>
        <w:t xml:space="preserve">– Schema keys by category and handler lifecycle.</w:t>
      </w:r>
    </w:p>
    <w:p>
      <w:pPr>
        <w:pStyle w:val="Compact"/>
        <w:numPr>
          <w:ilvl w:val="0"/>
          <w:numId w:val="1018"/>
        </w:numPr>
      </w:pPr>
      <w:hyperlink r:id="rId108">
        <w:r>
          <w:rPr>
            <w:rStyle w:val="Hyperlink"/>
          </w:rPr>
          <w:t xml:space="preserve">creating-a-model: Walkthrough: Custom Object Type</w:t>
        </w:r>
      </w:hyperlink>
      <w:r>
        <w:t xml:space="preserve"> </w:t>
      </w:r>
      <w:r>
        <w:t xml:space="preserve">– Custom object type with attributes.</w:t>
      </w:r>
    </w:p>
    <w:p>
      <w:pPr>
        <w:pStyle w:val="Compact"/>
        <w:numPr>
          <w:ilvl w:val="0"/>
          <w:numId w:val="1018"/>
        </w:numPr>
      </w:pPr>
      <w:hyperlink r:id="rId109">
        <w:r>
          <w:rPr>
            <w:rStyle w:val="Hyperlink"/>
          </w:rPr>
          <w:t xml:space="preserve">creating-a-model: Walkthrough: Custom Relation with Inference Rules</w:t>
        </w:r>
      </w:hyperlink>
      <w:r>
        <w:t xml:space="preserve"> </w:t>
      </w:r>
      <w:r>
        <w:t xml:space="preserve">– Relation inference scoring.</w:t>
      </w:r>
    </w:p>
    <w:p>
      <w:pPr>
        <w:pStyle w:val="Compact"/>
        <w:numPr>
          <w:ilvl w:val="0"/>
          <w:numId w:val="1018"/>
        </w:numPr>
      </w:pPr>
      <w:hyperlink r:id="rId25">
        <w:r>
          <w:rPr>
            <w:rStyle w:val="Hyperlink"/>
          </w:rPr>
          <w:t xml:space="preserve">creating-a-model: Validation Proofs</w:t>
        </w:r>
      </w:hyperlink>
      <w:r>
        <w:t xml:space="preserve"> </w:t>
      </w:r>
      <w:r>
        <w:t xml:space="preserve">– SQL-based proof views for the VERIFY phase.</w:t>
      </w:r>
    </w:p>
    <w:bookmarkEnd w:id="110"/>
    <w:bookmarkStart w:id="111" w:name="MANUAL-sec11.2"/>
    <w:p>
      <w:pPr>
        <w:pStyle w:val="Heading2"/>
        <w:numPr>
          <w:ilvl w:val="1"/>
          <w:numId w:val="100"/>
        </w:numPr>
      </w:pPr>
      <w:r>
        <w:t xml:space="preserve">Built-in Models</w:t>
      </w:r>
    </w:p>
    <w:p>
      <w:pPr>
        <w:pStyle w:val="FirstParagraph"/>
      </w:pPr>
      <w:r>
        <w:t xml:space="preserve">SpecCompiler ships with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sw_docs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model provides general-purpose types (specifications, sections, floats, cross-references, views). The</w:t>
      </w:r>
      <w:r>
        <w:t xml:space="preserve"> </w:t>
      </w:r>
      <w:r>
        <w:rPr>
          <w:rStyle w:val="VerbatimChar"/>
        </w:rPr>
        <w:t xml:space="preserve">sw_docs</w:t>
      </w:r>
      <w:r>
        <w:t xml:space="preserve"> </w:t>
      </w:r>
      <w:r>
        <w:t xml:space="preserve">model overlays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with types for requirements engineering and traceability: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Object types</w:t>
      </w:r>
      <w:r>
        <w:t xml:space="preserve">: HLR, LLR, NFR, VC, TR, FD, CSC, CSU, DIC, DD, SF (all extend a common TRACEABLE base with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attribute and PID auto-generation)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Specification types</w:t>
      </w:r>
      <w:r>
        <w:t xml:space="preserve">: SRS, SDD, SVC, SUM, TRR (document templates with version, status, date)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Relation types</w:t>
      </w:r>
      <w:r>
        <w:t xml:space="preserve">: TRACES_TO, BELONGS, REALIZES, XREF_DECOMPOSITION, XREF_DIC (traceability links with specificity-based inference)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View types</w:t>
      </w:r>
      <w:r>
        <w:t xml:space="preserve">: TRACEABILITY_MATRIX, TEST_RESULTS_MATRIX, TEST_EXECUTION_MATRIX, COVERAGE_SUMMARY, REQUIREMENTS_SUMMARY (query-based tables materialized from the SPEC-IR)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Proofs</w:t>
      </w:r>
      <w:r>
        <w:t xml:space="preserve">: Traceability chain validation (VC-HLR, TR-VC, FD-CSC/CSU coverage)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Postprocessor</w:t>
      </w:r>
      <w:r>
        <w:t xml:space="preserve">: Interactive single-file HTML5 web application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docs/engineering_docs/</w:t>
      </w:r>
      <w:r>
        <w:t xml:space="preserve"> </w:t>
      </w:r>
      <w:r>
        <w:t xml:space="preserve">directory in this repository uses</w:t>
      </w:r>
      <w:r>
        <w:t xml:space="preserve"> </w:t>
      </w:r>
      <w:r>
        <w:rPr>
          <w:rStyle w:val="VerbatimChar"/>
        </w:rPr>
        <w:t xml:space="preserve">sw_docs</w:t>
      </w:r>
      <w:r>
        <w:t xml:space="preserve"> </w:t>
      </w:r>
      <w:r>
        <w:t xml:space="preserve">and serves as a living example of the model in practice.</w:t>
      </w:r>
    </w:p>
    <w:bookmarkEnd w:id="111"/>
    <w:bookmarkStart w:id="112" w:name="MANUAL-sec11.3"/>
    <w:p>
      <w:pPr>
        <w:pStyle w:val="Heading2"/>
        <w:numPr>
          <w:ilvl w:val="1"/>
          <w:numId w:val="100"/>
        </w:numPr>
      </w:pPr>
      <w:r>
        <w:t xml:space="preserve">Type Directory Structure</w:t>
      </w:r>
    </w:p>
    <w:bookmarkStart w:id="11264" w:name="listing-src-type-directory-tree"/>
    <w:p>
      <w:pPr>
        <w:pStyle w:val="Caption"/>
        <w:keepNext/>
      </w:pPr>
      <w:r>
        <w:t xml:space="preserve">Listing </w:t>
      </w:r>
      <w:r>
        <w:fldChar w:fldCharType="begin"/>
      </w:r>
      <w:r>
        <w:instrText xml:space="preserve"> SEQ LISTING \* ARABIC </w:instrText>
      </w:r>
      <w:r>
        <w:fldChar w:fldCharType="separate"/>
      </w:r>
      <w:r>
        <w:t>1</w:t>
      </w:r>
      <w:r>
        <w:fldChar w:fldCharType="end"/>
      </w:r>
      <w:r>
        <w:t xml:space="preserve"> :  Type model directory structure</w:t>
      </w:r>
    </w:p>
    <w:p>
      <w:pPr>
        <w:pStyle w:val="SourceCode"/>
      </w:pPr>
      <w:r>
        <w:rPr>
          <w:rStyle w:val="VerbatimChar"/>
        </w:rPr>
        <w:t xml:space="preserve">models/{template}/</w:t>
      </w:r>
      <w:r>
        <w:br/>
      </w:r>
      <w:r>
        <w:rPr>
          <w:rStyle w:val="VerbatimChar"/>
        </w:rPr>
        <w:t xml:space="preserve">  types/</w:t>
      </w:r>
      <w:r>
        <w:br/>
      </w:r>
      <w:r>
        <w:rPr>
          <w:rStyle w:val="VerbatimChar"/>
        </w:rPr>
        <w:t xml:space="preserve">    objects/          # Spec object types</w:t>
      </w:r>
      <w:r>
        <w:br/>
      </w:r>
      <w:r>
        <w:rPr>
          <w:rStyle w:val="VerbatimChar"/>
        </w:rPr>
        <w:t xml:space="preserve">    floats/           # Float types</w:t>
      </w:r>
      <w:r>
        <w:br/>
      </w:r>
      <w:r>
        <w:rPr>
          <w:rStyle w:val="VerbatimChar"/>
        </w:rPr>
        <w:t xml:space="preserve">    relations/        # Relation types</w:t>
      </w:r>
      <w:r>
        <w:br/>
      </w:r>
      <w:r>
        <w:rPr>
          <w:rStyle w:val="VerbatimChar"/>
        </w:rPr>
        <w:t xml:space="preserve">    views/            # View types</w:t>
      </w:r>
      <w:r>
        <w:br/>
      </w:r>
      <w:r>
        <w:rPr>
          <w:rStyle w:val="VerbatimChar"/>
        </w:rPr>
        <w:t xml:space="preserve">    specifications/   # Specification types</w:t>
      </w:r>
      <w:r>
        <w:br/>
      </w:r>
      <w:r>
        <w:rPr>
          <w:rStyle w:val="VerbatimChar"/>
        </w:rPr>
        <w:t xml:space="preserve">  postprocessors/     # Format-specific post-processing</w:t>
      </w:r>
      <w:r>
        <w:br/>
      </w:r>
      <w:r>
        <w:rPr>
          <w:rStyle w:val="VerbatimChar"/>
        </w:rPr>
        <w:t xml:space="preserve">  styles/             # DOCX style presets</w:t>
      </w:r>
      <w:r>
        <w:br/>
      </w:r>
      <w:r>
        <w:rPr>
          <w:rStyle w:val="VerbatimChar"/>
        </w:rPr>
        <w:t xml:space="preserve">  filters/            # Pandoc Lua filters per output format</w:t>
      </w:r>
    </w:p>
    <w:bookmarkEnd w:id="11264"/>
    <w:bookmarkEnd w:id="112"/>
    <w:bookmarkStart w:id="113" w:name="MANUAL-sec11.4"/>
    <w:p>
      <w:pPr>
        <w:pStyle w:val="Heading2"/>
        <w:numPr>
          <w:ilvl w:val="1"/>
          <w:numId w:val="100"/>
        </w:numPr>
      </w:pPr>
      <w:r>
        <w:t xml:space="preserve">Type Module Structure</w:t>
      </w:r>
    </w:p>
    <w:p>
      <w:pPr>
        <w:pStyle w:val="FirstParagraph"/>
      </w:pPr>
      <w:r>
        <w:rPr>
          <w:b/>
          <w:bCs/>
        </w:rPr>
        <w:t xml:space="preserve">Object type:</w:t>
      </w:r>
    </w:p>
    <w:bookmarkStart w:id="90468" w:name="listing-src-object-type-module"/>
    <w:p>
      <w:pPr>
        <w:pStyle w:val="Caption"/>
        <w:keepNext/>
      </w:pPr>
      <w:r>
        <w:t xml:space="preserve">Listing </w:t>
      </w:r>
      <w:r>
        <w:fldChar w:fldCharType="begin"/>
      </w:r>
      <w:r>
        <w:instrText xml:space="preserve"> SEQ LISTING \* ARABIC </w:instrText>
      </w:r>
      <w:r>
        <w:fldChar w:fldCharType="separate"/>
      </w:r>
      <w:r>
        <w:t>1</w:t>
      </w:r>
      <w:r>
        <w:fldChar w:fldCharType="end"/>
      </w:r>
      <w:r>
        <w:t xml:space="preserve"> :  Object type module example</w:t>
      </w:r>
    </w:p>
    <w:p>
      <w:pPr>
        <w:pStyle w:val="SourceCode"/>
      </w:pP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rPr>
          <w:rStyle w:val="ConstantTok"/>
        </w:rPr>
        <w:t xml:space="preserve">M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"HLR"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long_name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"High-Level Requirement"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pid_prefix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"HLR"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pid_format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"%s-%03d"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attributes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"priority"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datatype_ref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"PRIORITY_ENUM"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VariableTok"/>
        </w:rPr>
        <w:t xml:space="preserve">min_occurs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max_occurs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VariableTok"/>
        </w:rPr>
        <w:t xml:space="preserve">values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"High"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M</w:t>
      </w:r>
    </w:p>
    <w:bookmarkEnd w:id="90468"/>
    <w:p>
      <w:pPr>
        <w:pStyle w:val="FirstParagraph"/>
      </w:pPr>
      <w:r>
        <w:rPr>
          <w:b/>
          <w:bCs/>
        </w:rPr>
        <w:t xml:space="preserve">Relation type:</w:t>
      </w:r>
    </w:p>
    <w:bookmarkStart w:id="55809" w:name="listing-src-relation-type-module"/>
    <w:p>
      <w:pPr>
        <w:pStyle w:val="Caption"/>
        <w:keepNext/>
      </w:pPr>
      <w:r>
        <w:t xml:space="preserve">Listing </w:t>
      </w:r>
      <w:r>
        <w:fldChar w:fldCharType="begin"/>
      </w:r>
      <w:r>
        <w:instrText xml:space="preserve"> SEQ LISTING \* ARABIC </w:instrText>
      </w:r>
      <w:r>
        <w:fldChar w:fldCharType="separate"/>
      </w:r>
      <w:r>
        <w:t>1</w:t>
      </w:r>
      <w:r>
        <w:fldChar w:fldCharType="end"/>
      </w:r>
      <w:r>
        <w:t xml:space="preserve"> :  Relation type module example</w:t>
      </w:r>
    </w:p>
    <w:p>
      <w:pPr>
        <w:pStyle w:val="SourceCode"/>
      </w:pP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rPr>
          <w:rStyle w:val="ConstantTok"/>
        </w:rPr>
        <w:t xml:space="preserve">M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relation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"TRACES_TO"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link_selector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source_type_ref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"LLR"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target_type_ref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"HLR"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M</w:t>
      </w:r>
    </w:p>
    <w:bookmarkEnd w:id="55809"/>
    <w:bookmarkEnd w:id="113"/>
    <w:bookmarkStart w:id="114" w:name="MANUAL-sec11.5"/>
    <w:p>
      <w:pPr>
        <w:pStyle w:val="Heading2"/>
        <w:numPr>
          <w:ilvl w:val="1"/>
          <w:numId w:val="100"/>
        </w:numPr>
      </w:pPr>
      <w:r>
        <w:t xml:space="preserve">Attribute Schema Fields</w:t>
      </w:r>
    </w:p>
    <w:bookmarkStart w:id="26825" w:name="csv-tbl-attribute-schema"/>
    <w:p>
      <w:pPr>
        <w:pStyle w:val="Caption"/>
        <w:keepNext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>1</w:t>
      </w:r>
      <w:r>
        <w:fldChar w:fldCharType="end"/>
      </w:r>
      <w:r>
        <w:t xml:space="preserve"> :  Attribute schema fields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pace="0" w:color="000000" w:sz="6"/>
          <w:left w:val="single" w:space="0" w:color="000000" w:sz="6"/>
          <w:bottom w:val="single" w:space="0" w:color="000000" w:sz="6"/>
          <w:right w:val="single" w:space="0" w:color="000000" w:sz="6"/>
          <w:insideH w:val="single" w:space="0" w:color="000000" w:sz="6"/>
          <w:insideV w:val="single" w:space="0" w:color="000000" w:sz="6"/>
        </w:tblBorders>
        <w:tblCellMar>
          <w:top w:type="dxa" w:w="57"/>
          <w:left w:type="dxa" w:w="108"/>
          <w:bottom w:type="dxa" w:w="57"/>
          <w:right w:type="dxa" w:w="108"/>
        </w:tblCellMar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E8E8E8"/>
          </w:tcPr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b/>
              </w:rPr>
              <w:t xml:space="preserve">Field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b/>
              </w:rPr>
              <w:t xml:space="preserve">Type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b/>
              </w:rPr>
              <w:t xml:space="preserve">Default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b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Attribute identifier</w:t>
            </w:r>
          </w:p>
        </w:tc>
      </w:tr>
      <w:tr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rStyle w:val="VerbatimChar"/>
              </w:rPr>
              <w:t xml:space="preserve">datatype_ref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STRING, INTEGER, REAL, BOOLEAN, DATE, ENUM, XHTML</w:t>
            </w:r>
          </w:p>
        </w:tc>
      </w:tr>
      <w:tr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rStyle w:val="VerbatimChar"/>
              </w:rPr>
              <w:t xml:space="preserve">min_occurs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Minimum values (0 optional, 1 required)</w:t>
            </w:r>
          </w:p>
        </w:tc>
      </w:tr>
      <w:tr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rStyle w:val="VerbatimChar"/>
              </w:rPr>
              <w:t xml:space="preserve">max_occurs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Maximum values</w:t>
            </w:r>
          </w:p>
        </w:tc>
      </w:tr>
      <w:tr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rStyle w:val="VerbatimChar"/>
              </w:rPr>
              <w:t xml:space="preserve">min_value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nil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Lower bound for numeric values</w:t>
            </w:r>
          </w:p>
        </w:tc>
      </w:tr>
      <w:tr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rStyle w:val="VerbatimChar"/>
              </w:rPr>
              <w:t xml:space="preserve">max_value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nil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Upper bound for numeric values</w:t>
            </w:r>
          </w:p>
        </w:tc>
      </w:tr>
      <w:tr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rStyle w:val="VerbatimChar"/>
              </w:rPr>
              <w:t xml:space="preserve">values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list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nil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Valid enum values</w:t>
            </w:r>
          </w:p>
        </w:tc>
      </w:tr>
    </w:tbl>
    <w:bookmarkEnd w:id="26825"/>
    <w:bookmarkEnd w:id="114"/>
    <w:bookmarkEnd w:id="115"/>
    <w:bookmarkStart w:id="122" w:name="MANUAL-sec12"/>
    <w:p>
      <w:pPr>
        <w:pStyle w:val="Heading1"/>
        <w:numPr>
          <w:ilvl w:val="0"/>
          <w:numId w:val="100"/>
        </w:numPr>
      </w:pPr>
      <w:r>
        <w:t xml:space="preserve">Troubleshooting</w:t>
      </w:r>
    </w:p>
    <w:bookmarkStart w:id="116" w:name="MANUAL-sec12.1"/>
    <w:p>
      <w:pPr>
        <w:pStyle w:val="Heading2"/>
        <w:numPr>
          <w:ilvl w:val="1"/>
          <w:numId w:val="100"/>
        </w:numPr>
      </w:pPr>
      <w:r>
        <w:t xml:space="preserve">Docker Not Running</w:t>
      </w:r>
    </w:p>
    <w:p>
      <w:pPr>
        <w:pStyle w:val="FirstParagraph"/>
      </w:pPr>
      <w:r>
        <w:rPr>
          <w:rStyle w:val="VerbatimChar"/>
        </w:rPr>
        <w:t xml:space="preserve">Error: Docker is not running</w:t>
      </w:r>
      <w:r>
        <w:t xml:space="preserve"> </w:t>
      </w:r>
      <w:r>
        <w:t xml:space="preserve">– Start Docker daemon, verify with</w:t>
      </w:r>
      <w:r>
        <w:t xml:space="preserve"> </w:t>
      </w:r>
      <w:r>
        <w:rPr>
          <w:rStyle w:val="VerbatimChar"/>
        </w:rPr>
        <w:t xml:space="preserve">docker info</w:t>
      </w:r>
      <w:r>
        <w:t xml:space="preserve">.</w:t>
      </w:r>
    </w:p>
    <w:bookmarkEnd w:id="116"/>
    <w:bookmarkStart w:id="117" w:name="MANUAL-sec12.2"/>
    <w:p>
      <w:pPr>
        <w:pStyle w:val="Heading2"/>
        <w:numPr>
          <w:ilvl w:val="1"/>
          <w:numId w:val="100"/>
        </w:numPr>
      </w:pPr>
      <w:r>
        <w:t xml:space="preserve">No project.yaml Found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specc build</w:t>
      </w:r>
      <w:r>
        <w:t xml:space="preserve"> </w:t>
      </w:r>
      <w:r>
        <w:t xml:space="preserve">from the directory containing</w:t>
      </w:r>
      <w:r>
        <w:t xml:space="preserve"> </w:t>
      </w:r>
      <w:r>
        <w:rPr>
          <w:rStyle w:val="VerbatimChar"/>
        </w:rPr>
        <w:t xml:space="preserve">project.yaml</w:t>
      </w:r>
      <w:r>
        <w:t xml:space="preserve">.</w:t>
      </w:r>
    </w:p>
    <w:bookmarkEnd w:id="117"/>
    <w:bookmarkStart w:id="118" w:name="MANUAL-sec12.3"/>
    <w:p>
      <w:pPr>
        <w:pStyle w:val="Heading2"/>
        <w:numPr>
          <w:ilvl w:val="1"/>
          <w:numId w:val="100"/>
        </w:numPr>
      </w:pPr>
      <w:r>
        <w:t xml:space="preserve">PlantUML Render Failure</w:t>
      </w:r>
    </w:p>
    <w:p>
      <w:pPr>
        <w:pStyle w:val="FirstParagraph"/>
      </w:pPr>
      <w:r>
        <w:t xml:space="preserve">Verify PlantUML syntax, ensure Docker image has Java JRE, check</w:t>
      </w:r>
      <w:r>
        <w:t xml:space="preserve"> </w:t>
      </w:r>
      <w:r>
        <w:rPr>
          <w:rStyle w:val="VerbatimChar"/>
        </w:rPr>
        <w:t xml:space="preserve">@startuml</w:t>
      </w:r>
      <w:r>
        <w:t xml:space="preserve">/</w:t>
      </w:r>
      <w:r>
        <w:rPr>
          <w:rStyle w:val="VerbatimChar"/>
        </w:rPr>
        <w:t xml:space="preserve">@enduml</w:t>
      </w:r>
      <w:r>
        <w:t xml:space="preserve"> </w:t>
      </w:r>
      <w:r>
        <w:t xml:space="preserve">markers.</w:t>
      </w:r>
    </w:p>
    <w:bookmarkEnd w:id="118"/>
    <w:bookmarkStart w:id="119" w:name="MANUAL-sec12.4"/>
    <w:p>
      <w:pPr>
        <w:pStyle w:val="Heading2"/>
        <w:numPr>
          <w:ilvl w:val="1"/>
          <w:numId w:val="100"/>
        </w:numPr>
      </w:pPr>
      <w:r>
        <w:t xml:space="preserve">Unresolved Relations</w:t>
      </w:r>
    </w:p>
    <w:p>
      <w:pPr>
        <w:pStyle w:val="FirstParagraph"/>
      </w:pPr>
      <w:r>
        <w:t xml:space="preserve">PIDs are</w:t>
      </w:r>
      <w:r>
        <w:t xml:space="preserve"> </w:t>
      </w:r>
      <w:r>
        <w:rPr>
          <w:b/>
          <w:bCs/>
        </w:rPr>
        <w:t xml:space="preserve">case-sensitive</w:t>
      </w:r>
      <w:r>
        <w:t xml:space="preserve">. Verify target PID exists in</w:t>
      </w:r>
      <w:r>
        <w:t xml:space="preserve"> </w:t>
      </w:r>
      <w:r>
        <w:rPr>
          <w:rStyle w:val="VerbatimChar"/>
        </w:rPr>
        <w:t xml:space="preserve">doc_files</w:t>
      </w:r>
      <w:r>
        <w:t xml:space="preserve">. For cross-document references, ensure both documents are listed in the same</w:t>
      </w:r>
      <w:r>
        <w:t xml:space="preserve"> </w:t>
      </w:r>
      <w:r>
        <w:rPr>
          <w:rStyle w:val="VerbatimChar"/>
        </w:rPr>
        <w:t xml:space="preserve">project.yaml</w:t>
      </w:r>
      <w:r>
        <w:t xml:space="preserve">.</w:t>
      </w:r>
    </w:p>
    <w:bookmarkEnd w:id="119"/>
    <w:bookmarkStart w:id="120" w:name="MANUAL-sec12.5"/>
    <w:p>
      <w:pPr>
        <w:pStyle w:val="Heading2"/>
        <w:numPr>
          <w:ilvl w:val="1"/>
          <w:numId w:val="100"/>
        </w:numPr>
      </w:pPr>
      <w:r>
        <w:t xml:space="preserve">Build Seems Stale</w:t>
      </w:r>
    </w:p>
    <w:bookmarkStart w:id="2501" w:name="listing-src-clean-stale-build"/>
    <w:p>
      <w:pPr>
        <w:pStyle w:val="Caption"/>
        <w:keepNext/>
      </w:pPr>
      <w:r>
        <w:t xml:space="preserve">Listing </w:t>
      </w:r>
      <w:r>
        <w:fldChar w:fldCharType="begin"/>
      </w:r>
      <w:r>
        <w:instrText xml:space="preserve"> SEQ LISTING \* ARABIC </w:instrText>
      </w:r>
      <w:r>
        <w:fldChar w:fldCharType="separate"/>
      </w:r>
      <w:r>
        <w:t>1</w:t>
      </w:r>
      <w:r>
        <w:fldChar w:fldCharType="end"/>
      </w:r>
      <w:r>
        <w:t xml:space="preserve"> :  Clean stale build cache</w:t>
      </w:r>
    </w:p>
    <w:p>
      <w:pPr>
        <w:pStyle w:val="SourceCode"/>
      </w:pPr>
      <w:r>
        <w:rPr>
          <w:rStyle w:val="ExtensionTok"/>
        </w:rPr>
        <w:t xml:space="preserve">specc</w:t>
      </w:r>
      <w:r>
        <w:rPr>
          <w:rStyle w:val="NormalTok"/>
        </w:rPr>
        <w:t xml:space="preserve"> clean</w:t>
      </w:r>
      <w:r>
        <w:br/>
      </w:r>
      <w:r>
        <w:rPr>
          <w:rStyle w:val="ExtensionTok"/>
        </w:rPr>
        <w:t xml:space="preserve">specc</w:t>
      </w:r>
      <w:r>
        <w:rPr>
          <w:rStyle w:val="NormalTok"/>
        </w:rPr>
        <w:t xml:space="preserve"> build</w:t>
      </w:r>
    </w:p>
    <w:bookmarkEnd w:id="2501"/>
    <w:bookmarkEnd w:id="120"/>
    <w:bookmarkStart w:id="121" w:name="MANUAL-sec12.6"/>
    <w:p>
      <w:pPr>
        <w:pStyle w:val="Heading2"/>
        <w:numPr>
          <w:ilvl w:val="1"/>
          <w:numId w:val="100"/>
        </w:numPr>
      </w:pPr>
      <w:r>
        <w:t xml:space="preserve">Debugging</w:t>
      </w:r>
    </w:p>
    <w:bookmarkStart w:id="88848" w:name="listing-src-debug-log-level"/>
    <w:p>
      <w:pPr>
        <w:pStyle w:val="Caption"/>
        <w:keepNext/>
      </w:pPr>
      <w:r>
        <w:t xml:space="preserve">Listing </w:t>
      </w:r>
      <w:r>
        <w:fldChar w:fldCharType="begin"/>
      </w:r>
      <w:r>
        <w:instrText xml:space="preserve"> SEQ LISTING \* ARABIC </w:instrText>
      </w:r>
      <w:r>
        <w:fldChar w:fldCharType="separate"/>
      </w:r>
      <w:r>
        <w:t>1</w:t>
      </w:r>
      <w:r>
        <w:fldChar w:fldCharType="end"/>
      </w:r>
      <w:r>
        <w:t xml:space="preserve"> :  Enable debug logging</w:t>
      </w:r>
    </w:p>
    <w:p>
      <w:pPr>
        <w:pStyle w:val="SourceCode"/>
      </w:pPr>
      <w:r>
        <w:rPr>
          <w:rStyle w:val="VariableTok"/>
        </w:rPr>
        <w:t xml:space="preserve">SPECCOMPILER_LOG_LEVEL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DEBUG </w:t>
      </w:r>
      <w:r>
        <w:rPr>
          <w:rStyle w:val="ExtensionTok"/>
        </w:rPr>
        <w:t xml:space="preserve">specc</w:t>
      </w:r>
      <w:r>
        <w:rPr>
          <w:rStyle w:val="NormalTok"/>
        </w:rPr>
        <w:t xml:space="preserve"> build</w:t>
      </w:r>
    </w:p>
    <w:bookmarkEnd w:id="88848"/>
    <w:bookmarkEnd w:id="121"/>
    <w:bookmarkEnd w:id="122"/>
    <w:bookmarkStart w:id="123" w:name="MANUAL-sec13"/>
    <w:p>
      <w:pPr>
        <w:pStyle w:val="Heading1"/>
        <w:numPr>
          <w:ilvl w:val="0"/>
          <w:numId w:val="100"/>
        </w:numPr>
      </w:pPr>
      <w:r>
        <w:t xml:space="preserve">Known Limitations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 interactive validation</w:t>
      </w:r>
      <w:r>
        <w:t xml:space="preserve"> </w:t>
      </w:r>
      <w:r>
        <w:t xml:space="preserve">– Batch mode only, no LSP or watch mode.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Docker-only distribution</w:t>
      </w:r>
      <w:r>
        <w:t xml:space="preserve"> </w:t>
      </w:r>
      <w:r>
        <w:t xml:space="preserve">– Native install requires replicating the full build environment (</w:t>
      </w:r>
      <w:r>
        <w:rPr>
          <w:rStyle w:val="VerbatimChar"/>
        </w:rPr>
        <w:t xml:space="preserve">scripts/build.sh --install</w:t>
      </w:r>
      <w:r>
        <w:t xml:space="preserve"> </w:t>
      </w:r>
      <w:r>
        <w:t xml:space="preserve">is provided but requires all system dependencies).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Single-writer SQLite</w:t>
      </w:r>
      <w:r>
        <w:t xml:space="preserve"> </w:t>
      </w:r>
      <w:r>
        <w:t xml:space="preserve">– Concurrent builds cause locking errors; use separate output directories.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Float labels per-specification</w:t>
      </w:r>
      <w:r>
        <w:t xml:space="preserve"> </w:t>
      </w:r>
      <w:r>
        <w:t xml:space="preserve">– Same label can exist across specs; use scoped syntax for cross-spec references.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PID case sensitivity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[hlr-001](@)</w:t>
      </w:r>
      <w:r>
        <w:t xml:space="preserve"> </w:t>
      </w:r>
      <w:r>
        <w:t xml:space="preserve">will not match</w:t>
      </w:r>
      <w:r>
        <w:t xml:space="preserve"> </w:t>
      </w:r>
      <w:r>
        <w:rPr>
          <w:rStyle w:val="VerbatimChar"/>
        </w:rPr>
        <w:t xml:space="preserve">@HLR-001</w:t>
      </w:r>
      <w:r>
        <w:t xml:space="preserve">.</w:t>
      </w:r>
    </w:p>
    <w:bookmarkEnd w:id="123"/>
    <w:bookmarkStart w:id="124" w:name="MANUAL-sec14"/>
    <w:p>
      <w:pPr>
        <w:pStyle w:val="Heading1"/>
        <w:numPr>
          <w:ilvl w:val="0"/>
          <w:numId w:val="100"/>
        </w:numPr>
      </w:pPr>
      <w:r>
        <w:t xml:space="preserve">List of Figures</w:t>
      </w:r>
    </w:p>
    <w:p>
      <w:pPr>
        <w:pStyle w:val="Compact"/>
        <w:numPr>
          <w:ilvl w:val="0"/>
          <w:numId w:val="1021"/>
        </w:numPr>
      </w:pPr>
      <w:hyperlink w:anchor="puml-diag-pipeline">
        <w:r>
          <w:rPr>
            <w:rStyle w:val="Hyperlink"/>
          </w:rPr>
          <w:t xml:space="preserve">Figure 1 - Processing Pipeline</w:t>
        </w:r>
      </w:hyperlink>
    </w:p>
    <w:p>
      <w:pPr>
        <w:pStyle w:val="Compact"/>
        <w:numPr>
          <w:ilvl w:val="0"/>
          <w:numId w:val="1021"/>
        </w:numPr>
      </w:pPr>
      <w:hyperlink w:anchor="echarts-chart-pipeline-ops">
        <w:r>
          <w:rPr>
            <w:rStyle w:val="Hyperlink"/>
          </w:rPr>
          <w:t xml:space="preserve">Figure 2 - Operations per Pipeline Phase</w:t>
        </w:r>
      </w:hyperlink>
    </w:p>
    <w:p>
      <w:pPr>
        <w:pStyle w:val="Compact"/>
        <w:numPr>
          <w:ilvl w:val="0"/>
          <w:numId w:val="1021"/>
        </w:numPr>
      </w:pPr>
      <w:hyperlink w:anchor="puml-diag-layers">
        <w:r>
          <w:rPr>
            <w:rStyle w:val="Hyperlink"/>
          </w:rPr>
          <w:t xml:space="preserve">Figure 3 - Layered Architecture</w:t>
        </w:r>
      </w:hyperlink>
    </w:p>
    <w:p>
      <w:pPr>
        <w:pStyle w:val="Compact"/>
        <w:numPr>
          <w:ilvl w:val="0"/>
          <w:numId w:val="1021"/>
        </w:numPr>
      </w:pPr>
      <w:hyperlink w:anchor="echarts-chart-throughput">
        <w:r>
          <w:rPr>
            <w:rStyle w:val="Hyperlink"/>
          </w:rPr>
          <w:t xml:space="preserve">Figure 4 - Throughput by Module</w:t>
        </w:r>
      </w:hyperlink>
    </w:p>
    <w:p>
      <w:pPr>
        <w:pStyle w:val="Compact"/>
        <w:numPr>
          <w:ilvl w:val="0"/>
          <w:numId w:val="1021"/>
        </w:numPr>
      </w:pPr>
      <w:hyperlink w:anchor="echarts-chart-gauss">
        <w:r>
          <w:rPr>
            <w:rStyle w:val="Hyperlink"/>
          </w:rPr>
          <w:t xml:space="preserve">Figure 5 - Standard Normal Distribution</w:t>
        </w:r>
      </w:hyperlink>
    </w:p>
    <w:bookmarkEnd w:id="124"/>
    <w:bookmarkStart w:id="125" w:name="MANUAL-sec15"/>
    <w:p>
      <w:pPr>
        <w:pStyle w:val="Heading1"/>
        <w:numPr>
          <w:ilvl w:val="0"/>
          <w:numId w:val="100"/>
        </w:numPr>
      </w:pPr>
      <w:r>
        <w:t xml:space="preserve">List of Tables</w:t>
      </w:r>
    </w:p>
    <w:p>
      <w:pPr>
        <w:pStyle w:val="Compact"/>
        <w:numPr>
          <w:ilvl w:val="0"/>
          <w:numId w:val="1022"/>
        </w:numPr>
      </w:pPr>
      <w:hyperlink w:anchor="csv-tbl-prerequisites">
        <w:r>
          <w:rPr>
            <w:rStyle w:val="Hyperlink"/>
          </w:rPr>
          <w:t xml:space="preserve">Table 1 - Runtime prerequisites</w:t>
        </w:r>
      </w:hyperlink>
    </w:p>
    <w:p>
      <w:pPr>
        <w:pStyle w:val="Compact"/>
        <w:numPr>
          <w:ilvl w:val="0"/>
          <w:numId w:val="1022"/>
        </w:numPr>
      </w:pPr>
      <w:hyperlink w:anchor="csv-tbl-wrapper-commands">
        <w:r>
          <w:rPr>
            <w:rStyle w:val="Hyperlink"/>
          </w:rPr>
          <w:t xml:space="preserve">Table 2 - Wrapper subcommands</w:t>
        </w:r>
      </w:hyperlink>
    </w:p>
    <w:p>
      <w:pPr>
        <w:pStyle w:val="Compact"/>
        <w:numPr>
          <w:ilvl w:val="0"/>
          <w:numId w:val="1022"/>
        </w:numPr>
      </w:pPr>
      <w:hyperlink w:anchor="csv-tbl-required-fields">
        <w:r>
          <w:rPr>
            <w:rStyle w:val="Hyperlink"/>
          </w:rPr>
          <w:t xml:space="preserve">Table 3 - Required project fields</w:t>
        </w:r>
      </w:hyperlink>
    </w:p>
    <w:p>
      <w:pPr>
        <w:pStyle w:val="Compact"/>
        <w:numPr>
          <w:ilvl w:val="0"/>
          <w:numId w:val="1022"/>
        </w:numPr>
      </w:pPr>
      <w:hyperlink w:anchor="csv-tbl-default-values">
        <w:r>
          <w:rPr>
            <w:rStyle w:val="Hyperlink"/>
          </w:rPr>
          <w:t xml:space="preserve">Table 4 - Default configuration values</w:t>
        </w:r>
      </w:hyperlink>
    </w:p>
    <w:p>
      <w:pPr>
        <w:pStyle w:val="Compact"/>
        <w:numPr>
          <w:ilvl w:val="0"/>
          <w:numId w:val="1022"/>
        </w:numPr>
      </w:pPr>
      <w:hyperlink w:anchor="csv-tbl-float-syntax">
        <w:r>
          <w:rPr>
            <w:rStyle w:val="Hyperlink"/>
          </w:rPr>
          <w:t xml:space="preserve">Table 5 - Float syntax components</w:t>
        </w:r>
      </w:hyperlink>
    </w:p>
    <w:p>
      <w:pPr>
        <w:pStyle w:val="Compact"/>
        <w:numPr>
          <w:ilvl w:val="0"/>
          <w:numId w:val="1022"/>
        </w:numPr>
      </w:pPr>
      <w:hyperlink w:anchor="csv-tbl-selectors">
        <w:r>
          <w:rPr>
            <w:rStyle w:val="Hyperlink"/>
          </w:rPr>
          <w:t xml:space="preserve">Table 6 - Default model selectors</w:t>
        </w:r>
      </w:hyperlink>
    </w:p>
    <w:p>
      <w:pPr>
        <w:pStyle w:val="Compact"/>
        <w:numPr>
          <w:ilvl w:val="0"/>
          <w:numId w:val="1022"/>
        </w:numPr>
      </w:pPr>
      <w:hyperlink w:anchor="csv-tbl-relation-syntax">
        <w:r>
          <w:rPr>
            <w:rStyle w:val="Hyperlink"/>
          </w:rPr>
          <w:t xml:space="preserve">Table 7 - Relation syntax patterns</w:t>
        </w:r>
      </w:hyperlink>
    </w:p>
    <w:p>
      <w:pPr>
        <w:pStyle w:val="Compact"/>
        <w:numPr>
          <w:ilvl w:val="0"/>
          <w:numId w:val="1022"/>
        </w:numPr>
      </w:pPr>
      <w:hyperlink w:anchor="csv-tbl-inference-scoring">
        <w:r>
          <w:rPr>
            <w:rStyle w:val="Hyperlink"/>
          </w:rPr>
          <w:t xml:space="preserve">Table 8 - Type inference scoring dimensions</w:t>
        </w:r>
      </w:hyperlink>
    </w:p>
    <w:p>
      <w:pPr>
        <w:pStyle w:val="Compact"/>
        <w:numPr>
          <w:ilvl w:val="0"/>
          <w:numId w:val="1022"/>
        </w:numPr>
      </w:pPr>
      <w:hyperlink w:anchor="csv-tbl-view-types">
        <w:r>
          <w:rPr>
            <w:rStyle w:val="Hyperlink"/>
          </w:rPr>
          <w:t xml:space="preserve">Table 9 - Default view types</w:t>
        </w:r>
      </w:hyperlink>
    </w:p>
    <w:p>
      <w:pPr>
        <w:pStyle w:val="Compact"/>
        <w:numPr>
          <w:ilvl w:val="0"/>
          <w:numId w:val="1022"/>
        </w:numPr>
      </w:pPr>
      <w:hyperlink w:anchor="csv-tbl-components">
        <w:r>
          <w:rPr>
            <w:rStyle w:val="Hyperlink"/>
          </w:rPr>
          <w:t xml:space="preserve">Table 10 - System Components</w:t>
        </w:r>
      </w:hyperlink>
    </w:p>
    <w:p>
      <w:pPr>
        <w:pStyle w:val="Compact"/>
        <w:numPr>
          <w:ilvl w:val="0"/>
          <w:numId w:val="1022"/>
        </w:numPr>
      </w:pPr>
      <w:hyperlink w:anchor="csv-tbl-metrics">
        <w:r>
          <w:rPr>
            <w:rStyle w:val="Hyperlink"/>
          </w:rPr>
          <w:t xml:space="preserve">Table 11 - Performance Metrics</w:t>
        </w:r>
      </w:hyperlink>
    </w:p>
    <w:p>
      <w:pPr>
        <w:pStyle w:val="Compact"/>
        <w:numPr>
          <w:ilvl w:val="0"/>
          <w:numId w:val="1022"/>
        </w:numPr>
      </w:pPr>
      <w:hyperlink w:anchor="csv-tbl-xref-selectors">
        <w:r>
          <w:rPr>
            <w:rStyle w:val="Hyperlink"/>
          </w:rPr>
          <w:t xml:space="preserve">Table 12 - Cross-reference selector comparison</w:t>
        </w:r>
      </w:hyperlink>
    </w:p>
    <w:p>
      <w:pPr>
        <w:pStyle w:val="Compact"/>
        <w:numPr>
          <w:ilvl w:val="0"/>
          <w:numId w:val="1022"/>
        </w:numPr>
      </w:pPr>
      <w:hyperlink w:anchor="csv-tbl-env-vars">
        <w:r>
          <w:rPr>
            <w:rStyle w:val="Hyperlink"/>
          </w:rPr>
          <w:t xml:space="preserve">Table 13 - Environment variables</w:t>
        </w:r>
      </w:hyperlink>
    </w:p>
    <w:p>
      <w:pPr>
        <w:pStyle w:val="Compact"/>
        <w:numPr>
          <w:ilvl w:val="0"/>
          <w:numId w:val="1022"/>
        </w:numPr>
      </w:pPr>
      <w:hyperlink w:anchor="csv-tbl-exit-codes">
        <w:r>
          <w:rPr>
            <w:rStyle w:val="Hyperlink"/>
          </w:rPr>
          <w:t xml:space="preserve">Table 14 - Exit Codes</w:t>
        </w:r>
      </w:hyperlink>
    </w:p>
    <w:p>
      <w:pPr>
        <w:pStyle w:val="Compact"/>
        <w:numPr>
          <w:ilvl w:val="0"/>
          <w:numId w:val="1022"/>
        </w:numPr>
      </w:pPr>
      <w:hyperlink w:anchor="csv-tbl-html5-options">
        <w:r>
          <w:rPr>
            <w:rStyle w:val="Hyperlink"/>
          </w:rPr>
          <w:t xml:space="preserve">Table 15 - HTML5 output options</w:t>
        </w:r>
      </w:hyperlink>
    </w:p>
    <w:p>
      <w:pPr>
        <w:pStyle w:val="Compact"/>
        <w:numPr>
          <w:ilvl w:val="0"/>
          <w:numId w:val="1022"/>
        </w:numPr>
      </w:pPr>
      <w:hyperlink w:anchor="csv-tbl-error-codes">
        <w:r>
          <w:rPr>
            <w:rStyle w:val="Hyperlink"/>
          </w:rPr>
          <w:t xml:space="preserve">Table 16 - Validation diagnostics</w:t>
        </w:r>
      </w:hyperlink>
    </w:p>
    <w:p>
      <w:pPr>
        <w:pStyle w:val="Compact"/>
        <w:numPr>
          <w:ilvl w:val="0"/>
          <w:numId w:val="1022"/>
        </w:numPr>
      </w:pPr>
      <w:hyperlink w:anchor="csv-tbl-attribute-schema">
        <w:r>
          <w:rPr>
            <w:rStyle w:val="Hyperlink"/>
          </w:rPr>
          <w:t xml:space="preserve">Table 17 - Attribute schema fields</w:t>
        </w:r>
      </w:hyperlink>
    </w:p>
    <w:bookmarkEnd w:id="125"/>
    <w:bookmarkStart w:id="126" w:name="MANUAL-sec16"/>
    <w:p>
      <w:pPr>
        <w:pStyle w:val="Heading1"/>
        <w:numPr>
          <w:ilvl w:val="0"/>
          <w:numId w:val="100"/>
        </w:numPr>
      </w:pPr>
      <w:r>
        <w:t xml:space="preserve">List of Listings</w:t>
      </w:r>
    </w:p>
    <w:p>
      <w:pPr>
        <w:pStyle w:val="Compact"/>
        <w:numPr>
          <w:ilvl w:val="0"/>
          <w:numId w:val="1023"/>
        </w:numPr>
      </w:pPr>
      <w:hyperlink w:anchor="puml-diag-pipeline">
        <w:r>
          <w:rPr>
            <w:rStyle w:val="Hyperlink"/>
          </w:rPr>
          <w:t xml:space="preserve">Figure 1 - Processing Pipeline</w:t>
        </w:r>
      </w:hyperlink>
    </w:p>
    <w:p>
      <w:pPr>
        <w:pStyle w:val="Compact"/>
        <w:numPr>
          <w:ilvl w:val="0"/>
          <w:numId w:val="1023"/>
        </w:numPr>
      </w:pPr>
      <w:hyperlink w:anchor="echarts-chart-pipeline-ops">
        <w:r>
          <w:rPr>
            <w:rStyle w:val="Hyperlink"/>
          </w:rPr>
          <w:t xml:space="preserve">Figure 2 - Operations per Pipeline Phase</w:t>
        </w:r>
      </w:hyperlink>
    </w:p>
    <w:p>
      <w:pPr>
        <w:pStyle w:val="Compact"/>
        <w:numPr>
          <w:ilvl w:val="0"/>
          <w:numId w:val="1023"/>
        </w:numPr>
      </w:pPr>
      <w:hyperlink w:anchor="puml-diag-layers">
        <w:r>
          <w:rPr>
            <w:rStyle w:val="Hyperlink"/>
          </w:rPr>
          <w:t xml:space="preserve">Figure 3 - Layered Architecture</w:t>
        </w:r>
      </w:hyperlink>
    </w:p>
    <w:p>
      <w:pPr>
        <w:pStyle w:val="Compact"/>
        <w:numPr>
          <w:ilvl w:val="0"/>
          <w:numId w:val="1023"/>
        </w:numPr>
      </w:pPr>
      <w:hyperlink w:anchor="echarts-chart-throughput">
        <w:r>
          <w:rPr>
            <w:rStyle w:val="Hyperlink"/>
          </w:rPr>
          <w:t xml:space="preserve">Figure 4 - Throughput by Module</w:t>
        </w:r>
      </w:hyperlink>
    </w:p>
    <w:p>
      <w:pPr>
        <w:pStyle w:val="Compact"/>
        <w:numPr>
          <w:ilvl w:val="0"/>
          <w:numId w:val="1023"/>
        </w:numPr>
      </w:pPr>
      <w:hyperlink w:anchor="echarts-chart-gauss">
        <w:r>
          <w:rPr>
            <w:rStyle w:val="Hyperlink"/>
          </w:rPr>
          <w:t xml:space="preserve">Figure 5 - Standard Normal Distribution</w:t>
        </w:r>
      </w:hyperlink>
    </w:p>
    <w:bookmarkEnd w:id="126"/>
    <w:bookmarkStart w:id="127" w:name="MANUAL-sec17"/>
    <w:p>
      <w:pPr>
        <w:pStyle w:val="Heading1"/>
        <w:numPr>
          <w:ilvl w:val="0"/>
          <w:numId w:val="100"/>
        </w:numPr>
      </w:pPr>
      <w:r>
        <w:t xml:space="preserve">List of Abbreviations</w:t>
      </w:r>
    </w:p>
    <w:tbl>
      <w:tblPr>
        <w:tblStyle w:val="Table"/>
        <w:tblW w:type="auto" w:w="0"/>
        <w:tblLook w:firstRow="0" w:lastRow="0" w:firstColumn="0" w:lastColumn="0" w:noHBand="0" w:noVBand="0" w:val="0000"/>
        <w:tblBorders>
          <w:top w:val="single" w:space="0" w:color="000000" w:sz="6"/>
          <w:left w:val="single" w:space="0" w:color="000000" w:sz="6"/>
          <w:bottom w:val="single" w:space="0" w:color="000000" w:sz="6"/>
          <w:right w:val="single" w:space="0" w:color="000000" w:sz="6"/>
          <w:insideH w:val="single" w:space="0" w:color="000000" w:sz="6"/>
          <w:insideV w:val="single" w:space="0" w:color="000000" w:sz="6"/>
        </w:tblBorders>
        <w:tblCellMar>
          <w:top w:type="dxa" w:w="57"/>
          <w:left w:type="dxa" w:w="108"/>
          <w:bottom w:type="dxa" w:w="57"/>
          <w:right w:type="dxa" w:w="108"/>
        </w:tblCellMar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b/>
                <w:bCs/>
              </w:rPr>
              <w:t xml:space="preserve">AST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Pandoc Abstract Syntax Tree</w:t>
            </w:r>
          </w:p>
        </w:tc>
      </w:tr>
      <w:tr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b/>
                <w:bCs/>
              </w:rPr>
              <w:t xml:space="preserve">CLI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Command-Line Interface</w:t>
            </w:r>
          </w:p>
        </w:tc>
      </w:tr>
      <w:tr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b/>
                <w:bCs/>
              </w:rPr>
              <w:t xml:space="preserve">CSV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Comma-Separated Values</w:t>
            </w:r>
          </w:p>
        </w:tc>
      </w:tr>
      <w:tr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b/>
                <w:bCs/>
              </w:rPr>
              <w:t xml:space="preserve">EAV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Entity-Attribute-Value</w:t>
            </w:r>
          </w:p>
        </w:tc>
      </w:tr>
      <w:tr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b/>
                <w:bCs/>
              </w:rPr>
              <w:t xml:space="preserve">GFM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GitHub-Flavored Markdown</w:t>
            </w:r>
          </w:p>
        </w:tc>
      </w:tr>
      <w:tr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b/>
                <w:bCs/>
              </w:rPr>
              <w:t xml:space="preserve">NDJSON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Newline-Delimited JSON</w:t>
            </w:r>
          </w:p>
        </w:tc>
      </w:tr>
      <w:tr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b/>
                <w:bCs/>
              </w:rPr>
              <w:t xml:space="preserve">PID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Project Identifier</w:t>
            </w:r>
          </w:p>
        </w:tc>
      </w:tr>
      <w:tr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b/>
                <w:bCs/>
              </w:rPr>
              <w:t xml:space="preserve">SPEC-IR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Specification Intermediate Representation</w:t>
            </w:r>
          </w:p>
        </w:tc>
      </w:tr>
      <w:tr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b/>
                <w:bCs/>
              </w:rPr>
              <w:t xml:space="preserve">SQL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Structured Query Language</w:t>
            </w:r>
          </w:p>
        </w:tc>
      </w:tr>
      <w:tr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rPr>
                <w:b/>
                <w:bCs/>
              </w:rPr>
              <w:t xml:space="preserve">SQLite</w:t>
            </w:r>
          </w:p>
        </w:tc>
        <w:tc>
          <w:tcPr/>
          <w:p>
            <w:pPr>
              <w:pStyle w:val="Compact"/>
              <w:jc w:val="left"/>
              <w:ind w:right="0" w:firstLine="0" w:left="0"/>
              <w:spacing w:lineRule="auto" w:after="40" w:line="240" w:before="40"/>
            </w:pPr>
            <w:r>
              <w:t xml:space="preserve">SQLite Database</w:t>
            </w:r>
          </w:p>
        </w:tc>
      </w:tr>
    </w:tbl>
    <w:bookmarkEnd w:id="127"/>
    <w:sectPr>
      <w:footerReference w:type="default" r:id="rId9200"/>
      <w:headerReference w:type="default" r:id="rId9101"/>
      <w:headerReference w:type="first" r:id="rId9100"/>
      <w:footnotePr>
        <w:numRestart w:val="eachSect"/>
      </w:footnotePr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tbl>
    <w:tblPr>
      <w:tblW w:type="pct" w:w="5000"/>
      <w:tblBorders>
        <w:top w:val="single" w:space="1" w:color="CCCCCC" w:sz="4"/>
        <w:bottom w:val="none" w:space="0" w:color="auto" w:sz="0"/>
        <w:left w:val="none" w:space="0" w:color="auto" w:sz="0"/>
        <w:right w:val="none" w:space="0" w:color="auto" w:sz="0"/>
        <w:insideH w:val="none" w:space="0" w:color="auto" w:sz="0"/>
        <w:insideV w:val="none" w:space="0" w:color="auto" w:sz="0"/>
      </w:tblBorders>
      <w:tblLayout w:type="fixed"/>
    </w:tblPr>
    <w:tblGrid>
      <w:gridCol w:w="3334"/>
      <w:gridCol w:w="3334"/>
      <w:gridCol w:w="3334"/>
    </w:tblGrid>
    <w:tr>
      <w:tc>
        <w:tcPr>
          <w:tcW w:type="pct" w:w="3334"/>
        </w:tcPr>
        <w:p>
          <w:pPr>
            <w:pStyle w:val="Footer"/>
            <w:jc w:val="left"/>
          </w:pPr>
          <w:r>
            <w:t xml:space="preserve">SC-UM-001  |  v1.0</w:t>
          </w:r>
        </w:p>
      </w:tc>
      <w:tc>
        <w:tcPr>
          <w:tcW w:type="pct" w:w="3334"/>
        </w:tcPr>
        <w:p>
          <w:pPr>
            <w:pStyle w:val="Footer"/>
            <w:jc w:val="center"/>
          </w:pPr>
          <w:r>
            <w:t xml:space="preserve"/>
          </w:r>
        </w:p>
      </w:tc>
      <w:tc>
        <w:tcPr>
          <w:tcW w:type="pct" w:w="3334"/>
        </w:tcPr>
        <w:p>
          <w:pPr>
            <w:pStyle w:val="Footer"/>
            <w:jc w:val="right"/>
          </w:pPr>
          <w:r>
            <w:t xml:space="preserve">Page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of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</w:p>
      </w:tc>
    </w:tr>
  </w:tbl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Header"/>
    </w:pPr>
  </w:p>
</w:hdr>
</file>

<file path=word/header2.xml><?xml version="1.0" encoding="utf-8"?>
<w:hdr xmlns:w="http://schemas.openxmlformats.org/wordprocessingml/2006/main" xmlns:r="http://schemas.openxmlformats.org/officeDocument/2006/relationships">
  <w:p>
    <w:pPr>
      <w:pStyle w:val="Header"/>
      <w:jc w:val="right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1</w:t>
    </w:r>
    <w:r>
      <w:fldChar w:fldCharType="end"/>
    </w:r>
  </w:p>
</w:hdr>
</file>

<file path=word/numbering.xml><?xml version="1.0" encoding="utf-8"?>
<w:numbering xmlns:w="http://schemas.openxmlformats.org/wordprocessingml/2006/main">
  <w:abstractNum w:abstractNumId="100">
    <w:nsid w:val="A0B1C2D3"/>
    <w:multiLevelType w:val="multilevel"/>
    <w:tmpl w:val="D3C2B1A0"/>
    <w:name w:val="HeadingNumbering"/>
    <w:lvl w:ilvl="0">
      <w:start w:val="1"/>
      <w:numFmt w:val="decimal"/>
      <w:pStyle w:val="Heading1"/>
      <w:suff w:val="space"/>
      <w:lvlText w:val="%1"/>
      <w:lvlJc w:val="left"/>
      <w:pPr>
        <w:ind w:left="0" w:hanging="0"/>
      </w:pPr>
    </w:lvl>
    <w:lvl w:ilvl="1">
      <w:start w:val="1"/>
      <w:numFmt w:val="decimal"/>
      <w:pStyle w:val="Heading2"/>
      <w:lvlRestart w:val="0"/>
      <w:suff w:val="space"/>
      <w:lvlText w:val="%1.%2"/>
      <w:lvlJc w:val="left"/>
      <w:pPr>
        <w:ind w:left="0" w:hanging="0"/>
      </w:pPr>
    </w:lvl>
    <w:lvl w:ilvl="2">
      <w:start w:val="1"/>
      <w:numFmt w:val="decimal"/>
      <w:pStyle w:val="Heading3"/>
      <w:lvlRestart w:val="1"/>
      <w:suff w:val="space"/>
      <w:lvlText w:val="%1.%2.%3"/>
      <w:lvlJc w:val="left"/>
      <w:pPr>
        <w:ind w:left="0" w:hanging="0"/>
      </w:pPr>
    </w:lvl>
    <w:lvl w:ilvl="3">
      <w:start w:val="1"/>
      <w:numFmt w:val="decimal"/>
      <w:pStyle w:val="Heading4"/>
      <w:lvlRestart w:val="2"/>
      <w:suff w:val="space"/>
      <w:lvlText w:val="%1.%2.%3.%4"/>
      <w:lvlJc w:val="left"/>
      <w:pPr>
        <w:ind w:left="0" w:hanging="0"/>
      </w:pPr>
    </w:lvl>
    <w:lvl w:ilvl="4">
      <w:start w:val="1"/>
      <w:numFmt w:val="decimal"/>
      <w:pStyle w:val="Heading5"/>
      <w:lvlRestart w:val="3"/>
      <w:suff w:val="space"/>
      <w:lvlText w:val="%1.%2.%3.%4.%5"/>
      <w:lvlJc w:val="left"/>
      <w:pPr>
        <w:ind w:left="0" w:hanging="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0">
    <w:abstractNumId w:val="10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  <w:pageBreakBefore/>
    </w:pPr>
    <w:rPr>
      <w:rFonts w:asciiTheme="majorHAnsi" w:cstheme="majorBidi" w:eastAsiaTheme="majorEastAsia" w:hAnsiTheme="majorHAnsi"/>
      <w:color w:themeColor="accent1" w:themeShade="BF" w:val="000000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00000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0000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character" w:styleId="VerbatimChar" w:customStyle="1">
    <w:name w:val="Verbatim Char"/>
    <w:rPr>
      <w:rFonts w:hAnsi="Courier New" w:ascii="Courier New" w:cs="Courier New"/>
      <w:sz w:val="20"/>
      <w:szCs w:val="20"/>
    </w:rPr>
  </w:style>
  <w:style w:type="paragraph" w:styleId="SourceCode" w:customStyle="1">
    <w:name w:val="Source Code"/>
    <w:basedOn w:val="Normal"/>
    <w:pPr>
      <w:spacing w:lineRule="auto" w:after="0" w:line="240" w:before="0"/>
      <w:jc w:val="left"/>
      <w:pBdr>
        <w:top w:val="single" w:space="1" w:color="CCCCCC" w:sz="4"/>
        <w:bottom w:val="single" w:space="1" w:color="CCCCCC" w:sz="4"/>
        <w:left w:val="single" w:space="1" w:color="CCCCCC" w:sz="4"/>
        <w:right w:val="single" w:space="1" w:color="CCCCCC" w:sz="4"/>
      </w:pBdr>
      <w:shd w:val="clear" w:color="auto" w:fill="F5F5F5"/>
    </w:pPr>
    <w:rPr>
      <w:rFonts w:hAnsi="Courier New" w:ascii="Courier New" w:cs="Courier New"/>
      <w:sz w:val="20"/>
      <w:szCs w:val="20"/>
    </w:rPr>
  </w:style>
  <w:style w:type="paragraph" w:styleId="CoverDocId" w:customStyle="1">
    <w:name w:val="Cover Document ID"/>
    <w:basedOn w:val="Normal"/>
    <w:qFormat/>
    <w:uiPriority w:val="99"/>
    <w:pPr>
      <w:widowControl/>
      <w:spacing w:lineRule="auto" w:after="80" w:line="240" w:before="0"/>
      <w:ind w:firstLine="0"/>
      <w:jc w:val="center"/>
    </w:pPr>
    <w:rPr>
      <w:rFonts w:eastAsia="Calibri" w:hAnsi="Calibri" w:ascii="Calibri" w:cs="Calibri"/>
      <w:sz w:val="20"/>
      <w:szCs w:val="20"/>
      <w:color w:val="888888"/>
    </w:rPr>
  </w:style>
  <w:style w:type="paragraph" w:styleId="Reference" w:customStyle="1">
    <w:name w:val="Reference"/>
    <w:basedOn w:val="Normal"/>
    <w:qFormat/>
    <w:uiPriority w:val="99"/>
    <w:pPr>
      <w:widowControl/>
      <w:spacing w:lineRule="auto" w:after="120" w:line="276" w:before="0"/>
      <w:ind w:left="720" w:hanging="720"/>
    </w:pPr>
    <w:rPr>
      <w:rFonts w:eastAsia="Calibri" w:hAnsi="Calibri" w:ascii="Calibri" w:cs="Calibri"/>
      <w:sz w:val="24"/>
      <w:szCs w:val="24"/>
    </w:rPr>
  </w:style>
  <w:style w:type="paragraph" w:styleId="CoverVersion" w:customStyle="1">
    <w:name w:val="Cover Version"/>
    <w:basedOn w:val="Normal"/>
    <w:qFormat/>
    <w:uiPriority w:val="99"/>
    <w:pPr>
      <w:widowControl/>
      <w:spacing w:lineRule="auto" w:after="80" w:line="240" w:before="0"/>
      <w:ind w:firstLine="0"/>
      <w:jc w:val="center"/>
    </w:pPr>
    <w:rPr>
      <w:rFonts w:eastAsia="Calibri" w:hAnsi="Calibri" w:ascii="Calibri" w:cs="Calibri"/>
      <w:sz w:val="20"/>
      <w:szCs w:val="20"/>
      <w:color w:val="888888"/>
    </w:rPr>
  </w:style>
  <w:style w:type="paragraph" w:styleId="Quote">
    <w:name w:val="Quote"/>
    <w:basedOn w:val="Normal"/>
    <w:qFormat/>
    <w:uiPriority w:val="99"/>
    <w:pPr>
      <w:widowControl/>
      <w:spacing w:lineRule="auto" w:after="160" w:line="276" w:before="200"/>
      <w:ind w:right="720" w:firstLine="0" w:left="720"/>
    </w:pPr>
    <w:rPr>
      <w:rFonts w:eastAsia="Calibri" w:hAnsi="Calibri" w:ascii="Calibri" w:cs="Calibri"/>
      <w:i/>
      <w:iCs/>
      <w:sz w:val="24"/>
      <w:szCs w:val="24"/>
      <w:color w:val="404040"/>
    </w:rPr>
  </w:style>
  <w:style w:type="paragraph" w:styleId="Footer" w:customStyle="1">
    <w:name w:val="Footer"/>
    <w:basedOn w:val="Normal"/>
    <w:qFormat/>
    <w:uiPriority w:val="99"/>
    <w:pPr>
      <w:widowControl/>
      <w:spacing w:after="0" w:line="240" w:lineRule="auto"/>
      <w:ind w:firstLine="0"/>
    </w:pPr>
    <w:rPr>
      <w:rFonts w:eastAsia="Calibri" w:hAnsi="Calibri" w:ascii="Calibri" w:cs="Calibri"/>
      <w:sz w:val="20"/>
      <w:szCs w:val="20"/>
    </w:rPr>
  </w:style>
  <w:style w:type="paragraph" w:styleId="CoverSubtitle" w:customStyle="1">
    <w:name w:val="Cover Subtitle"/>
    <w:basedOn w:val="Normal"/>
    <w:qFormat/>
    <w:uiPriority w:val="99"/>
    <w:pPr>
      <w:widowControl/>
      <w:spacing w:lineRule="auto" w:after="160" w:line="240" w:before="0"/>
      <w:ind w:firstLine="0"/>
      <w:jc w:val="center"/>
    </w:pPr>
    <w:rPr>
      <w:rFonts w:eastAsia="Calibri" w:hAnsi="Calibri" w:ascii="Calibri" w:cs="Calibri"/>
      <w:sz w:val="32"/>
      <w:szCs w:val="32"/>
      <w:color w:val="444444"/>
    </w:rPr>
  </w:style>
  <w:style w:type="paragraph" w:styleId="Source" w:customStyle="1">
    <w:name w:val="Source"/>
    <w:basedOn w:val="Normal"/>
    <w:qFormat/>
    <w:uiPriority w:val="99"/>
    <w:pPr>
      <w:widowControl/>
      <w:spacing w:lineRule="auto" w:after="80" w:line="240" w:before="0"/>
      <w:ind w:firstLine="0"/>
    </w:pPr>
    <w:rPr>
      <w:rFonts w:eastAsia="Calibri" w:hAnsi="Calibri" w:ascii="Calibri" w:cs="Calibri"/>
      <w:sz w:val="18"/>
      <w:szCs w:val="18"/>
    </w:rPr>
  </w:style>
  <w:style w:type="paragraph" w:styleId="CoverDate" w:customStyle="1">
    <w:name w:val="Cover Date"/>
    <w:basedOn w:val="Normal"/>
    <w:qFormat/>
    <w:uiPriority w:val="99"/>
    <w:pPr>
      <w:widowControl/>
      <w:spacing w:lineRule="auto" w:after="80" w:line="240" w:before="0"/>
      <w:ind w:firstLine="0"/>
      <w:jc w:val="center"/>
    </w:pPr>
    <w:rPr>
      <w:rFonts w:eastAsia="Calibri" w:hAnsi="Calibri" w:ascii="Calibri" w:cs="Calibri"/>
      <w:i/>
      <w:iCs/>
      <w:sz w:val="24"/>
      <w:szCs w:val="24"/>
      <w:color w:val="666666"/>
    </w:rPr>
  </w:style>
  <w:style w:type="paragraph" w:styleId="FigureCenter" w:customStyle="1">
    <w:name w:val="Figure Center"/>
    <w:basedOn w:val="Normal"/>
    <w:qFormat/>
    <w:uiPriority w:val="99"/>
    <w:pPr>
      <w:widowControl/>
      <w:spacing w:lineRule="auto" w:after="120" w:line="240" w:before="120"/>
      <w:ind w:firstLine="0"/>
      <w:jc w:val="center"/>
    </w:pPr>
  </w:style>
  <w:style w:type="paragraph" w:styleId="CoverAuthor" w:customStyle="1">
    <w:name w:val="Cover Author"/>
    <w:basedOn w:val="Normal"/>
    <w:qFormat/>
    <w:uiPriority w:val="99"/>
    <w:pPr>
      <w:widowControl/>
      <w:spacing w:lineRule="auto" w:after="80" w:line="240" w:before="0"/>
      <w:ind w:firstLine="0"/>
      <w:jc w:val="center"/>
    </w:pPr>
    <w:rPr>
      <w:rFonts w:eastAsia="Calibri" w:hAnsi="Calibri" w:ascii="Calibri" w:cs="Calibri"/>
      <w:sz w:val="24"/>
      <w:szCs w:val="24"/>
      <w:color w:val="000000"/>
    </w:rPr>
  </w:style>
  <w:style w:type="paragraph" w:styleId="CoverTitle" w:customStyle="1">
    <w:name w:val="Cover Title"/>
    <w:basedOn w:val="Normal"/>
    <w:qFormat/>
    <w:uiPriority w:val="99"/>
    <w:pPr>
      <w:widowControl/>
      <w:spacing w:lineRule="auto" w:after="240" w:line="240" w:before="0"/>
      <w:ind w:firstLine="0"/>
      <w:jc w:val="center"/>
    </w:pPr>
    <w:rPr>
      <w:rFonts w:eastAsia="Calibri" w:hAnsi="Calibri" w:ascii="Calibri" w:cs="Calibri"/>
      <w:b/>
      <w:bCs/>
      <w:sz w:val="56"/>
      <w:szCs w:val="56"/>
      <w:color w:val="000000"/>
    </w:rPr>
  </w:style>
  <w:style w:type="paragraph" w:styleId="TOC3">
    <w:name w:val="TOC 3"/>
    <w:basedOn w:val="Normal"/>
    <w:qFormat/>
    <w:uiPriority w:val="99"/>
    <w:pPr>
      <w:widowControl/>
      <w:spacing w:lineRule="auto" w:after="0" w:line="276" w:before="0"/>
      <w:ind w:left="720" w:firstLine="0"/>
    </w:pPr>
    <w:rPr>
      <w:rFonts w:eastAsia="Calibri" w:hAnsi="Calibri" w:ascii="Calibri" w:cs="Calibri"/>
      <w:sz w:val="24"/>
      <w:szCs w:val="24"/>
      <w:color w:val="000000"/>
    </w:rPr>
  </w:style>
  <w:style w:type="paragraph" w:styleId="Header" w:customStyle="1">
    <w:name w:val="Header"/>
    <w:basedOn w:val="Normal"/>
    <w:qFormat/>
    <w:uiPriority w:val="99"/>
    <w:pPr>
      <w:widowControl/>
      <w:spacing w:after="0" w:line="240" w:lineRule="auto"/>
      <w:ind w:firstLine="0"/>
    </w:pPr>
    <w:rPr>
      <w:rFonts w:eastAsia="Calibri" w:hAnsi="Calibri" w:ascii="Calibri" w:cs="Calibri"/>
      <w:sz w:val="20"/>
      <w:szCs w:val="20"/>
    </w:rPr>
  </w:style>
  <w:style w:type="paragraph" w:styleId="TOC2">
    <w:name w:val="TOC 2"/>
    <w:basedOn w:val="Normal"/>
    <w:qFormat/>
    <w:uiPriority w:val="99"/>
    <w:pPr>
      <w:widowControl/>
      <w:spacing w:lineRule="auto" w:after="0" w:line="276" w:before="0"/>
      <w:ind w:left="360" w:firstLine="0"/>
    </w:pPr>
    <w:rPr>
      <w:rFonts w:eastAsia="Calibri" w:hAnsi="Calibri" w:ascii="Calibri" w:cs="Calibri"/>
      <w:sz w:val="24"/>
      <w:szCs w:val="24"/>
      <w:color w:val="000000"/>
    </w:rPr>
  </w:style>
  <w:style w:type="paragraph" w:styleId="TOC1">
    <w:name w:val="TOC 1"/>
    <w:basedOn w:val="Normal"/>
    <w:qFormat/>
    <w:uiPriority w:val="99"/>
    <w:pPr>
      <w:widowControl/>
      <w:spacing w:lineRule="auto" w:after="0" w:line="276" w:before="120"/>
      <w:ind w:firstLine="0"/>
    </w:pPr>
    <w:rPr>
      <w:rFonts w:eastAsia="Calibri" w:hAnsi="Calibri" w:ascii="Calibri" w:cs="Calibri"/>
      <w:b/>
      <w:bCs/>
      <w:sz w:val="24"/>
      <w:szCs w:val="24"/>
      <w:color w:val="00000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Relationship Type="http://schemas.openxmlformats.org/officeDocument/2006/relationships/image" Id="rId69" Target="media/rId69.png"/><Relationship Type="http://schemas.openxmlformats.org/officeDocument/2006/relationships/image" Id="rId83" Target="media/rId83.png"/><Relationship Type="http://schemas.openxmlformats.org/officeDocument/2006/relationships/image" Id="rId29" Target="media/rId29.png"/><Relationship Type="http://schemas.openxmlformats.org/officeDocument/2006/relationships/image" Id="rId26" Target="media/rId26.png"/><Relationship Type="http://schemas.openxmlformats.org/officeDocument/2006/relationships/image" Id="rId61" Target="media/rId61.png"/><Relationship Type="http://schemas.openxmlformats.org/officeDocument/2006/relationships/hyperlink" Id="rId23" Target="creating-a-model.docx#SPEC-sec2" TargetMode="External"/><Relationship Type="http://schemas.openxmlformats.org/officeDocument/2006/relationships/hyperlink" Id="rId107" Target="creating-a-model.docx#SPEC-sec3" TargetMode="External"/><Relationship Type="http://schemas.openxmlformats.org/officeDocument/2006/relationships/hyperlink" Id="rId108" Target="creating-a-model.docx#SPEC-sec4" TargetMode="External"/><Relationship Type="http://schemas.openxmlformats.org/officeDocument/2006/relationships/hyperlink" Id="rId76" Target="creating-a-model.docx#SPEC-sec5" TargetMode="External"/><Relationship Type="http://schemas.openxmlformats.org/officeDocument/2006/relationships/hyperlink" Id="rId109" Target="creating-a-model.docx#SPEC-sec7" TargetMode="External"/><Relationship Type="http://schemas.openxmlformats.org/officeDocument/2006/relationships/hyperlink" Id="rId86" Target="creating-a-model.docx#SPEC-sec8" TargetMode="External"/><Relationship Type="http://schemas.openxmlformats.org/officeDocument/2006/relationships/hyperlink" Id="rId25" Target="creating-a-model.docx#SPEC-sec9" TargetMode="External"/><Relationship Type="http://schemas.openxmlformats.org/officeDocument/2006/relationships/hyperlink" Id="rId74" Target="docx-customization.docx#SPEC-2-sec3" TargetMode="External"/><Relationship Type="http://schemas.openxmlformats.org/officeDocument/2006/relationships/hyperlink" Id="rId78" Target="docx-customization.docx#SPEC-2-sec3.6" TargetMode="External"/><Relationship Type="http://schemas.openxmlformats.org/officeDocument/2006/relationships/hyperlink" Id="rId77" Target="docx-customization.docx#SPEC-2-sec4" TargetMode="External"/><Relationship Target="header1.xml" Id="rId9100" Type="http://schemas.openxmlformats.org/officeDocument/2006/relationships/header"/><Relationship Target="header2.xml" Id="rId9101" Type="http://schemas.openxmlformats.org/officeDocument/2006/relationships/header"/><Relationship Target="footer1.xml" Id="rId9200" Type="http://schemas.openxmlformats.org/officeDocument/2006/relationships/footer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creating-a-model.docx#SPEC-sec2" TargetMode="External" /><Relationship Type="http://schemas.openxmlformats.org/officeDocument/2006/relationships/hyperlink" Id="rId107" Target="creating-a-model.docx#SPEC-sec3" TargetMode="External" /><Relationship Type="http://schemas.openxmlformats.org/officeDocument/2006/relationships/hyperlink" Id="rId108" Target="creating-a-model.docx#SPEC-sec4" TargetMode="External" /><Relationship Type="http://schemas.openxmlformats.org/officeDocument/2006/relationships/hyperlink" Id="rId76" Target="creating-a-model.docx#SPEC-sec5" TargetMode="External" /><Relationship Type="http://schemas.openxmlformats.org/officeDocument/2006/relationships/hyperlink" Id="rId109" Target="creating-a-model.docx#SPEC-sec7" TargetMode="External" /><Relationship Type="http://schemas.openxmlformats.org/officeDocument/2006/relationships/hyperlink" Id="rId86" Target="creating-a-model.docx#SPEC-sec8" TargetMode="External" /><Relationship Type="http://schemas.openxmlformats.org/officeDocument/2006/relationships/hyperlink" Id="rId25" Target="creating-a-model.docx#SPEC-sec9" TargetMode="External" /><Relationship Type="http://schemas.openxmlformats.org/officeDocument/2006/relationships/hyperlink" Id="rId74" Target="docx-customization.docx#SPEC-2-sec3" TargetMode="External" /><Relationship Type="http://schemas.openxmlformats.org/officeDocument/2006/relationships/hyperlink" Id="rId78" Target="docx-customization.docx#SPEC-2-sec3.6" TargetMode="External" /><Relationship Type="http://schemas.openxmlformats.org/officeDocument/2006/relationships/hyperlink" Id="rId77" Target="docx-customization.docx#SPEC-2-sec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2026-02-23T01:47:52Z</dcterms:created>
  <dcterms:modified xsi:type="dcterms:W3CDTF">2026-02-23T01:47:52Z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_id">
    <vt:lpwstr>SC-UM-001</vt:lpwstr>
  </property>
  <property fmtid="{D5CDD505-2E9C-101B-9397-08002B2CF9AE}" pid="3" name="subtitle">
    <vt:lpwstr>Structured Document Processing Pipeline</vt:lpwstr>
  </property>
  <property fmtid="{D5CDD505-2E9C-101B-9397-08002B2CF9AE}" pid="4" name="version">
    <vt:lpwstr>1.0</vt:lpwstr>
  </property>
</Properties>
</file>