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46E86BC5" w14:textId="6DA94493" w:rsidR="00502BE1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6024" w:history="1">
            <w:r w:rsidR="00502BE1" w:rsidRPr="00853CC7">
              <w:rPr>
                <w:rStyle w:val="Hyperlink"/>
                <w:noProof/>
              </w:rPr>
              <w:t>TODO general: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D7B4CF1" w14:textId="434BA693" w:rsidR="00502BE1" w:rsidRDefault="00BA752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5" w:history="1">
            <w:r w:rsidR="00502BE1" w:rsidRPr="00853CC7">
              <w:rPr>
                <w:rStyle w:val="Hyperlink"/>
                <w:noProof/>
              </w:rPr>
              <w:t>From 10/01/2018 meeting: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_Toc506126025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E43945D" w14:textId="2C8227F7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6" w:history="1">
            <w:r w:rsidR="00502BE1" w:rsidRPr="00853CC7">
              <w:rPr>
                <w:rStyle w:val="Hyperlink"/>
                <w:noProof/>
              </w:rPr>
              <w:t>Introduction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_Toc506126026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619F9351" w14:textId="79825EBB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7" w:history="1">
            <w:r w:rsidR="00502BE1" w:rsidRPr="00853CC7">
              <w:rPr>
                <w:rStyle w:val="Hyperlink"/>
                <w:noProof/>
              </w:rPr>
              <w:t>Users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_Toc506126027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1E37AF8" w14:textId="2122CCC1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8" w:history="1">
            <w:r w:rsidR="00502BE1" w:rsidRPr="00853CC7">
              <w:rPr>
                <w:rStyle w:val="Hyperlink"/>
                <w:noProof/>
              </w:rPr>
              <w:t>Projects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_Toc506126028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EF14F30" w14:textId="750066D4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9" w:history="1">
            <w:r w:rsidR="00502BE1" w:rsidRPr="00853CC7">
              <w:rPr>
                <w:rStyle w:val="Hyperlink"/>
                <w:noProof/>
              </w:rPr>
              <w:t>Reference Data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_Toc506126029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1A77CF23" w14:textId="760D6138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0" w:history="1">
            <w:r w:rsidR="00502BE1" w:rsidRPr="00853CC7">
              <w:rPr>
                <w:rStyle w:val="Hyperlink"/>
                <w:noProof/>
              </w:rPr>
              <w:t>Paper Collection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_Toc506126030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01523E5F" w14:textId="62023387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1" w:history="1">
            <w:r w:rsidR="00502BE1" w:rsidRPr="00853CC7">
              <w:rPr>
                <w:rStyle w:val="Hyperlink"/>
                <w:noProof/>
              </w:rPr>
              <w:t>Paper Allocation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_Toc506126031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2F6F05" w14:textId="2FBAFFD1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2" w:history="1">
            <w:r w:rsidR="00502BE1" w:rsidRPr="00853CC7">
              <w:rPr>
                <w:rStyle w:val="Hyperlink"/>
                <w:noProof/>
              </w:rPr>
              <w:t>REF UNITS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_Toc506126032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75C2E89C" w14:textId="34F14D3A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3" w:history="1">
            <w:r w:rsidR="00502BE1" w:rsidRPr="00853CC7">
              <w:rPr>
                <w:rStyle w:val="Hyperlink"/>
                <w:noProof/>
              </w:rPr>
              <w:t>REPORTING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_Toc506126033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4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1628D26" w14:textId="0A3B4677" w:rsidR="00502BE1" w:rsidRDefault="00BA752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4" w:history="1">
            <w:r w:rsidR="00502BE1" w:rsidRPr="00853CC7">
              <w:rPr>
                <w:rStyle w:val="Hyperlink"/>
                <w:noProof/>
              </w:rPr>
              <w:t>IMPACT Case studies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5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DFF809" w14:textId="6DC558B1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6126024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6126025"/>
      <w:r>
        <w:t>From 10/01/2018 meeting:</w:t>
      </w:r>
      <w:bookmarkEnd w:id="1"/>
    </w:p>
    <w:p w14:paraId="1E9F0BAB" w14:textId="08CCABE7" w:rsidR="008D46D1" w:rsidRPr="002D125A" w:rsidRDefault="008D46D1" w:rsidP="00E0009D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 w:rsidRPr="002D125A">
        <w:rPr>
          <w:strike/>
          <w:color w:val="808080" w:themeColor="background1" w:themeShade="80"/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2D125A">
        <w:rPr>
          <w:strike/>
          <w:color w:val="808080" w:themeColor="background1" w:themeShade="80"/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r>
        <w:t>From 21/02/2018 meeting:</w:t>
      </w:r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2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2"/>
      <w:r w:rsidR="00C24C46">
        <w:rPr>
          <w:rStyle w:val="CommentReference"/>
        </w:rPr>
        <w:commentReference w:id="2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3"/>
      <w:r w:rsidR="00D7481E">
        <w:rPr>
          <w:rStyle w:val="CommentReference"/>
        </w:rPr>
        <w:commentReference w:id="3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4"/>
      <w:r w:rsidR="00D7481E">
        <w:rPr>
          <w:rStyle w:val="CommentReference"/>
        </w:rPr>
        <w:commentReference w:id="4"/>
      </w:r>
      <w:bookmarkStart w:id="5" w:name="_GoBack"/>
      <w:bookmarkEnd w:id="5"/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30BB2C9" w14:textId="3B925725" w:rsidR="008D46D1" w:rsidRDefault="008D46D1" w:rsidP="000C5102">
      <w:pPr>
        <w:rPr>
          <w:b/>
          <w:bCs/>
          <w:sz w:val="28"/>
          <w:szCs w:val="20"/>
        </w:rPr>
      </w:pPr>
    </w:p>
    <w:p w14:paraId="7825F171" w14:textId="77777777" w:rsidR="00515173" w:rsidRDefault="00515173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6" w:name="_Toc506126026"/>
      <w:r>
        <w:t>Introduction</w:t>
      </w:r>
      <w:bookmarkEnd w:id="6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7" w:name="_Hlk503359661"/>
      <w:r>
        <w:rPr>
          <w:lang w:val="en-GB"/>
        </w:rPr>
        <w:t xml:space="preserve">his </w:t>
      </w:r>
      <w:bookmarkEnd w:id="7"/>
      <w:r>
        <w:rPr>
          <w:lang w:val="en-GB"/>
        </w:rPr>
        <w:t xml:space="preserve">document sets out the functional requirements of the REFTool. REFTool aims to support the planning and preparation of REF submissions from the faculty of science and </w:t>
      </w:r>
      <w:r>
        <w:rPr>
          <w:lang w:val="en-GB"/>
        </w:rPr>
        <w:lastRenderedPageBreak/>
        <w:t>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Pr="0024328E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pt-BR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8" w:name="_Toc506126027"/>
      <w:r>
        <w:t>Users</w:t>
      </w:r>
      <w:bookmarkEnd w:id="8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9"/>
      <w:r w:rsidR="0067055F">
        <w:rPr>
          <w:rStyle w:val="CommentReference"/>
          <w:rFonts w:ascii="Arial" w:hAnsi="Arial"/>
          <w:lang w:val="en-GB"/>
        </w:rPr>
        <w:commentReference w:id="9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10"/>
      <w:r>
        <w:rPr>
          <w:lang w:val="en-GB"/>
        </w:rPr>
        <w:t>User id will be of the form: mdx-email address. Password will default to reft001</w:t>
      </w:r>
      <w:commentRangeEnd w:id="10"/>
      <w:r w:rsidR="0067055F">
        <w:rPr>
          <w:rStyle w:val="CommentReference"/>
          <w:rFonts w:ascii="Arial" w:hAnsi="Arial"/>
          <w:lang w:val="en-GB"/>
        </w:rPr>
        <w:commentReference w:id="10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1" w:name="_Toc506126028"/>
      <w:r>
        <w:t>Projects</w:t>
      </w:r>
      <w:bookmarkEnd w:id="11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12"/>
      <w:r>
        <w:rPr>
          <w:lang w:val="en-GB"/>
        </w:rPr>
        <w:t xml:space="preserve">projects </w:t>
      </w:r>
      <w:commentRangeEnd w:id="12"/>
      <w:r w:rsidR="0067055F">
        <w:rPr>
          <w:rStyle w:val="CommentReference"/>
          <w:rFonts w:ascii="Arial" w:hAnsi="Arial"/>
          <w:lang w:val="en-GB"/>
        </w:rPr>
        <w:commentReference w:id="12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14"/>
      <w:r>
        <w:rPr>
          <w:lang w:val="en-GB"/>
        </w:rPr>
        <w:t>The system must allow the set up of a configuration mapping that maps CORE Rankings to scores</w:t>
      </w:r>
      <w:commentRangeEnd w:id="14"/>
      <w:r w:rsidR="00557256">
        <w:rPr>
          <w:rStyle w:val="CommentReference"/>
          <w:rFonts w:ascii="Arial" w:hAnsi="Arial"/>
          <w:lang w:val="en-GB"/>
        </w:rPr>
        <w:commentReference w:id="14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5" w:name="_Toc506126029"/>
      <w:r>
        <w:t>Reference Data</w:t>
      </w:r>
      <w:bookmarkEnd w:id="15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6"/>
      <w:r>
        <w:rPr>
          <w:lang w:val="en-GB"/>
        </w:rPr>
        <w:t xml:space="preserve">For computer science and indeed for other disciplines, the Australian CORE rankings provides a spreadsheet of journals and conferences that are ranked as A*, A, B, C and NR </w:t>
      </w:r>
      <w:r>
        <w:rPr>
          <w:lang w:val="en-GB"/>
        </w:rPr>
        <w:lastRenderedPageBreak/>
        <w:t>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6"/>
      <w:r w:rsidR="00FC7239">
        <w:rPr>
          <w:rStyle w:val="CommentReference"/>
          <w:rFonts w:ascii="Arial" w:hAnsi="Arial"/>
          <w:lang w:val="en-GB"/>
        </w:rPr>
        <w:commentReference w:id="16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7" w:name="_Toc506126030"/>
      <w:r>
        <w:t>Paper Collection</w:t>
      </w:r>
      <w:bookmarkEnd w:id="17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8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8"/>
      <w:r w:rsidR="00FC7239">
        <w:rPr>
          <w:rStyle w:val="CommentReference"/>
          <w:rFonts w:ascii="Arial" w:hAnsi="Arial"/>
          <w:lang w:val="en-GB"/>
        </w:rPr>
        <w:commentReference w:id="18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9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9"/>
      <w:r w:rsidR="003D43DA">
        <w:rPr>
          <w:rStyle w:val="CommentReference"/>
          <w:rFonts w:ascii="Arial" w:hAnsi="Arial"/>
          <w:lang w:val="en-GB"/>
        </w:rPr>
        <w:commentReference w:id="19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20" w:name="_Toc506126031"/>
      <w:r>
        <w:t>Paper Allocation</w:t>
      </w:r>
      <w:bookmarkEnd w:id="20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1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1"/>
      <w:r w:rsidR="00AE28F2">
        <w:t xml:space="preserve"> </w:t>
      </w:r>
      <w:r w:rsidR="003D43DA" w:rsidRPr="00AE28F2">
        <w:commentReference w:id="21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2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2"/>
      <w:r w:rsidR="00307DD5">
        <w:rPr>
          <w:rStyle w:val="CommentReference"/>
          <w:rFonts w:ascii="Arial" w:hAnsi="Arial"/>
          <w:lang w:val="en-GB"/>
        </w:rPr>
        <w:commentReference w:id="22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3" w:name="_Toc506126032"/>
      <w:r>
        <w:t>REF UNITS</w:t>
      </w:r>
      <w:bookmarkEnd w:id="23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24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24"/>
      <w:r w:rsidR="00307DD5">
        <w:rPr>
          <w:rStyle w:val="CommentReference"/>
          <w:rFonts w:ascii="Arial" w:hAnsi="Arial"/>
          <w:lang w:val="en-GB"/>
        </w:rPr>
        <w:commentReference w:id="24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lastRenderedPageBreak/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25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25"/>
      <w:r w:rsidR="001333C8">
        <w:rPr>
          <w:rStyle w:val="CommentReference"/>
          <w:rFonts w:ascii="Arial" w:hAnsi="Arial"/>
          <w:lang w:val="en-GB"/>
        </w:rPr>
        <w:commentReference w:id="25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6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6"/>
      <w:r w:rsidR="00BD5728">
        <w:rPr>
          <w:rStyle w:val="CommentReference"/>
          <w:rFonts w:ascii="Arial" w:hAnsi="Arial"/>
          <w:lang w:val="en-GB"/>
        </w:rPr>
        <w:commentReference w:id="26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7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7"/>
      <w:r w:rsidR="00F12223">
        <w:rPr>
          <w:rStyle w:val="CommentReference"/>
          <w:rFonts w:ascii="Arial" w:hAnsi="Arial"/>
          <w:lang w:val="en-GB"/>
        </w:rPr>
        <w:commentReference w:id="27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8"/>
      <w:r>
        <w:rPr>
          <w:lang w:val="en-GB"/>
        </w:rPr>
        <w:t>Allocation to REF unit can be done in one of two ways</w:t>
      </w:r>
      <w:commentRangeEnd w:id="28"/>
      <w:r w:rsidR="00F12223">
        <w:rPr>
          <w:rStyle w:val="CommentReference"/>
          <w:rFonts w:ascii="Arial" w:hAnsi="Arial"/>
          <w:lang w:val="en-GB"/>
        </w:rPr>
        <w:commentReference w:id="28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9" w:name="_Toc506126033"/>
      <w:r w:rsidRPr="009606AA">
        <w:rPr>
          <w:highlight w:val="yellow"/>
        </w:rPr>
        <w:t>REPORTING</w:t>
      </w:r>
      <w:bookmarkEnd w:id="29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30"/>
      <w:r>
        <w:rPr>
          <w:lang w:val="en-GB"/>
        </w:rPr>
        <w:t>All creators and their papers together with their scores</w:t>
      </w:r>
      <w:commentRangeEnd w:id="30"/>
      <w:r w:rsidR="00F12223">
        <w:rPr>
          <w:rStyle w:val="CommentReference"/>
          <w:rFonts w:ascii="Arial" w:hAnsi="Arial"/>
          <w:lang w:val="en-GB"/>
        </w:rPr>
        <w:commentReference w:id="30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1" w:name="_Toc506126034"/>
      <w:commentRangeStart w:id="32"/>
      <w:r>
        <w:t>IMPACT Case studies</w:t>
      </w:r>
      <w:commentRangeEnd w:id="32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2"/>
      </w:r>
      <w:bookmarkEnd w:id="31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ristiano Maia" w:date="2018-02-24T15:51:00Z" w:initials="CM">
    <w:p w14:paraId="0F67EABC" w14:textId="61187705" w:rsidR="00C24C46" w:rsidRDefault="00C24C46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3" w:author="Cristiano Maia" w:date="2018-02-24T15:52:00Z" w:initials="CM">
    <w:p w14:paraId="6FCCD952" w14:textId="5711E9E9" w:rsidR="00D7481E" w:rsidRDefault="00D7481E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4" w:author="Cristiano Maia" w:date="2018-02-24T15:52:00Z" w:initials="CM">
    <w:p w14:paraId="301F0257" w14:textId="12E21B63" w:rsidR="00D7481E" w:rsidRDefault="00D7481E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9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0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2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C6B37C7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  <w:p w14:paraId="6847B657" w14:textId="37E3643A" w:rsidR="00732CA1" w:rsidRDefault="00732CA1">
      <w:pPr>
        <w:pStyle w:val="CommentText"/>
      </w:pPr>
    </w:p>
    <w:p w14:paraId="2988DFBC" w14:textId="5DD7E461" w:rsidR="00732CA1" w:rsidRPr="000D5151" w:rsidRDefault="00732CA1">
      <w:pPr>
        <w:pStyle w:val="CommentText"/>
        <w:rPr>
          <w:b/>
        </w:rPr>
      </w:pPr>
      <w:bookmarkStart w:id="13" w:name="_Hlk507447568"/>
      <w:r w:rsidRPr="000D5151">
        <w:rPr>
          <w:b/>
        </w:rPr>
        <w:t>Done.</w:t>
      </w:r>
      <w:bookmarkEnd w:id="13"/>
    </w:p>
  </w:comment>
  <w:comment w:id="14" w:author="Cristiano Maia" w:date="2018-01-09T20:35:00Z" w:initials="CM">
    <w:p w14:paraId="67B3FFAD" w14:textId="071466D0" w:rsidR="000D5151" w:rsidRDefault="003D43DA">
      <w:pPr>
        <w:pStyle w:val="CommentText"/>
      </w:pPr>
      <w:r>
        <w:t>To be done during the creation of the project.</w:t>
      </w:r>
    </w:p>
    <w:p w14:paraId="32901E1D" w14:textId="0F93B2D7" w:rsidR="000D5151" w:rsidRPr="000D5151" w:rsidRDefault="000D5151">
      <w:pPr>
        <w:pStyle w:val="CommentText"/>
        <w:rPr>
          <w:b/>
        </w:rPr>
      </w:pPr>
      <w:r w:rsidRPr="000D5151">
        <w:rPr>
          <w:b/>
        </w:rPr>
        <w:t>Done.</w:t>
      </w:r>
    </w:p>
    <w:p w14:paraId="7401D903" w14:textId="77777777" w:rsidR="000D5151" w:rsidRDefault="000D5151">
      <w:pPr>
        <w:pStyle w:val="CommentText"/>
      </w:pPr>
    </w:p>
    <w:p w14:paraId="5E04721D" w14:textId="3B02034F" w:rsidR="003D43DA" w:rsidRDefault="000D5151">
      <w:pPr>
        <w:pStyle w:val="CommentText"/>
      </w:pPr>
      <w:r w:rsidRPr="000D5151">
        <w:rPr>
          <w:b/>
        </w:rPr>
        <w:t>TODO:</w:t>
      </w:r>
      <w:r>
        <w:t xml:space="preserve"> </w:t>
      </w:r>
      <w:r w:rsidR="003D43DA">
        <w:t>Allow user to edit the settings later inside the project.</w:t>
      </w:r>
    </w:p>
  </w:comment>
  <w:comment w:id="16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8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726A10AF" w14:textId="3B189D8D" w:rsidR="003D43DA" w:rsidRDefault="003D43DA">
      <w:pPr>
        <w:pStyle w:val="CommentText"/>
      </w:pPr>
      <w:r>
        <w:t>TODO: from the imported XLSX, shows how many users are already in the DB, and how many are new..</w:t>
      </w:r>
    </w:p>
  </w:comment>
  <w:comment w:id="19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1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22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24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25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6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7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8" w:author="Cristiano Maia" w:date="2018-01-09T20:59:00Z" w:initials="CM">
    <w:p w14:paraId="6867EB9B" w14:textId="11CBC316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  <w:p w14:paraId="5107E05C" w14:textId="12D8F71A" w:rsidR="000C5102" w:rsidRDefault="000C5102">
      <w:pPr>
        <w:pStyle w:val="CommentText"/>
      </w:pPr>
    </w:p>
    <w:p w14:paraId="288C6335" w14:textId="0993AF56" w:rsidR="000C5102" w:rsidRDefault="000C5102">
      <w:pPr>
        <w:pStyle w:val="CommentText"/>
      </w:pPr>
      <w:r>
        <w:t xml:space="preserve">According to Babir (10/01/18) only really care about first author, and if author is/was MDX employee during the collection period </w:t>
      </w:r>
      <w:r w:rsidRPr="000C5102">
        <w:rPr>
          <w:b/>
        </w:rPr>
        <w:t>(isn’t that impossible to state?)</w:t>
      </w:r>
      <w:r>
        <w:t>.</w:t>
      </w:r>
    </w:p>
  </w:comment>
  <w:comment w:id="30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32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2988DFBC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2988DFBC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3A12B" w14:textId="77777777" w:rsidR="00BA7525" w:rsidRDefault="00BA7525">
      <w:r>
        <w:separator/>
      </w:r>
    </w:p>
  </w:endnote>
  <w:endnote w:type="continuationSeparator" w:id="0">
    <w:p w14:paraId="314D9881" w14:textId="77777777" w:rsidR="00BA7525" w:rsidRDefault="00BA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0568924B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51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4178" w14:textId="77777777" w:rsidR="00BA7525" w:rsidRDefault="00BA7525">
      <w:r>
        <w:separator/>
      </w:r>
    </w:p>
  </w:footnote>
  <w:footnote w:type="continuationSeparator" w:id="0">
    <w:p w14:paraId="2702E74F" w14:textId="77777777" w:rsidR="00BA7525" w:rsidRDefault="00BA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31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2"/>
  </w:num>
  <w:num w:numId="11">
    <w:abstractNumId w:val="14"/>
  </w:num>
  <w:num w:numId="12">
    <w:abstractNumId w:val="22"/>
  </w:num>
  <w:num w:numId="13">
    <w:abstractNumId w:val="33"/>
  </w:num>
  <w:num w:numId="14">
    <w:abstractNumId w:val="15"/>
  </w:num>
  <w:num w:numId="15">
    <w:abstractNumId w:val="38"/>
  </w:num>
  <w:num w:numId="16">
    <w:abstractNumId w:val="11"/>
  </w:num>
  <w:num w:numId="17">
    <w:abstractNumId w:val="24"/>
  </w:num>
  <w:num w:numId="18">
    <w:abstractNumId w:val="19"/>
  </w:num>
  <w:num w:numId="19">
    <w:abstractNumId w:val="30"/>
  </w:num>
  <w:num w:numId="20">
    <w:abstractNumId w:val="29"/>
  </w:num>
  <w:num w:numId="21">
    <w:abstractNumId w:val="26"/>
  </w:num>
  <w:num w:numId="22">
    <w:abstractNumId w:val="17"/>
  </w:num>
  <w:num w:numId="23">
    <w:abstractNumId w:val="16"/>
  </w:num>
  <w:num w:numId="24">
    <w:abstractNumId w:val="28"/>
  </w:num>
  <w:num w:numId="25">
    <w:abstractNumId w:val="32"/>
    <w:lvlOverride w:ilvl="0">
      <w:startOverride w:val="1"/>
    </w:lvlOverride>
  </w:num>
  <w:num w:numId="26">
    <w:abstractNumId w:val="13"/>
  </w:num>
  <w:num w:numId="27">
    <w:abstractNumId w:val="37"/>
  </w:num>
  <w:num w:numId="28">
    <w:abstractNumId w:val="3"/>
  </w:num>
  <w:num w:numId="29">
    <w:abstractNumId w:val="36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8"/>
  </w:num>
  <w:num w:numId="41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D5151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328E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0934"/>
    <w:rsid w:val="002D125A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1D04"/>
    <w:rsid w:val="005864A2"/>
    <w:rsid w:val="005911A1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2CA1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1FC7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A7525"/>
    <w:rsid w:val="00BB318A"/>
    <w:rsid w:val="00BB44F6"/>
    <w:rsid w:val="00BB7DA7"/>
    <w:rsid w:val="00BC6F50"/>
    <w:rsid w:val="00BD17CE"/>
    <w:rsid w:val="00BD2D50"/>
    <w:rsid w:val="00BD5728"/>
    <w:rsid w:val="00BF3B0A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C8C666-CC36-47E8-894B-65189561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6357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3</cp:revision>
  <cp:lastPrinted>2012-03-15T12:51:00Z</cp:lastPrinted>
  <dcterms:created xsi:type="dcterms:W3CDTF">2018-02-26T22:30:00Z</dcterms:created>
  <dcterms:modified xsi:type="dcterms:W3CDTF">2018-02-26T22:31:00Z</dcterms:modified>
</cp:coreProperties>
</file>