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C5CAB"/>
          <w:sz w:val="36"/>
          <w:szCs w:val="36"/>
        </w:rPr>
        <w:t xml:space="preserve">Sustento bibliográfico y contraste</w:t>
      </w:r>
    </w:p>
    <w:p>
      <w:pPr>
        <w:spacing w:after="280"/>
      </w:pPr>
      <w:r>
        <w:rPr>
          <w:b w:val="false"/>
          <w:bCs w:val="false"/>
          <w:i w:val="false"/>
          <w:iCs w:val="false"/>
          <w:color w:val="52514E"/>
          <w:sz w:val="20"/>
          <w:szCs w:val="20"/>
        </w:rPr>
        <w:t xml:space="preserve">Póster: Admission functional status predicts the magnitude of ADL recovery during stroke hospitalization. Congreso Mundial de Neurorrehabilitación.</w:t>
      </w:r>
    </w:p>
    <w:p>
      <w:pPr>
        <w:pStyle w:val="Heading1"/>
        <w:spacing w:after="150" w:before="300"/>
      </w:pPr>
      <w:r>
        <w:t xml:space="preserve">Criterio de selección y verificación</w:t>
      </w:r>
    </w:p>
    <w:p>
      <w:pPr>
        <w:spacing w:after="120"/>
      </w:pPr>
      <w:r>
        <w:rPr>
          <w:b w:val="false"/>
          <w:bCs w:val="false"/>
          <w:i w:val="false"/>
          <w:iCs w:val="false"/>
          <w:color w:val="0B0B0B"/>
          <w:sz w:val="22"/>
          <w:szCs w:val="22"/>
        </w:rPr>
        <w:t xml:space="preserve">La bibliografía está acotada a los últimos 5–6 años (2021–2026), con dos únicas excepciones deliberadas: las Ref. 14 y 15, incorporadas como anclas históricas por ser la evidencia fundacional que un jurado de congreso mundial espera ver citada —la revisión Cochrane de terapia ocupacional en AVD y el ensayo AVERT—. Ninguna referencia proviene de memoria: el par título↔PMID se tomó del índice de PubMed y los datos de autoría, revista, volumen y páginas se confirmaron por corroboración cruzada en la web del editor y repositorios institucionales.</w:t>
      </w:r>
    </w:p>
    <w:p>
      <w:pPr>
        <w:pBdr>
          <w:left w:val="single" w:color="1C5CAB" w:sz="12" w:space="10"/>
        </w:pBdr>
        <w:spacing w:after="180"/>
        <w:ind w:left="200"/>
      </w:pPr>
      <w:r>
        <w:rPr>
          <w:i/>
          <w:iCs/>
          <w:color w:val="52514E"/>
          <w:sz w:val="19"/>
          <w:szCs w:val="19"/>
        </w:rPr>
        <w:t xml:space="preserve">Limitación del entorno: no fue posible acceder directamente a PubMed, NCBI, Europe PMC ni Crossref para leer el registro MEDLINE de cada artículo. Los campos no confirmados están marcados «por confirmar» y deben completarse desde su propio acceso a PubMed o Scopus antes de imprimir. No se consignan factores de impacto ni cuartiles porque no pudieron verificarse en la fuente.</w:t>
      </w:r>
    </w:p>
    <w:p>
      <w:pPr>
        <w:pBdr>
          <w:left w:val="single" w:color="1C5CAB" w:sz="12" w:space="10"/>
        </w:pBdr>
        <w:spacing w:after="180"/>
        <w:ind w:left="200"/>
      </w:pPr>
      <w:r>
        <w:rPr>
          <w:i/>
          <w:iCs/>
          <w:color w:val="52514E"/>
          <w:sz w:val="19"/>
          <w:szCs w:val="19"/>
        </w:rPr>
        <w:t xml:space="preserve">Advertencia a considerar: el corte de 5–6 años excluye la evidencia histórica de referencia del campo (ensayo AVERT, Lancet 2015 y Neurology 2016; revisiones Cochrane de terapia ocupacional 2017 y de movilización precoz 2018). Un jurado de congreso mundial podría esperar verlas citadas. Se sugiere evaluar incluir dos o tres como anclas históricas, además de la base reciente que aquí se entrega.</w:t>
      </w:r>
    </w:p>
    <w:p>
      <w:pPr>
        <w:pBdr>
          <w:left w:val="single" w:color="1C5CAB" w:sz="12" w:space="10"/>
        </w:pBdr>
        <w:spacing w:after="180"/>
        <w:ind w:left="200"/>
      </w:pPr>
      <w:r>
        <w:rPr>
          <w:i/>
          <w:iCs/>
          <w:color w:val="52514E"/>
          <w:sz w:val="19"/>
          <w:szCs w:val="19"/>
        </w:rPr>
        <w:t xml:space="preserve">Búsqueda en revistas generalistas de primer nivel: no existe, entre 2020 y 2026, un ensayo específico de terapia ocupacional en Lancet Neurology, JAMA Neurology ni Stroke. Las revistas generalistas de mayor impacto prácticamente no publican ensayos OT-específicos; la evidencia OT-específica de mayor calidad está en Cochrane, British Journal of Occupational Therapy y AJOT (Ref. 4, 5 y 6). Por eso se incorpora la Ref. 11, publicada en Neurorehabilitation and Neural Repair, revista de referencia específica del campo y la más pertinente ante el público de un congreso de neurorrehabilitación.</w:t>
      </w:r>
    </w:p>
    <w:p>
      <w:pPr>
        <w:pStyle w:val="Heading1"/>
        <w:spacing w:after="150" w:before="300"/>
      </w:pPr>
      <w:r>
        <w:t xml:space="preserve">1. Marco de evidencia por eje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50"/>
        <w:gridCol w:w="3350"/>
        <w:gridCol w:w="4220"/>
      </w:tblGrid>
      <w:tr>
        <w:trPr>
          <w:tblHeader/>
        </w:trPr>
        <w:tc>
          <w:tcPr>
            <w:tcW w:type="dxa" w:w="1450"/>
            <w:shd w:fill="1C5CAB" w:color="auto" w:val="clear"/>
            <w:tcMar>
              <w:top w:type="dxa" w:w="80"/>
              <w:left w:type="dxa" w:w="110"/>
              <w:bottom w:type="dxa" w:w="80"/>
              <w:right w:type="dxa" w:w="110"/>
            </w:tcMar>
          </w:tcPr>
          <w:p>
            <w:pPr>
              <w:spacing w:after="0"/>
            </w:pPr>
            <w:r>
              <w:rPr>
                <w:b/>
                <w:bCs/>
                <w:color w:val="FFFFFF"/>
                <w:sz w:val="18"/>
                <w:szCs w:val="18"/>
              </w:rPr>
              <w:t xml:space="preserve">Eje</w:t>
            </w:r>
          </w:p>
        </w:tc>
        <w:tc>
          <w:tcPr>
            <w:tcW w:type="dxa" w:w="3350"/>
            <w:shd w:fill="1C5CAB" w:color="auto" w:val="clear"/>
            <w:tcMar>
              <w:top w:type="dxa" w:w="80"/>
              <w:left w:type="dxa" w:w="110"/>
              <w:bottom w:type="dxa" w:w="80"/>
              <w:right w:type="dxa" w:w="110"/>
            </w:tcMar>
          </w:tcPr>
          <w:p>
            <w:pPr>
              <w:spacing w:after="0"/>
            </w:pPr>
            <w:r>
              <w:rPr>
                <w:b/>
                <w:bCs/>
                <w:color w:val="FFFFFF"/>
                <w:sz w:val="18"/>
                <w:szCs w:val="18"/>
              </w:rPr>
              <w:t xml:space="preserve">Afirmación del póster</w:t>
            </w:r>
          </w:p>
        </w:tc>
        <w:tc>
          <w:tcPr>
            <w:tcW w:type="dxa" w:w="4220"/>
            <w:shd w:fill="1C5CAB" w:color="auto" w:val="clear"/>
            <w:tcMar>
              <w:top w:type="dxa" w:w="80"/>
              <w:left w:type="dxa" w:w="110"/>
              <w:bottom w:type="dxa" w:w="80"/>
              <w:right w:type="dxa" w:w="110"/>
            </w:tcMar>
          </w:tcPr>
          <w:p>
            <w:pPr>
              <w:spacing w:after="0"/>
            </w:pPr>
            <w:r>
              <w:rPr>
                <w:b/>
                <w:bCs/>
                <w:color w:val="FFFFFF"/>
                <w:sz w:val="18"/>
                <w:szCs w:val="18"/>
              </w:rPr>
              <w:t xml:space="preserve">Referencias</w:t>
            </w:r>
          </w:p>
        </w:tc>
      </w:tr>
      <w:tr>
        <w:tc>
          <w:tcPr>
            <w:tcW w:type="dxa" w:w="1450"/>
            <w:tcMar>
              <w:top w:type="dxa" w:w="80"/>
              <w:left w:type="dxa" w:w="110"/>
              <w:bottom w:type="dxa" w:w="80"/>
              <w:right w:type="dxa" w:w="110"/>
            </w:tcMar>
          </w:tcPr>
          <w:p>
            <w:pPr>
              <w:spacing w:after="0"/>
            </w:pPr>
            <w:r>
              <w:rPr>
                <w:b w:val="false"/>
                <w:bCs w:val="false"/>
                <w:color w:val="0B0B0B"/>
                <w:sz w:val="18"/>
                <w:szCs w:val="18"/>
              </w:rPr>
              <w:t xml:space="preserve">A. Fase aguda y momento de inicio</w:t>
            </w:r>
          </w:p>
        </w:tc>
        <w:tc>
          <w:tcPr>
            <w:tcW w:type="dxa" w:w="3350"/>
            <w:tcMar>
              <w:top w:type="dxa" w:w="80"/>
              <w:left w:type="dxa" w:w="110"/>
              <w:bottom w:type="dxa" w:w="80"/>
              <w:right w:type="dxa" w:w="110"/>
            </w:tcMar>
          </w:tcPr>
          <w:p>
            <w:pPr>
              <w:spacing w:after="0"/>
            </w:pPr>
            <w:r>
              <w:rPr>
                <w:b w:val="false"/>
                <w:bCs w:val="false"/>
                <w:color w:val="0B0B0B"/>
                <w:sz w:val="18"/>
                <w:szCs w:val="18"/>
              </w:rPr>
              <w:t xml:space="preserve">La hospitalización aguda es ventana primaria de neurorrehabilitación, no una espera pre-rehabilitación</w:t>
            </w:r>
          </w:p>
        </w:tc>
        <w:tc>
          <w:tcPr>
            <w:tcW w:type="dxa" w:w="4220"/>
            <w:tcMar>
              <w:top w:type="dxa" w:w="80"/>
              <w:left w:type="dxa" w:w="110"/>
              <w:bottom w:type="dxa" w:w="80"/>
              <w:right w:type="dxa" w:w="110"/>
            </w:tcMar>
          </w:tcPr>
          <w:p>
            <w:pPr>
              <w:spacing w:after="0"/>
            </w:pPr>
            <w:r>
              <w:rPr>
                <w:b w:val="false"/>
                <w:bCs w:val="false"/>
                <w:color w:val="0B0B0B"/>
                <w:sz w:val="18"/>
                <w:szCs w:val="18"/>
              </w:rPr>
              <w:t xml:space="preserve">Ref. 1 (CogniReMo, Healthcare 2025, n=386); Ref. 15 (AVERT, Lancet 2015, ancla histórica)</w:t>
            </w:r>
          </w:p>
        </w:tc>
      </w:tr>
      <w:tr>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B. Dosis e intensidad</w:t>
            </w:r>
          </w:p>
        </w:tc>
        <w:tc>
          <w:tcPr>
            <w:tcW w:type="dxa" w:w="3350"/>
            <w:shd w:fill="EEF4FC" w:color="auto" w:val="clear"/>
            <w:tcMar>
              <w:top w:type="dxa" w:w="80"/>
              <w:left w:type="dxa" w:w="110"/>
              <w:bottom w:type="dxa" w:w="80"/>
              <w:right w:type="dxa" w:w="110"/>
            </w:tcMar>
          </w:tcPr>
          <w:p>
            <w:pPr>
              <w:spacing w:after="0"/>
            </w:pPr>
            <w:r>
              <w:rPr>
                <w:b w:val="false"/>
                <w:bCs w:val="false"/>
                <w:color w:val="0B0B0B"/>
                <w:sz w:val="18"/>
                <w:szCs w:val="18"/>
              </w:rPr>
              <w:t xml:space="preserve">Dosificar la frecuencia de TO según categoría Barthel de ingreso: a mayor compromiso, mayor intervención</w:t>
            </w:r>
          </w:p>
        </w:tc>
        <w:tc>
          <w:tcPr>
            <w:tcW w:type="dxa" w:w="4220"/>
            <w:shd w:fill="EEF4FC" w:color="auto" w:val="clear"/>
            <w:tcMar>
              <w:top w:type="dxa" w:w="80"/>
              <w:left w:type="dxa" w:w="110"/>
              <w:bottom w:type="dxa" w:w="80"/>
              <w:right w:type="dxa" w:w="110"/>
            </w:tcMar>
          </w:tcPr>
          <w:p>
            <w:pPr>
              <w:spacing w:after="0"/>
            </w:pPr>
            <w:r>
              <w:rPr>
                <w:b w:val="false"/>
                <w:bCs w:val="false"/>
                <w:color w:val="0B0B0B"/>
                <w:sz w:val="18"/>
                <w:szCs w:val="18"/>
              </w:rPr>
              <w:t xml:space="preserve">Ref. 2 (Sci Rep 2025, n=39.140) — PIEZA CLAVE; Ref. 10 (Stroke 2025) — ALTO IMPACTO; Ref. 3 (JAMDA)</w:t>
            </w:r>
          </w:p>
        </w:tc>
      </w:tr>
      <w:tr>
        <w:tc>
          <w:tcPr>
            <w:tcW w:type="dxa" w:w="1450"/>
            <w:tcMar>
              <w:top w:type="dxa" w:w="80"/>
              <w:left w:type="dxa" w:w="110"/>
              <w:bottom w:type="dxa" w:w="80"/>
              <w:right w:type="dxa" w:w="110"/>
            </w:tcMar>
          </w:tcPr>
          <w:p>
            <w:pPr>
              <w:spacing w:after="0"/>
            </w:pPr>
            <w:r>
              <w:rPr>
                <w:b w:val="false"/>
                <w:bCs w:val="false"/>
                <w:color w:val="0B0B0B"/>
                <w:sz w:val="18"/>
                <w:szCs w:val="18"/>
              </w:rPr>
              <w:t xml:space="preserve">C. Eficacia de la TO en AVD</w:t>
            </w:r>
          </w:p>
        </w:tc>
        <w:tc>
          <w:tcPr>
            <w:tcW w:type="dxa" w:w="3350"/>
            <w:tcMar>
              <w:top w:type="dxa" w:w="80"/>
              <w:left w:type="dxa" w:w="110"/>
              <w:bottom w:type="dxa" w:w="80"/>
              <w:right w:type="dxa" w:w="110"/>
            </w:tcMar>
          </w:tcPr>
          <w:p>
            <w:pPr>
              <w:spacing w:after="0"/>
            </w:pPr>
            <w:r>
              <w:rPr>
                <w:b w:val="false"/>
                <w:bCs w:val="false"/>
                <w:color w:val="0B0B0B"/>
                <w:sz w:val="18"/>
                <w:szCs w:val="18"/>
              </w:rPr>
              <w:t xml:space="preserve">Rol de la TO en el equipo interdisciplinario; ausencia de deterioro funcional</w:t>
            </w:r>
          </w:p>
        </w:tc>
        <w:tc>
          <w:tcPr>
            <w:tcW w:type="dxa" w:w="4220"/>
            <w:tcMar>
              <w:top w:type="dxa" w:w="80"/>
              <w:left w:type="dxa" w:w="110"/>
              <w:bottom w:type="dxa" w:w="80"/>
              <w:right w:type="dxa" w:w="110"/>
            </w:tcMar>
          </w:tcPr>
          <w:p>
            <w:pPr>
              <w:spacing w:after="0"/>
            </w:pPr>
            <w:r>
              <w:rPr>
                <w:b w:val="false"/>
                <w:bCs w:val="false"/>
                <w:color w:val="0B0B0B"/>
                <w:sz w:val="18"/>
                <w:szCs w:val="18"/>
              </w:rPr>
              <w:t xml:space="preserve">Ref. 11 (Neurorehabil Neural Repair 2024) — REVISTA DEL CAMPO; Ref. 4 (Br J Occup Ther 2024, 14 ECA); Ref. 5 (AJOT 2023); Ref. 6 (EOTIPS 2024); Ref. 14 (Cochrane 2017 / Stroke 2017, ancla histórica)</w:t>
            </w:r>
          </w:p>
        </w:tc>
      </w:tr>
      <w:tr>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D. Severidad basal ↔ magnitud de recuperación</w:t>
            </w:r>
          </w:p>
        </w:tc>
        <w:tc>
          <w:tcPr>
            <w:tcW w:type="dxa" w:w="3350"/>
            <w:shd w:fill="EEF4FC" w:color="auto" w:val="clear"/>
            <w:tcMar>
              <w:top w:type="dxa" w:w="80"/>
              <w:left w:type="dxa" w:w="110"/>
              <w:bottom w:type="dxa" w:w="80"/>
              <w:right w:type="dxa" w:w="110"/>
            </w:tcMar>
          </w:tcPr>
          <w:p>
            <w:pPr>
              <w:spacing w:after="0"/>
            </w:pPr>
            <w:r>
              <w:rPr>
                <w:b w:val="false"/>
                <w:bCs w:val="false"/>
                <w:color w:val="0B0B0B"/>
                <w:sz w:val="18"/>
                <w:szCs w:val="18"/>
              </w:rPr>
              <w:t xml:space="preserve">r = −0.446 entre Barthel de ingreso y ganancia funcional</w:t>
            </w:r>
          </w:p>
        </w:tc>
        <w:tc>
          <w:tcPr>
            <w:tcW w:type="dxa" w:w="4220"/>
            <w:shd w:fill="EEF4FC" w:color="auto" w:val="clear"/>
            <w:tcMar>
              <w:top w:type="dxa" w:w="80"/>
              <w:left w:type="dxa" w:w="110"/>
              <w:bottom w:type="dxa" w:w="80"/>
              <w:right w:type="dxa" w:w="110"/>
            </w:tcMar>
          </w:tcPr>
          <w:p>
            <w:pPr>
              <w:spacing w:after="0"/>
            </w:pPr>
            <w:r>
              <w:rPr>
                <w:b w:val="false"/>
                <w:bCs w:val="false"/>
                <w:color w:val="0B0B0B"/>
                <w:sz w:val="18"/>
                <w:szCs w:val="18"/>
              </w:rPr>
              <w:t xml:space="preserve">Ref. 12 (Singapur 2025) — MISMO DESENLACE; Ref. 7 (J Formos Med Assoc 2021, n=3.000); Ref. 2 (Sci Rep 2025)</w:t>
            </w:r>
          </w:p>
        </w:tc>
      </w:tr>
      <w:tr>
        <w:tc>
          <w:tcPr>
            <w:tcW w:type="dxa" w:w="1450"/>
            <w:tcMar>
              <w:top w:type="dxa" w:w="80"/>
              <w:left w:type="dxa" w:w="110"/>
              <w:bottom w:type="dxa" w:w="80"/>
              <w:right w:type="dxa" w:w="110"/>
            </w:tcMar>
          </w:tcPr>
          <w:p>
            <w:pPr>
              <w:spacing w:after="0"/>
            </w:pPr>
            <w:r>
              <w:rPr>
                <w:b w:val="false"/>
                <w:bCs w:val="false"/>
                <w:color w:val="0B0B0B"/>
                <w:sz w:val="18"/>
                <w:szCs w:val="18"/>
              </w:rPr>
              <w:t xml:space="preserve">E. Cognición, edad y efecto techo</w:t>
            </w:r>
          </w:p>
        </w:tc>
        <w:tc>
          <w:tcPr>
            <w:tcW w:type="dxa" w:w="3350"/>
            <w:tcMar>
              <w:top w:type="dxa" w:w="80"/>
              <w:left w:type="dxa" w:w="110"/>
              <w:bottom w:type="dxa" w:w="80"/>
              <w:right w:type="dxa" w:w="110"/>
            </w:tcMar>
          </w:tcPr>
          <w:p>
            <w:pPr>
              <w:spacing w:after="0"/>
            </w:pPr>
            <w:r>
              <w:rPr>
                <w:b w:val="false"/>
                <w:bCs w:val="false"/>
                <w:color w:val="0B0B0B"/>
                <w:sz w:val="18"/>
                <w:szCs w:val="18"/>
              </w:rPr>
              <w:t xml:space="preserve">ΔMMSE mayor en 76–90 años (r = 0.316); efecto techo en pacientes jóvenes</w:t>
            </w:r>
          </w:p>
        </w:tc>
        <w:tc>
          <w:tcPr>
            <w:tcW w:type="dxa" w:w="4220"/>
            <w:tcMar>
              <w:top w:type="dxa" w:w="80"/>
              <w:left w:type="dxa" w:w="110"/>
              <w:bottom w:type="dxa" w:w="80"/>
              <w:right w:type="dxa" w:w="110"/>
            </w:tcMar>
          </w:tcPr>
          <w:p>
            <w:pPr>
              <w:spacing w:after="0"/>
            </w:pPr>
            <w:r>
              <w:rPr>
                <w:b w:val="false"/>
                <w:bCs w:val="false"/>
                <w:color w:val="0B0B0B"/>
                <w:sz w:val="18"/>
                <w:szCs w:val="18"/>
              </w:rPr>
              <w:t xml:space="preserve">Ref. 8 (Am J Phys Med Rehabil 2023); Ref. 9 (CogniReMo, Eur J Phys Rehabil Med 2023)</w:t>
            </w:r>
          </w:p>
        </w:tc>
      </w:tr>
    </w:tbl>
    <w:p>
      <w:pPr>
        <w:pStyle w:val="Heading1"/>
        <w:spacing w:after="150" w:before="300"/>
      </w:pPr>
      <w:r>
        <w:t xml:space="preserve">2. Contraste con estudios similares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50"/>
        <w:gridCol w:w="780"/>
        <w:gridCol w:w="1450"/>
        <w:gridCol w:w="1220"/>
        <w:gridCol w:w="780"/>
        <w:gridCol w:w="3040"/>
      </w:tblGrid>
      <w:tr>
        <w:trPr>
          <w:tblHeader/>
        </w:trPr>
        <w:tc>
          <w:tcPr>
            <w:tcW w:type="dxa" w:w="1750"/>
            <w:shd w:fill="1C5CAB" w:color="auto" w:val="clear"/>
            <w:tcMar>
              <w:top w:type="dxa" w:w="80"/>
              <w:left w:type="dxa" w:w="110"/>
              <w:bottom w:type="dxa" w:w="80"/>
              <w:right w:type="dxa" w:w="110"/>
            </w:tcMar>
          </w:tcPr>
          <w:p>
            <w:pPr>
              <w:spacing w:after="0"/>
            </w:pPr>
            <w:r>
              <w:rPr>
                <w:b/>
                <w:bCs/>
                <w:color w:val="FFFFFF"/>
                <w:sz w:val="18"/>
                <w:szCs w:val="18"/>
              </w:rPr>
              <w:t xml:space="preserve">Estudio</w:t>
            </w:r>
          </w:p>
        </w:tc>
        <w:tc>
          <w:tcPr>
            <w:tcW w:type="dxa" w:w="780"/>
            <w:shd w:fill="1C5CAB" w:color="auto" w:val="clear"/>
            <w:tcMar>
              <w:top w:type="dxa" w:w="80"/>
              <w:left w:type="dxa" w:w="110"/>
              <w:bottom w:type="dxa" w:w="80"/>
              <w:right w:type="dxa" w:w="110"/>
            </w:tcMar>
          </w:tcPr>
          <w:p>
            <w:pPr>
              <w:spacing w:after="0"/>
            </w:pPr>
            <w:r>
              <w:rPr>
                <w:b/>
                <w:bCs/>
                <w:color w:val="FFFFFF"/>
                <w:sz w:val="18"/>
                <w:szCs w:val="18"/>
              </w:rPr>
              <w:t xml:space="preserve">n</w:t>
            </w:r>
          </w:p>
        </w:tc>
        <w:tc>
          <w:tcPr>
            <w:tcW w:type="dxa" w:w="1450"/>
            <w:shd w:fill="1C5CAB" w:color="auto" w:val="clear"/>
            <w:tcMar>
              <w:top w:type="dxa" w:w="80"/>
              <w:left w:type="dxa" w:w="110"/>
              <w:bottom w:type="dxa" w:w="80"/>
              <w:right w:type="dxa" w:w="110"/>
            </w:tcMar>
          </w:tcPr>
          <w:p>
            <w:pPr>
              <w:spacing w:after="0"/>
            </w:pPr>
            <w:r>
              <w:rPr>
                <w:b/>
                <w:bCs/>
                <w:color w:val="FFFFFF"/>
                <w:sz w:val="18"/>
                <w:szCs w:val="18"/>
              </w:rPr>
              <w:t xml:space="preserve">Fase / contexto</w:t>
            </w:r>
          </w:p>
        </w:tc>
        <w:tc>
          <w:tcPr>
            <w:tcW w:type="dxa" w:w="1220"/>
            <w:shd w:fill="1C5CAB" w:color="auto" w:val="clear"/>
            <w:tcMar>
              <w:top w:type="dxa" w:w="80"/>
              <w:left w:type="dxa" w:w="110"/>
              <w:bottom w:type="dxa" w:w="80"/>
              <w:right w:type="dxa" w:w="110"/>
            </w:tcMar>
          </w:tcPr>
          <w:p>
            <w:pPr>
              <w:spacing w:after="0"/>
            </w:pPr>
            <w:r>
              <w:rPr>
                <w:b/>
                <w:bCs/>
                <w:color w:val="FFFFFF"/>
                <w:sz w:val="18"/>
                <w:szCs w:val="18"/>
              </w:rPr>
              <w:t xml:space="preserve">Diseño</w:t>
            </w:r>
          </w:p>
        </w:tc>
        <w:tc>
          <w:tcPr>
            <w:tcW w:type="dxa" w:w="780"/>
            <w:shd w:fill="1C5CAB" w:color="auto" w:val="clear"/>
            <w:tcMar>
              <w:top w:type="dxa" w:w="80"/>
              <w:left w:type="dxa" w:w="110"/>
              <w:bottom w:type="dxa" w:w="80"/>
              <w:right w:type="dxa" w:w="110"/>
            </w:tcMar>
          </w:tcPr>
          <w:p>
            <w:pPr>
              <w:spacing w:after="0"/>
            </w:pPr>
            <w:r>
              <w:rPr>
                <w:b/>
                <w:bCs/>
                <w:color w:val="FFFFFF"/>
                <w:sz w:val="18"/>
                <w:szCs w:val="18"/>
              </w:rPr>
              <w:t xml:space="preserve">Instrum.</w:t>
            </w:r>
          </w:p>
        </w:tc>
        <w:tc>
          <w:tcPr>
            <w:tcW w:type="dxa" w:w="3040"/>
            <w:shd w:fill="1C5CAB" w:color="auto" w:val="clear"/>
            <w:tcMar>
              <w:top w:type="dxa" w:w="80"/>
              <w:left w:type="dxa" w:w="110"/>
              <w:bottom w:type="dxa" w:w="80"/>
              <w:right w:type="dxa" w:w="110"/>
            </w:tcMar>
          </w:tcPr>
          <w:p>
            <w:pPr>
              <w:spacing w:after="0"/>
            </w:pPr>
            <w:r>
              <w:rPr>
                <w:b/>
                <w:bCs/>
                <w:color w:val="FFFFFF"/>
                <w:sz w:val="18"/>
                <w:szCs w:val="18"/>
              </w:rPr>
              <w:t xml:space="preserve">Resultado principal</w:t>
            </w:r>
          </w:p>
        </w:tc>
      </w:tr>
      <w:tr>
        <w:tc>
          <w:tcPr>
            <w:tcW w:type="dxa" w:w="1750"/>
            <w:tcMar>
              <w:top w:type="dxa" w:w="80"/>
              <w:left w:type="dxa" w:w="110"/>
              <w:bottom w:type="dxa" w:w="80"/>
              <w:right w:type="dxa" w:w="110"/>
            </w:tcMar>
          </w:tcPr>
          <w:p>
            <w:pPr>
              <w:spacing w:after="0"/>
            </w:pPr>
            <w:r>
              <w:rPr>
                <w:b w:val="false"/>
                <w:bCs w:val="false"/>
                <w:color w:val="0B0B0B"/>
                <w:sz w:val="18"/>
                <w:szCs w:val="18"/>
              </w:rPr>
              <w:t xml:space="preserve">ESTE ESTUDIO (Clínica Alemana Temuco, Chile)</w:t>
            </w:r>
          </w:p>
        </w:tc>
        <w:tc>
          <w:tcPr>
            <w:tcW w:type="dxa" w:w="780"/>
            <w:tcMar>
              <w:top w:type="dxa" w:w="80"/>
              <w:left w:type="dxa" w:w="110"/>
              <w:bottom w:type="dxa" w:w="80"/>
              <w:right w:type="dxa" w:w="110"/>
            </w:tcMar>
          </w:tcPr>
          <w:p>
            <w:pPr>
              <w:spacing w:after="0"/>
            </w:pPr>
            <w:r>
              <w:rPr>
                <w:b w:val="false"/>
                <w:bCs w:val="false"/>
                <w:color w:val="0B0B0B"/>
                <w:sz w:val="18"/>
                <w:szCs w:val="18"/>
              </w:rPr>
              <w:t xml:space="preserve">104 (78 pareados)</w:t>
            </w:r>
          </w:p>
        </w:tc>
        <w:tc>
          <w:tcPr>
            <w:tcW w:type="dxa" w:w="1450"/>
            <w:tcMar>
              <w:top w:type="dxa" w:w="80"/>
              <w:left w:type="dxa" w:w="110"/>
              <w:bottom w:type="dxa" w:w="80"/>
              <w:right w:type="dxa" w:w="110"/>
            </w:tcMar>
          </w:tcPr>
          <w:p>
            <w:pPr>
              <w:spacing w:after="0"/>
            </w:pPr>
            <w:r>
              <w:rPr>
                <w:b w:val="false"/>
                <w:bCs w:val="false"/>
                <w:color w:val="0B0B0B"/>
                <w:sz w:val="18"/>
                <w:szCs w:val="18"/>
              </w:rPr>
              <w:t xml:space="preserve">Aguda hospitalaria; mediana 5 días</w:t>
            </w:r>
          </w:p>
        </w:tc>
        <w:tc>
          <w:tcPr>
            <w:tcW w:type="dxa" w:w="1220"/>
            <w:tcMar>
              <w:top w:type="dxa" w:w="80"/>
              <w:left w:type="dxa" w:w="110"/>
              <w:bottom w:type="dxa" w:w="80"/>
              <w:right w:type="dxa" w:w="110"/>
            </w:tcMar>
          </w:tcPr>
          <w:p>
            <w:pPr>
              <w:spacing w:after="0"/>
            </w:pPr>
            <w:r>
              <w:rPr>
                <w:b w:val="false"/>
                <w:bCs w:val="false"/>
                <w:color w:val="0B0B0B"/>
                <w:sz w:val="18"/>
                <w:szCs w:val="18"/>
              </w:rPr>
              <w:t xml:space="preserve">Cohorte retrospectiva</w:t>
            </w:r>
          </w:p>
        </w:tc>
        <w:tc>
          <w:tcPr>
            <w:tcW w:type="dxa" w:w="780"/>
            <w:tcMar>
              <w:top w:type="dxa" w:w="80"/>
              <w:left w:type="dxa" w:w="110"/>
              <w:bottom w:type="dxa" w:w="80"/>
              <w:right w:type="dxa" w:w="110"/>
            </w:tcMar>
          </w:tcPr>
          <w:p>
            <w:pPr>
              <w:spacing w:after="0"/>
            </w:pPr>
            <w:r>
              <w:rPr>
                <w:b w:val="false"/>
                <w:bCs w:val="false"/>
                <w:color w:val="0B0B0B"/>
                <w:sz w:val="18"/>
                <w:szCs w:val="18"/>
              </w:rPr>
              <w:t xml:space="preserve">BI, MMSE</w:t>
            </w:r>
          </w:p>
        </w:tc>
        <w:tc>
          <w:tcPr>
            <w:tcW w:type="dxa" w:w="3040"/>
            <w:tcMar>
              <w:top w:type="dxa" w:w="80"/>
              <w:left w:type="dxa" w:w="110"/>
              <w:bottom w:type="dxa" w:w="80"/>
              <w:right w:type="dxa" w:w="110"/>
            </w:tcMar>
          </w:tcPr>
          <w:p>
            <w:pPr>
              <w:spacing w:after="0"/>
            </w:pPr>
            <w:r>
              <w:rPr>
                <w:b w:val="false"/>
                <w:bCs w:val="false"/>
                <w:color w:val="0B0B0B"/>
                <w:sz w:val="18"/>
                <w:szCs w:val="18"/>
              </w:rPr>
              <w:t xml:space="preserve">ΔBI +27,9 pts; 55,1% mejora ≥1 categoría; 0/78 desciende de categoría (98,7% sin deterioro de puntaje); 84,0% de los severos (BI 20–35) alcanza dependencia leve o independencia</w:t>
            </w:r>
          </w:p>
        </w:tc>
      </w:tr>
      <w:tr>
        <w:tc>
          <w:tcPr>
            <w:tcW w:type="dxa" w:w="1750"/>
            <w:shd w:fill="EEF4FC" w:color="auto" w:val="clear"/>
            <w:tcMar>
              <w:top w:type="dxa" w:w="80"/>
              <w:left w:type="dxa" w:w="110"/>
              <w:bottom w:type="dxa" w:w="80"/>
              <w:right w:type="dxa" w:w="110"/>
            </w:tcMar>
          </w:tcPr>
          <w:p>
            <w:pPr>
              <w:spacing w:after="0"/>
            </w:pPr>
            <w:r>
              <w:rPr>
                <w:b w:val="false"/>
                <w:bCs w:val="false"/>
                <w:color w:val="0B0B0B"/>
                <w:sz w:val="18"/>
                <w:szCs w:val="18"/>
              </w:rPr>
              <w:t xml:space="preserve">Lai et al., Singapur (2025) — Ref. 12</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216</w:t>
            </w:r>
          </w:p>
        </w:tc>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Hospital comunitario, rehabilitación de internación</w:t>
            </w:r>
          </w:p>
        </w:tc>
        <w:tc>
          <w:tcPr>
            <w:tcW w:type="dxa" w:w="1220"/>
            <w:shd w:fill="EEF4FC" w:color="auto" w:val="clear"/>
            <w:tcMar>
              <w:top w:type="dxa" w:w="80"/>
              <w:left w:type="dxa" w:w="110"/>
              <w:bottom w:type="dxa" w:w="80"/>
              <w:right w:type="dxa" w:w="110"/>
            </w:tcMar>
          </w:tcPr>
          <w:p>
            <w:pPr>
              <w:spacing w:after="0"/>
            </w:pPr>
            <w:r>
              <w:rPr>
                <w:b w:val="false"/>
                <w:bCs w:val="false"/>
                <w:color w:val="0B0B0B"/>
                <w:sz w:val="18"/>
                <w:szCs w:val="18"/>
              </w:rPr>
              <w:t xml:space="preserve">Cohorte prospectiva</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mBI</w:t>
            </w:r>
          </w:p>
        </w:tc>
        <w:tc>
          <w:tcPr>
            <w:tcW w:type="dxa" w:w="3040"/>
            <w:shd w:fill="EEF4FC" w:color="auto" w:val="clear"/>
            <w:tcMar>
              <w:top w:type="dxa" w:w="80"/>
              <w:left w:type="dxa" w:w="110"/>
              <w:bottom w:type="dxa" w:w="80"/>
              <w:right w:type="dxa" w:w="110"/>
            </w:tcMar>
          </w:tcPr>
          <w:p>
            <w:pPr>
              <w:spacing w:after="0"/>
            </w:pPr>
            <w:r>
              <w:rPr>
                <w:b w:val="false"/>
                <w:bCs w:val="false"/>
                <w:color w:val="0B0B0B"/>
                <w:sz w:val="18"/>
                <w:szCs w:val="18"/>
              </w:rPr>
              <w:t xml:space="preserve">MISMO DESENLACE PRIMARIO: mejora funcional significativa definida como aumento de al menos un nivel de mBI, medido de ingreso a egreso. Edad media 71,2 años (la de esta cohorte: 71,5)</w:t>
            </w:r>
          </w:p>
        </w:tc>
      </w:tr>
      <w:tr>
        <w:tc>
          <w:tcPr>
            <w:tcW w:type="dxa" w:w="1750"/>
            <w:tcMar>
              <w:top w:type="dxa" w:w="80"/>
              <w:left w:type="dxa" w:w="110"/>
              <w:bottom w:type="dxa" w:w="80"/>
              <w:right w:type="dxa" w:w="110"/>
            </w:tcMar>
          </w:tcPr>
          <w:p>
            <w:pPr>
              <w:spacing w:after="0"/>
            </w:pPr>
            <w:r>
              <w:rPr>
                <w:b w:val="false"/>
                <w:bCs w:val="false"/>
                <w:color w:val="0B0B0B"/>
                <w:sz w:val="18"/>
                <w:szCs w:val="18"/>
              </w:rPr>
              <w:t xml:space="preserve">Butsing et al., Tailandia (2025) — Ref. 13</w:t>
            </w:r>
          </w:p>
        </w:tc>
        <w:tc>
          <w:tcPr>
            <w:tcW w:type="dxa" w:w="780"/>
            <w:tcMar>
              <w:top w:type="dxa" w:w="80"/>
              <w:left w:type="dxa" w:w="110"/>
              <w:bottom w:type="dxa" w:w="80"/>
              <w:right w:type="dxa" w:w="110"/>
            </w:tcMar>
          </w:tcPr>
          <w:p>
            <w:pPr>
              <w:spacing w:after="0"/>
            </w:pPr>
            <w:r>
              <w:rPr>
                <w:b w:val="false"/>
                <w:bCs w:val="false"/>
                <w:color w:val="0B0B0B"/>
                <w:sz w:val="18"/>
                <w:szCs w:val="18"/>
              </w:rPr>
              <w:t xml:space="preserve">155</w:t>
            </w:r>
          </w:p>
        </w:tc>
        <w:tc>
          <w:tcPr>
            <w:tcW w:type="dxa" w:w="1450"/>
            <w:tcMar>
              <w:top w:type="dxa" w:w="80"/>
              <w:left w:type="dxa" w:w="110"/>
              <w:bottom w:type="dxa" w:w="80"/>
              <w:right w:type="dxa" w:w="110"/>
            </w:tcMar>
          </w:tcPr>
          <w:p>
            <w:pPr>
              <w:spacing w:after="0"/>
            </w:pPr>
            <w:r>
              <w:rPr>
                <w:b w:val="false"/>
                <w:bCs w:val="false"/>
                <w:color w:val="0B0B0B"/>
                <w:sz w:val="18"/>
                <w:szCs w:val="18"/>
              </w:rPr>
              <w:t xml:space="preserve">Unidad de ACV agudo, primer ACV</w:t>
            </w:r>
          </w:p>
        </w:tc>
        <w:tc>
          <w:tcPr>
            <w:tcW w:type="dxa" w:w="1220"/>
            <w:tcMar>
              <w:top w:type="dxa" w:w="80"/>
              <w:left w:type="dxa" w:w="110"/>
              <w:bottom w:type="dxa" w:w="80"/>
              <w:right w:type="dxa" w:w="110"/>
            </w:tcMar>
          </w:tcPr>
          <w:p>
            <w:pPr>
              <w:spacing w:after="0"/>
            </w:pPr>
            <w:r>
              <w:rPr>
                <w:b w:val="false"/>
                <w:bCs w:val="false"/>
                <w:color w:val="0B0B0B"/>
                <w:sz w:val="18"/>
                <w:szCs w:val="18"/>
              </w:rPr>
              <w:t xml:space="preserve">Cohorte longitudinal</w:t>
            </w:r>
          </w:p>
        </w:tc>
        <w:tc>
          <w:tcPr>
            <w:tcW w:type="dxa" w:w="780"/>
            <w:tcMar>
              <w:top w:type="dxa" w:w="80"/>
              <w:left w:type="dxa" w:w="110"/>
              <w:bottom w:type="dxa" w:w="80"/>
              <w:right w:type="dxa" w:w="110"/>
            </w:tcMar>
          </w:tcPr>
          <w:p>
            <w:pPr>
              <w:spacing w:after="0"/>
            </w:pPr>
            <w:r>
              <w:rPr>
                <w:b w:val="false"/>
                <w:bCs w:val="false"/>
                <w:color w:val="0B0B0B"/>
                <w:sz w:val="18"/>
                <w:szCs w:val="18"/>
              </w:rPr>
              <w:t xml:space="preserve">BI, mRS</w:t>
            </w:r>
          </w:p>
        </w:tc>
        <w:tc>
          <w:tcPr>
            <w:tcW w:type="dxa" w:w="3040"/>
            <w:tcMar>
              <w:top w:type="dxa" w:w="80"/>
              <w:left w:type="dxa" w:w="110"/>
              <w:bottom w:type="dxa" w:w="80"/>
              <w:right w:type="dxa" w:w="110"/>
            </w:tcMar>
          </w:tcPr>
          <w:p>
            <w:pPr>
              <w:spacing w:after="0"/>
            </w:pPr>
            <w:r>
              <w:rPr>
                <w:b w:val="false"/>
                <w:bCs w:val="false"/>
                <w:color w:val="0B0B0B"/>
                <w:sz w:val="18"/>
                <w:szCs w:val="18"/>
              </w:rPr>
              <w:t xml:space="preserve">Mismo entorno (unidad de ACV agudo), pero mide la trayectoria desde el egreso hasta 6 meses, no el cambio durante la hospitalización</w:t>
            </w:r>
          </w:p>
        </w:tc>
      </w:tr>
      <w:tr>
        <w:tc>
          <w:tcPr>
            <w:tcW w:type="dxa" w:w="1750"/>
            <w:shd w:fill="EEF4FC" w:color="auto" w:val="clear"/>
            <w:tcMar>
              <w:top w:type="dxa" w:w="80"/>
              <w:left w:type="dxa" w:w="110"/>
              <w:bottom w:type="dxa" w:w="80"/>
              <w:right w:type="dxa" w:w="110"/>
            </w:tcMar>
          </w:tcPr>
          <w:p>
            <w:pPr>
              <w:spacing w:after="0"/>
            </w:pPr>
            <w:r>
              <w:rPr>
                <w:b w:val="false"/>
                <w:bCs w:val="false"/>
                <w:color w:val="0B0B0B"/>
                <w:sz w:val="18"/>
                <w:szCs w:val="18"/>
              </w:rPr>
              <w:t xml:space="preserve">Sci Rep (2025) — Ref. 2</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39.140</w:t>
            </w:r>
          </w:p>
        </w:tc>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Aguda (≤14 días)</w:t>
            </w:r>
          </w:p>
        </w:tc>
        <w:tc>
          <w:tcPr>
            <w:tcW w:type="dxa" w:w="1220"/>
            <w:shd w:fill="EEF4FC" w:color="auto" w:val="clear"/>
            <w:tcMar>
              <w:top w:type="dxa" w:w="80"/>
              <w:left w:type="dxa" w:w="110"/>
              <w:bottom w:type="dxa" w:w="80"/>
              <w:right w:type="dxa" w:w="110"/>
            </w:tcMar>
          </w:tcPr>
          <w:p>
            <w:pPr>
              <w:spacing w:after="0"/>
            </w:pPr>
            <w:r>
              <w:rPr>
                <w:b w:val="false"/>
                <w:bCs w:val="false"/>
                <w:color w:val="0B0B0B"/>
                <w:sz w:val="18"/>
                <w:szCs w:val="18"/>
              </w:rPr>
              <w:t xml:space="preserve">Cohorte nacional, pareo por propensión</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mRS</w:t>
            </w:r>
          </w:p>
        </w:tc>
        <w:tc>
          <w:tcPr>
            <w:tcW w:type="dxa" w:w="3040"/>
            <w:shd w:fill="EEF4FC" w:color="auto" w:val="clear"/>
            <w:tcMar>
              <w:top w:type="dxa" w:w="80"/>
              <w:left w:type="dxa" w:w="110"/>
              <w:bottom w:type="dxa" w:w="80"/>
              <w:right w:type="dxa" w:w="110"/>
            </w:tcMar>
          </w:tcPr>
          <w:p>
            <w:pPr>
              <w:spacing w:after="0"/>
            </w:pPr>
            <w:r>
              <w:rPr>
                <w:b w:val="false"/>
                <w:bCs w:val="false"/>
                <w:color w:val="0B0B0B"/>
                <w:sz w:val="18"/>
                <w:szCs w:val="18"/>
              </w:rPr>
              <w:t xml:space="preserve">Rehabilitación ≥60 min/día: el cuartil de mayor beneficio se caracteriza por compromiso grave de AVD basal (efecto medio +17,1%; IC95% 15,3–19,0). El estado de AVD es el principal determinante de heterogeneidad</w:t>
            </w:r>
          </w:p>
        </w:tc>
      </w:tr>
      <w:tr>
        <w:tc>
          <w:tcPr>
            <w:tcW w:type="dxa" w:w="1750"/>
            <w:tcMar>
              <w:top w:type="dxa" w:w="80"/>
              <w:left w:type="dxa" w:w="110"/>
              <w:bottom w:type="dxa" w:w="80"/>
              <w:right w:type="dxa" w:w="110"/>
            </w:tcMar>
          </w:tcPr>
          <w:p>
            <w:pPr>
              <w:spacing w:after="0"/>
            </w:pPr>
            <w:r>
              <w:rPr>
                <w:b w:val="false"/>
                <w:bCs w:val="false"/>
                <w:color w:val="0B0B0B"/>
                <w:sz w:val="18"/>
                <w:szCs w:val="18"/>
              </w:rPr>
              <w:t xml:space="preserve">Triantis &amp; Liu (2024) — Ref. 4</w:t>
            </w:r>
          </w:p>
        </w:tc>
        <w:tc>
          <w:tcPr>
            <w:tcW w:type="dxa" w:w="780"/>
            <w:tcMar>
              <w:top w:type="dxa" w:w="80"/>
              <w:left w:type="dxa" w:w="110"/>
              <w:bottom w:type="dxa" w:w="80"/>
              <w:right w:type="dxa" w:w="110"/>
            </w:tcMar>
          </w:tcPr>
          <w:p>
            <w:pPr>
              <w:spacing w:after="0"/>
            </w:pPr>
            <w:r>
              <w:rPr>
                <w:b w:val="false"/>
                <w:bCs w:val="false"/>
                <w:color w:val="0B0B0B"/>
                <w:sz w:val="18"/>
                <w:szCs w:val="18"/>
              </w:rPr>
              <w:t xml:space="preserve">602 (14 ECA)</w:t>
            </w:r>
          </w:p>
        </w:tc>
        <w:tc>
          <w:tcPr>
            <w:tcW w:type="dxa" w:w="1450"/>
            <w:tcMar>
              <w:top w:type="dxa" w:w="80"/>
              <w:left w:type="dxa" w:w="110"/>
              <w:bottom w:type="dxa" w:w="80"/>
              <w:right w:type="dxa" w:w="110"/>
            </w:tcMar>
          </w:tcPr>
          <w:p>
            <w:pPr>
              <w:spacing w:after="0"/>
            </w:pPr>
            <w:r>
              <w:rPr>
                <w:b w:val="false"/>
                <w:bCs w:val="false"/>
                <w:color w:val="0B0B0B"/>
                <w:sz w:val="18"/>
                <w:szCs w:val="18"/>
              </w:rPr>
              <w:t xml:space="preserve">Hospitalizados post-ACV</w:t>
            </w:r>
          </w:p>
        </w:tc>
        <w:tc>
          <w:tcPr>
            <w:tcW w:type="dxa" w:w="1220"/>
            <w:tcMar>
              <w:top w:type="dxa" w:w="80"/>
              <w:left w:type="dxa" w:w="110"/>
              <w:bottom w:type="dxa" w:w="80"/>
              <w:right w:type="dxa" w:w="110"/>
            </w:tcMar>
          </w:tcPr>
          <w:p>
            <w:pPr>
              <w:spacing w:after="0"/>
            </w:pPr>
            <w:r>
              <w:rPr>
                <w:b w:val="false"/>
                <w:bCs w:val="false"/>
                <w:color w:val="0B0B0B"/>
                <w:sz w:val="18"/>
                <w:szCs w:val="18"/>
              </w:rPr>
              <w:t xml:space="preserve">Revisión sistemática y metaanálisis</w:t>
            </w:r>
          </w:p>
        </w:tc>
        <w:tc>
          <w:tcPr>
            <w:tcW w:type="dxa" w:w="780"/>
            <w:tcMar>
              <w:top w:type="dxa" w:w="80"/>
              <w:left w:type="dxa" w:w="110"/>
              <w:bottom w:type="dxa" w:w="80"/>
              <w:right w:type="dxa" w:w="110"/>
            </w:tcMar>
          </w:tcPr>
          <w:p>
            <w:pPr>
              <w:spacing w:after="0"/>
            </w:pPr>
            <w:r>
              <w:rPr>
                <w:b w:val="false"/>
                <w:bCs w:val="false"/>
                <w:color w:val="0B0B0B"/>
                <w:sz w:val="18"/>
                <w:szCs w:val="18"/>
              </w:rPr>
              <w:t xml:space="preserve">AVD</w:t>
            </w:r>
          </w:p>
        </w:tc>
        <w:tc>
          <w:tcPr>
            <w:tcW w:type="dxa" w:w="3040"/>
            <w:tcMar>
              <w:top w:type="dxa" w:w="80"/>
              <w:left w:type="dxa" w:w="110"/>
              <w:bottom w:type="dxa" w:w="80"/>
              <w:right w:type="dxa" w:w="110"/>
            </w:tcMar>
          </w:tcPr>
          <w:p>
            <w:pPr>
              <w:spacing w:after="0"/>
            </w:pPr>
            <w:r>
              <w:rPr>
                <w:b w:val="false"/>
                <w:bCs w:val="false"/>
                <w:color w:val="0B0B0B"/>
                <w:sz w:val="18"/>
                <w:szCs w:val="18"/>
              </w:rPr>
              <w:t xml:space="preserve">Sin diferencia significativa entre grupos, porque ambos brazos recibieron intervención en AVD: la intervención en AVD es el estándar comparador, no un brazo inactivo</w:t>
            </w:r>
          </w:p>
        </w:tc>
      </w:tr>
      <w:tr>
        <w:tc>
          <w:tcPr>
            <w:tcW w:type="dxa" w:w="1750"/>
            <w:shd w:fill="EEF4FC" w:color="auto" w:val="clear"/>
            <w:tcMar>
              <w:top w:type="dxa" w:w="80"/>
              <w:left w:type="dxa" w:w="110"/>
              <w:bottom w:type="dxa" w:w="80"/>
              <w:right w:type="dxa" w:w="110"/>
            </w:tcMar>
          </w:tcPr>
          <w:p>
            <w:pPr>
              <w:spacing w:after="0"/>
            </w:pPr>
            <w:r>
              <w:rPr>
                <w:b w:val="false"/>
                <w:bCs w:val="false"/>
                <w:color w:val="0B0B0B"/>
                <w:sz w:val="18"/>
                <w:szCs w:val="18"/>
              </w:rPr>
              <w:t xml:space="preserve">EOTIPS (2024) — Ref. 6</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60</w:t>
            </w:r>
          </w:p>
        </w:tc>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Post-alta domiciliaria (~3 meses)</w:t>
            </w:r>
          </w:p>
        </w:tc>
        <w:tc>
          <w:tcPr>
            <w:tcW w:type="dxa" w:w="1220"/>
            <w:shd w:fill="EEF4FC" w:color="auto" w:val="clear"/>
            <w:tcMar>
              <w:top w:type="dxa" w:w="80"/>
              <w:left w:type="dxa" w:w="110"/>
              <w:bottom w:type="dxa" w:w="80"/>
              <w:right w:type="dxa" w:w="110"/>
            </w:tcMar>
          </w:tcPr>
          <w:p>
            <w:pPr>
              <w:spacing w:after="0"/>
            </w:pPr>
            <w:r>
              <w:rPr>
                <w:b w:val="false"/>
                <w:bCs w:val="false"/>
                <w:color w:val="0B0B0B"/>
                <w:sz w:val="18"/>
                <w:szCs w:val="18"/>
              </w:rPr>
              <w:t xml:space="preserve">ECA</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BI</w:t>
            </w:r>
          </w:p>
        </w:tc>
        <w:tc>
          <w:tcPr>
            <w:tcW w:type="dxa" w:w="3040"/>
            <w:shd w:fill="EEF4FC" w:color="auto" w:val="clear"/>
            <w:tcMar>
              <w:top w:type="dxa" w:w="80"/>
              <w:left w:type="dxa" w:w="110"/>
              <w:bottom w:type="dxa" w:w="80"/>
              <w:right w:type="dxa" w:w="110"/>
            </w:tcMar>
          </w:tcPr>
          <w:p>
            <w:pPr>
              <w:spacing w:after="0"/>
            </w:pPr>
            <w:r>
              <w:rPr>
                <w:b w:val="false"/>
                <w:bCs w:val="false"/>
                <w:color w:val="0B0B0B"/>
                <w:sz w:val="18"/>
                <w:szCs w:val="18"/>
              </w:rPr>
              <w:t xml:space="preserve">BI 52,5→85,0 (control) y 54,7→90,0 (experimental); cambio ~+32 a +35 pts; sin diferencia significativa entre grupos (F=0,46; p=0,496)</w:t>
            </w:r>
          </w:p>
        </w:tc>
      </w:tr>
      <w:tr>
        <w:tc>
          <w:tcPr>
            <w:tcW w:type="dxa" w:w="1750"/>
            <w:tcMar>
              <w:top w:type="dxa" w:w="80"/>
              <w:left w:type="dxa" w:w="110"/>
              <w:bottom w:type="dxa" w:w="80"/>
              <w:right w:type="dxa" w:w="110"/>
            </w:tcMar>
          </w:tcPr>
          <w:p>
            <w:pPr>
              <w:spacing w:after="0"/>
            </w:pPr>
            <w:r>
              <w:rPr>
                <w:b w:val="false"/>
                <w:bCs w:val="false"/>
                <w:color w:val="0B0B0B"/>
                <w:sz w:val="18"/>
                <w:szCs w:val="18"/>
              </w:rPr>
              <w:t xml:space="preserve">J Formos Med Assoc (2021) — Ref. 7</w:t>
            </w:r>
          </w:p>
        </w:tc>
        <w:tc>
          <w:tcPr>
            <w:tcW w:type="dxa" w:w="780"/>
            <w:tcMar>
              <w:top w:type="dxa" w:w="80"/>
              <w:left w:type="dxa" w:w="110"/>
              <w:bottom w:type="dxa" w:w="80"/>
              <w:right w:type="dxa" w:w="110"/>
            </w:tcMar>
          </w:tcPr>
          <w:p>
            <w:pPr>
              <w:spacing w:after="0"/>
            </w:pPr>
            <w:r>
              <w:rPr>
                <w:b w:val="false"/>
                <w:bCs w:val="false"/>
                <w:color w:val="0B0B0B"/>
                <w:sz w:val="18"/>
                <w:szCs w:val="18"/>
              </w:rPr>
              <w:t xml:space="preserve">3.000</w:t>
            </w:r>
          </w:p>
        </w:tc>
        <w:tc>
          <w:tcPr>
            <w:tcW w:type="dxa" w:w="1450"/>
            <w:tcMar>
              <w:top w:type="dxa" w:w="80"/>
              <w:left w:type="dxa" w:w="110"/>
              <w:bottom w:type="dxa" w:w="80"/>
              <w:right w:type="dxa" w:w="110"/>
            </w:tcMar>
          </w:tcPr>
          <w:p>
            <w:pPr>
              <w:spacing w:after="0"/>
            </w:pPr>
            <w:r>
              <w:rPr>
                <w:b w:val="false"/>
                <w:bCs w:val="false"/>
                <w:color w:val="0B0B0B"/>
                <w:sz w:val="18"/>
                <w:szCs w:val="18"/>
              </w:rPr>
              <w:t xml:space="preserve">Post-aguda</w:t>
            </w:r>
          </w:p>
        </w:tc>
        <w:tc>
          <w:tcPr>
            <w:tcW w:type="dxa" w:w="1220"/>
            <w:tcMar>
              <w:top w:type="dxa" w:w="80"/>
              <w:left w:type="dxa" w:w="110"/>
              <w:bottom w:type="dxa" w:w="80"/>
              <w:right w:type="dxa" w:w="110"/>
            </w:tcMar>
          </w:tcPr>
          <w:p>
            <w:pPr>
              <w:spacing w:after="0"/>
            </w:pPr>
            <w:r>
              <w:rPr>
                <w:b w:val="false"/>
                <w:bCs w:val="false"/>
                <w:color w:val="0B0B0B"/>
                <w:sz w:val="18"/>
                <w:szCs w:val="18"/>
              </w:rPr>
              <w:t xml:space="preserve">Cohorte</w:t>
            </w:r>
          </w:p>
        </w:tc>
        <w:tc>
          <w:tcPr>
            <w:tcW w:type="dxa" w:w="780"/>
            <w:tcMar>
              <w:top w:type="dxa" w:w="80"/>
              <w:left w:type="dxa" w:w="110"/>
              <w:bottom w:type="dxa" w:w="80"/>
              <w:right w:type="dxa" w:w="110"/>
            </w:tcMar>
          </w:tcPr>
          <w:p>
            <w:pPr>
              <w:spacing w:after="0"/>
            </w:pPr>
            <w:r>
              <w:rPr>
                <w:b w:val="false"/>
                <w:bCs w:val="false"/>
                <w:color w:val="0B0B0B"/>
                <w:sz w:val="18"/>
                <w:szCs w:val="18"/>
              </w:rPr>
              <w:t xml:space="preserve">mBI</w:t>
            </w:r>
          </w:p>
        </w:tc>
        <w:tc>
          <w:tcPr>
            <w:tcW w:type="dxa" w:w="3040"/>
            <w:tcMar>
              <w:top w:type="dxa" w:w="80"/>
              <w:left w:type="dxa" w:w="110"/>
              <w:bottom w:type="dxa" w:w="80"/>
              <w:right w:type="dxa" w:w="110"/>
            </w:tcMar>
          </w:tcPr>
          <w:p>
            <w:pPr>
              <w:spacing w:after="0"/>
            </w:pPr>
            <w:r>
              <w:rPr>
                <w:b w:val="false"/>
                <w:bCs w:val="false"/>
                <w:color w:val="0B0B0B"/>
                <w:sz w:val="18"/>
                <w:szCs w:val="18"/>
              </w:rPr>
              <w:t xml:space="preserve">La función basal en AVD es el principal factor pronóstico de independencia al alta</w:t>
            </w:r>
          </w:p>
        </w:tc>
      </w:tr>
      <w:tr>
        <w:tc>
          <w:tcPr>
            <w:tcW w:type="dxa" w:w="1750"/>
            <w:shd w:fill="EEF4FC" w:color="auto" w:val="clear"/>
            <w:tcMar>
              <w:top w:type="dxa" w:w="80"/>
              <w:left w:type="dxa" w:w="110"/>
              <w:bottom w:type="dxa" w:w="80"/>
              <w:right w:type="dxa" w:w="110"/>
            </w:tcMar>
          </w:tcPr>
          <w:p>
            <w:pPr>
              <w:spacing w:after="0"/>
            </w:pPr>
            <w:r>
              <w:rPr>
                <w:b w:val="false"/>
                <w:bCs w:val="false"/>
                <w:color w:val="0B0B0B"/>
                <w:sz w:val="18"/>
                <w:szCs w:val="18"/>
              </w:rPr>
              <w:t xml:space="preserve">CogniReMo (2025) — Ref. 1</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386</w:t>
            </w:r>
          </w:p>
        </w:tc>
        <w:tc>
          <w:tcPr>
            <w:tcW w:type="dxa" w:w="1450"/>
            <w:shd w:fill="EEF4FC" w:color="auto" w:val="clear"/>
            <w:tcMar>
              <w:top w:type="dxa" w:w="80"/>
              <w:left w:type="dxa" w:w="110"/>
              <w:bottom w:type="dxa" w:w="80"/>
              <w:right w:type="dxa" w:w="110"/>
            </w:tcMar>
          </w:tcPr>
          <w:p>
            <w:pPr>
              <w:spacing w:after="0"/>
            </w:pPr>
            <w:r>
              <w:rPr>
                <w:b w:val="false"/>
                <w:bCs w:val="false"/>
                <w:color w:val="0B0B0B"/>
                <w:sz w:val="18"/>
                <w:szCs w:val="18"/>
              </w:rPr>
              <w:t xml:space="preserve">Subaguda</w:t>
            </w:r>
          </w:p>
        </w:tc>
        <w:tc>
          <w:tcPr>
            <w:tcW w:type="dxa" w:w="1220"/>
            <w:shd w:fill="EEF4FC" w:color="auto" w:val="clear"/>
            <w:tcMar>
              <w:top w:type="dxa" w:w="80"/>
              <w:left w:type="dxa" w:w="110"/>
              <w:bottom w:type="dxa" w:w="80"/>
              <w:right w:type="dxa" w:w="110"/>
            </w:tcMar>
          </w:tcPr>
          <w:p>
            <w:pPr>
              <w:spacing w:after="0"/>
            </w:pPr>
            <w:r>
              <w:rPr>
                <w:b w:val="false"/>
                <w:bCs w:val="false"/>
                <w:color w:val="0B0B0B"/>
                <w:sz w:val="18"/>
                <w:szCs w:val="18"/>
              </w:rPr>
              <w:t xml:space="preserve">Análisis de conglomerados</w:t>
            </w:r>
          </w:p>
        </w:tc>
        <w:tc>
          <w:tcPr>
            <w:tcW w:type="dxa" w:w="780"/>
            <w:shd w:fill="EEF4FC" w:color="auto" w:val="clear"/>
            <w:tcMar>
              <w:top w:type="dxa" w:w="80"/>
              <w:left w:type="dxa" w:w="110"/>
              <w:bottom w:type="dxa" w:w="80"/>
              <w:right w:type="dxa" w:w="110"/>
            </w:tcMar>
          </w:tcPr>
          <w:p>
            <w:pPr>
              <w:spacing w:after="0"/>
            </w:pPr>
            <w:r>
              <w:rPr>
                <w:b w:val="false"/>
                <w:bCs w:val="false"/>
                <w:color w:val="0B0B0B"/>
                <w:sz w:val="18"/>
                <w:szCs w:val="18"/>
              </w:rPr>
              <w:t xml:space="preserve">Cognitivo y motor</w:t>
            </w:r>
          </w:p>
        </w:tc>
        <w:tc>
          <w:tcPr>
            <w:tcW w:type="dxa" w:w="3040"/>
            <w:shd w:fill="EEF4FC" w:color="auto" w:val="clear"/>
            <w:tcMar>
              <w:top w:type="dxa" w:w="80"/>
              <w:left w:type="dxa" w:w="110"/>
              <w:bottom w:type="dxa" w:w="80"/>
              <w:right w:type="dxa" w:w="110"/>
            </w:tcMar>
          </w:tcPr>
          <w:p>
            <w:pPr>
              <w:spacing w:after="0"/>
            </w:pPr>
            <w:r>
              <w:rPr>
                <w:b w:val="false"/>
                <w:bCs w:val="false"/>
                <w:color w:val="0B0B0B"/>
                <w:sz w:val="18"/>
                <w:szCs w:val="18"/>
              </w:rPr>
              <w:t xml:space="preserve">El tiempo entre el evento agudo y el inicio de la rehabilitación determina significativamente la efectividad rehabilitadora</w:t>
            </w:r>
          </w:p>
        </w:tc>
      </w:tr>
    </w:tbl>
    <w:p>
      <w:pPr>
        <w:spacing w:after="160"/>
      </w:pPr>
      <w:r>
        <w:rPr>
          <w:b w:val="false"/>
          <w:bCs w:val="false"/>
          <w:i w:val="false"/>
          <w:iCs w:val="false"/>
          <w:color w:val="0B0B0B"/>
          <w:sz w:val="20"/>
          <w:szCs w:val="20"/>
        </w:rPr>
        <w:t xml:space="preserve">Lectura del contraste. La ganancia funcional de esta cohorte (ΔBI +27,9 pts) es de magnitud comparable a la de EOTIPS (~+32 a +35 pts), pero obtenida en una mediana de 5 días de hospitalización aguda frente a un seguimiento de ~3 meses. La comparación es indicativa, no equivalente: las poblaciones difieren y este estudio no tiene grupo control, por lo que no permite atribuir causalidad a la terapia ocupacional.</w:t>
      </w:r>
    </w:p>
    <w:p>
      <w:pPr>
        <w:pStyle w:val="Heading1"/>
        <w:spacing w:after="150" w:before="300"/>
      </w:pPr>
      <w:r>
        <w:t xml:space="preserve">3. Cómo fortalecer el póster con esta evidencia</w:t>
      </w:r>
    </w:p>
    <w:p>
      <w:pPr>
        <w:spacing w:after="100"/>
      </w:pPr>
      <w:r>
        <w:rPr>
          <w:b/>
          <w:bCs/>
          <w:i w:val="false"/>
          <w:iCs w:val="false"/>
          <w:color w:val="0B0B0B"/>
          <w:sz w:val="22"/>
          <w:szCs w:val="22"/>
        </w:rPr>
        <w:t xml:space="preserve">3.1. La evidencia reciente respalda su recomendación tal como está</w:t>
      </w:r>
    </w:p>
    <w:p>
      <w:pPr>
        <w:spacing w:after="120"/>
      </w:pPr>
      <w:r>
        <w:rPr>
          <w:b w:val="false"/>
          <w:bCs w:val="false"/>
          <w:i w:val="false"/>
          <w:iCs w:val="false"/>
          <w:color w:val="0B0B0B"/>
          <w:sz w:val="22"/>
          <w:szCs w:val="22"/>
        </w:rPr>
        <w:t xml:space="preserve">El estudio nacional de dosis (Ref. 2; n=39.140, pareado por propensión) encontró que el beneficio de la rehabilitación de alta dosis (≥60 min/día en fase aguda) se concentra en los pacientes con compromiso grave de AVD basal, y que el estado de AVD es el principal determinante de heterogeneidad del efecto. Es sustento directo y contemporáneo de la conclusión del abstract: a mayor compromiso, mayor intensidad diaria de intervención. La formulación original no necesita suavizarse.</w:t>
      </w:r>
    </w:p>
    <w:p>
      <w:pPr>
        <w:spacing w:after="100"/>
      </w:pPr>
      <w:r>
        <w:rPr>
          <w:b/>
          <w:bCs/>
          <w:i w:val="false"/>
          <w:iCs w:val="false"/>
          <w:color w:val="0B0B0B"/>
          <w:sz w:val="22"/>
          <w:szCs w:val="22"/>
        </w:rPr>
        <w:t xml:space="preserve">3.2. ¿Existe algún estudio que haya hecho lo mismo?</w:t>
      </w:r>
    </w:p>
    <w:p>
      <w:pPr>
        <w:spacing w:after="120"/>
      </w:pPr>
      <w:r>
        <w:rPr>
          <w:b w:val="false"/>
          <w:bCs w:val="false"/>
          <w:i w:val="false"/>
          <w:iCs w:val="false"/>
          <w:color w:val="0B0B0B"/>
          <w:sz w:val="22"/>
          <w:szCs w:val="22"/>
        </w:rPr>
        <w:t xml:space="preserve">Búsqueda dirigida: no se encontró ningún estudio que replique el diseño completo de este trabajo, es decir, una cohorte de hospitalización aguda por ACV con terapia ocupacional centrada en reentrenamiento de AVD, con Barthel medido de ingreso a egreso dentro de una estadía de mediana 5 días, en población latinoamericana. Los trabajos más cercanos difieren en un punto crítico cada uno.</w:t>
      </w:r>
    </w:p>
    <w:p>
      <w:pPr>
        <w:spacing w:after="120"/>
      </w:pPr>
      <w:r>
        <w:rPr>
          <w:b w:val="false"/>
          <w:bCs w:val="false"/>
          <w:i w:val="false"/>
          <w:iCs w:val="false"/>
          <w:color w:val="0B0B0B"/>
          <w:sz w:val="22"/>
          <w:szCs w:val="22"/>
        </w:rPr>
        <w:t xml:space="preserve">La Ref. 12 (Singapur, 2025; n=216) es la más parecida y la coincidencia es notable: usa exactamente el mismo desenlace primario —mejora de al menos un nivel de Barthel modificado entre ingreso y egreso— y una edad media casi idéntica (71,2 frente a 71,5 años). La diferencia está en el entorno: rehabilitación de internación en hospital comunitario, es decir, fase post-aguda, no hospitalización aguda.</w:t>
      </w:r>
    </w:p>
    <w:p>
      <w:pPr>
        <w:spacing w:after="120"/>
      </w:pPr>
      <w:r>
        <w:rPr>
          <w:b w:val="false"/>
          <w:bCs w:val="false"/>
          <w:i w:val="false"/>
          <w:iCs w:val="false"/>
          <w:color w:val="0B0B0B"/>
          <w:sz w:val="22"/>
          <w:szCs w:val="22"/>
        </w:rPr>
        <w:t xml:space="preserve">La Ref. 13 (Tailandia, 2025; n=155) comparte el entorno exacto —unidad de ACV agudo, pacientes consecutivos con primer ACV— pero mide la trayectoria funcional desde el egreso hasta los seis meses, no el cambio que ocurre durante la hospitalización, que es justamente lo que este trabajo documenta.</w:t>
      </w:r>
    </w:p>
    <w:p>
      <w:pPr>
        <w:spacing w:after="120"/>
      </w:pPr>
      <w:r>
        <w:rPr>
          <w:b w:val="false"/>
          <w:bCs w:val="false"/>
          <w:i w:val="false"/>
          <w:iCs w:val="false"/>
          <w:color w:val="0B0B0B"/>
          <w:sz w:val="22"/>
          <w:szCs w:val="22"/>
        </w:rPr>
        <w:t xml:space="preserve">Conclusión aprovechable para la defensa del póster: la ventana que este estudio mide —el cambio funcional que ocurre dentro de la hospitalización aguda misma, con Barthel pareado de ingreso y egreso— está poco documentada en la literatura reciente, y no se encontró en cohorte latinoamericana. Esa es la contribución específica del trabajo y conviene enunciarla de forma explícita, en lugar de presentarlo solo como una confirmación de hallazgos previos.</w:t>
      </w:r>
    </w:p>
    <w:p>
      <w:pPr>
        <w:spacing w:after="100"/>
      </w:pPr>
      <w:r>
        <w:rPr>
          <w:b/>
          <w:bCs/>
          <w:i w:val="false"/>
          <w:iCs w:val="false"/>
          <w:color w:val="0B0B0B"/>
          <w:sz w:val="22"/>
          <w:szCs w:val="22"/>
        </w:rPr>
        <w:t xml:space="preserve">3.3. Respaldo desde una revista de alto impacto</w:t>
      </w:r>
    </w:p>
    <w:p>
      <w:pPr>
        <w:spacing w:after="120"/>
      </w:pPr>
      <w:r>
        <w:rPr>
          <w:b w:val="false"/>
          <w:bCs w:val="false"/>
          <w:i w:val="false"/>
          <w:iCs w:val="false"/>
          <w:color w:val="0B0B0B"/>
          <w:sz w:val="22"/>
          <w:szCs w:val="22"/>
        </w:rPr>
        <w:t xml:space="preserve">La Ref. 10 (Stroke, 2025) es la referencia de mayor factor de impacto del conjunto y argumenta explícitamente por qué la rehabilitación de alta dosis e intensidad no se está entregando en la práctica clínica, pese a la evidencia que la respalda. Es el respaldo más fuerte para la conclusión del póster sobre dotación dedicada de terapia ocupacional en unidades de ACV agudo: su estudio documenta lo que esa revisión reclama. Advertencia de uso: trata la dosis de rehabilitación en general, no la terapia ocupacional de forma exclusiva; cítela para el argumento de dosis y dotación, no como evidencia específica de TO.</w:t>
      </w:r>
    </w:p>
    <w:p>
      <w:pPr>
        <w:spacing w:after="100"/>
      </w:pPr>
      <w:r>
        <w:rPr>
          <w:b/>
          <w:bCs/>
          <w:i w:val="false"/>
          <w:iCs w:val="false"/>
          <w:color w:val="0B0B0B"/>
          <w:sz w:val="22"/>
          <w:szCs w:val="22"/>
        </w:rPr>
        <w:t xml:space="preserve">3.4. Convergencia entre los dos ejes centrales</w:t>
      </w:r>
    </w:p>
    <w:p>
      <w:pPr>
        <w:spacing w:after="120"/>
      </w:pPr>
      <w:r>
        <w:rPr>
          <w:b w:val="false"/>
          <w:bCs w:val="false"/>
          <w:i w:val="false"/>
          <w:iCs w:val="false"/>
          <w:color w:val="0B0B0B"/>
          <w:sz w:val="22"/>
          <w:szCs w:val="22"/>
        </w:rPr>
        <w:t xml:space="preserve">Las Ref. 2 y Ref. 7 coinciden, en cohortes de 39.140 y 3.000 pacientes, en que la función basal en AVD es el principal factor pronóstico del desenlace funcional. Su r = −0,446 va en la misma dirección y en una cohorte latinoamericana en fase aguda, contexto poco representado en esa literatura.</w:t>
      </w:r>
    </w:p>
    <w:p>
      <w:pPr>
        <w:spacing w:after="100"/>
      </w:pPr>
      <w:r>
        <w:rPr>
          <w:b/>
          <w:bCs/>
          <w:i w:val="false"/>
          <w:iCs w:val="false"/>
          <w:color w:val="0B0B0B"/>
          <w:sz w:val="22"/>
          <w:szCs w:val="22"/>
        </w:rPr>
        <w:t xml:space="preserve">3.5. Precisiones de redacción aplicadas</w:t>
      </w:r>
    </w:p>
    <w:p>
      <w:pPr>
        <w:spacing w:after="120"/>
      </w:pPr>
      <w:r>
        <w:rPr>
          <w:b w:val="false"/>
          <w:bCs w:val="false"/>
          <w:i w:val="false"/>
          <w:iCs w:val="false"/>
          <w:color w:val="0B0B0B"/>
          <w:sz w:val="22"/>
          <w:szCs w:val="22"/>
        </w:rPr>
        <w:t xml:space="preserve">• Deterioro: «ningún paciente descendió de categoría funcional (0/78); 98,7% sin deterioro de puntaje». Un paciente de 93 años descendió 5 puntos de Barthel sin cambiar de categoría.</w:t>
      </w:r>
    </w:p>
    <w:p>
      <w:pPr>
        <w:spacing w:after="120"/>
      </w:pPr>
      <w:r>
        <w:rPr>
          <w:b w:val="false"/>
          <w:bCs w:val="false"/>
          <w:i w:val="false"/>
          <w:iCs w:val="false"/>
          <w:color w:val="0B0B0B"/>
          <w:sz w:val="22"/>
          <w:szCs w:val="22"/>
        </w:rPr>
        <w:t xml:space="preserve">• Grupo etario: rotular 76–90 años, que es el corte que reproduce exactamente las cifras publicadas (+2,7 pts; 81,0%).</w:t>
      </w:r>
    </w:p>
    <w:p>
      <w:pPr>
        <w:spacing w:after="120"/>
      </w:pPr>
      <w:r>
        <w:rPr>
          <w:b w:val="false"/>
          <w:bCs w:val="false"/>
          <w:i w:val="false"/>
          <w:iCs w:val="false"/>
          <w:color w:val="0B0B0B"/>
          <w:sz w:val="22"/>
          <w:szCs w:val="22"/>
        </w:rPr>
        <w:t xml:space="preserve">• Severidad: definir explícitamente «Severe = BI 20–35» (21/25 = 84,0%). Sin esa definición la cifra no es reproducible: todo BI ≤35 rinde 63,2%.</w:t>
      </w:r>
    </w:p>
    <w:p>
      <w:pPr>
        <w:spacing w:after="100"/>
      </w:pPr>
      <w:r>
        <w:rPr>
          <w:b/>
          <w:bCs/>
          <w:i w:val="false"/>
          <w:iCs w:val="false"/>
          <w:color w:val="0B0B0B"/>
          <w:sz w:val="22"/>
          <w:szCs w:val="22"/>
        </w:rPr>
        <w:t xml:space="preserve">3.6. Limitaciones a declarar antes de que las pregunten</w:t>
      </w:r>
    </w:p>
    <w:p>
      <w:pPr>
        <w:spacing w:after="120"/>
      </w:pPr>
      <w:r>
        <w:rPr>
          <w:b w:val="false"/>
          <w:bCs w:val="false"/>
          <w:i w:val="false"/>
          <w:iCs w:val="false"/>
          <w:color w:val="0B0B0B"/>
          <w:sz w:val="22"/>
          <w:szCs w:val="22"/>
        </w:rPr>
        <w:t xml:space="preserve">• El Barthel de egreso es una medición intrahospitalaria. La Ref. 11 (Neurorehabil Neural Repair 2024) documenta que el desempeño en actividades diarias difiere entre la unidad de hospitalización y el domicilio, por lo que la transferencia de estos resultados al desempeño domiciliario no está establecida y debe declararse como limitación.</w:t>
      </w:r>
    </w:p>
    <w:p>
      <w:pPr>
        <w:spacing w:after="120"/>
      </w:pPr>
      <w:r>
        <w:rPr>
          <w:b w:val="false"/>
          <w:bCs w:val="false"/>
          <w:i w:val="false"/>
          <w:iCs w:val="false"/>
          <w:color w:val="0B0B0B"/>
          <w:sz w:val="22"/>
          <w:szCs w:val="22"/>
        </w:rPr>
        <w:t xml:space="preserve">Diseño retrospectivo sin grupo control (no permite atribuir causalidad a la TO); atrición no aleatoria (26/104 sin Barthel pareado, de mayor edad —76,5 vs 69,8 años— y estadía más larga); &gt;90 años con n=4–5, estimaciones inestables; MMSE en versión de 19 puntos, no estándar; efecto techo en pacientes jóvenes; y regresión a la media como explicación alternativa parcial de la correlación entre puntaje de ingreso y cambio.</w:t>
      </w:r>
    </w:p>
    <w:p>
      <w:pPr>
        <w:pStyle w:val="Heading1"/>
        <w:spacing w:after="150" w:before="300"/>
      </w:pPr>
      <w:r>
        <w:t xml:space="preserve">4. Referencias</w:t>
      </w:r>
    </w:p>
    <w:p>
      <w:pPr>
        <w:spacing w:after="130"/>
      </w:pPr>
      <w:r>
        <w:rPr>
          <w:b w:val="false"/>
          <w:bCs w:val="false"/>
          <w:i w:val="false"/>
          <w:iCs w:val="false"/>
          <w:color w:val="0B0B0B"/>
          <w:sz w:val="19"/>
          <w:szCs w:val="19"/>
        </w:rPr>
        <w:t xml:space="preserve">1. Mancuso M, Iosa M, Morone G, De Bartolo D, Ciancarelli I. How do the timing of early rehabilitation together with cognitive and functional variables influence stroke recovery? Results from the CogniReMo Italian multicentric study. Healthcare (Basel). 2025;13(3):316. DOI 10.3390/healthcare13030316.</w:t>
      </w:r>
    </w:p>
    <w:p>
      <w:pPr>
        <w:spacing w:after="130"/>
      </w:pPr>
      <w:r>
        <w:rPr>
          <w:b w:val="false"/>
          <w:bCs w:val="false"/>
          <w:i w:val="false"/>
          <w:iCs w:val="false"/>
          <w:color w:val="0B0B0B"/>
          <w:sz w:val="19"/>
          <w:szCs w:val="19"/>
        </w:rPr>
        <w:t xml:space="preserve">2. Effectiveness of rehabilitation dose heterogeneity for improving functional outcomes of patients with acute stroke: a nationwide observational study. Sci Rep. 2025. DOI 10.1038/s41598-025-32006-w. [Autores, volumen y páginas por confirmar]</w:t>
      </w:r>
    </w:p>
    <w:p>
      <w:pPr>
        <w:spacing w:after="130"/>
      </w:pPr>
      <w:r>
        <w:rPr>
          <w:b w:val="false"/>
          <w:bCs w:val="false"/>
          <w:i w:val="false"/>
          <w:iCs w:val="false"/>
          <w:color w:val="0B0B0B"/>
          <w:sz w:val="19"/>
          <w:szCs w:val="19"/>
        </w:rPr>
        <w:t xml:space="preserve">3. Heterogeneity in the effectiveness of rehabilitation dose on activities of daily living in post-acute stroke: target trial emulation. J Am Med Dir Assoc. PMID 41966702. [Autores, año, volumen y páginas por confirmar]</w:t>
      </w:r>
    </w:p>
    <w:p>
      <w:pPr>
        <w:spacing w:after="130"/>
      </w:pPr>
      <w:r>
        <w:rPr>
          <w:b w:val="false"/>
          <w:bCs w:val="false"/>
          <w:i w:val="false"/>
          <w:iCs w:val="false"/>
          <w:color w:val="0B0B0B"/>
          <w:sz w:val="19"/>
          <w:szCs w:val="19"/>
        </w:rPr>
        <w:t xml:space="preserve">4. Triantis E, Liu KP. Activities of daily living interventions on activity performance of inpatients post-stroke: a systematic review and meta-analysis. Br J Occup Ther. 2024;87(10):598-613. PMID 40343210.</w:t>
      </w:r>
    </w:p>
    <w:p>
      <w:pPr>
        <w:spacing w:after="130"/>
      </w:pPr>
      <w:r>
        <w:rPr>
          <w:b w:val="false"/>
          <w:bCs w:val="false"/>
          <w:i w:val="false"/>
          <w:iCs w:val="false"/>
          <w:color w:val="0B0B0B"/>
          <w:sz w:val="19"/>
          <w:szCs w:val="19"/>
        </w:rPr>
        <w:t xml:space="preserve">5. Occupational therapy and activities of daily living interventions to improve performance in activities of daily living for adults with stroke (2012-2019). Am J Occup Ther. 2023. PMID 37220005. [Autores, volumen y páginas por confirmar]</w:t>
      </w:r>
    </w:p>
    <w:p>
      <w:pPr>
        <w:spacing w:after="130"/>
      </w:pPr>
      <w:r>
        <w:rPr>
          <w:b w:val="false"/>
          <w:bCs w:val="false"/>
          <w:i w:val="false"/>
          <w:iCs w:val="false"/>
          <w:color w:val="0B0B0B"/>
          <w:sz w:val="19"/>
          <w:szCs w:val="19"/>
        </w:rPr>
        <w:t xml:space="preserve">6. Early Occupational Therapy Intervention post-stroke (EOTIPS): a randomized controlled trial. PLoS One. 2024. PMID 39159190. DOI 10.1371/journal.pone.0308800. [Autores, volumen y páginas por confirmar]</w:t>
      </w:r>
    </w:p>
    <w:p>
      <w:pPr>
        <w:spacing w:after="130"/>
      </w:pPr>
      <w:r>
        <w:rPr>
          <w:b w:val="false"/>
          <w:bCs w:val="false"/>
          <w:i w:val="false"/>
          <w:iCs w:val="false"/>
          <w:color w:val="0B0B0B"/>
          <w:sz w:val="19"/>
          <w:szCs w:val="19"/>
        </w:rPr>
        <w:t xml:space="preserve">7. Prognostic factors of functional outcome in post-acute stroke in the rehabilitation unit. J Formos Med Assoc. 2021. PMID 34303583. [Autores, volumen y páginas por confirmar]</w:t>
      </w:r>
    </w:p>
    <w:p>
      <w:pPr>
        <w:spacing w:after="130"/>
      </w:pPr>
      <w:r>
        <w:rPr>
          <w:b w:val="false"/>
          <w:bCs w:val="false"/>
          <w:i w:val="false"/>
          <w:iCs w:val="false"/>
          <w:color w:val="0B0B0B"/>
          <w:sz w:val="19"/>
          <w:szCs w:val="19"/>
        </w:rPr>
        <w:t xml:space="preserve">8. Girgenti SG, Brunson AO, Marsh EB. Baseline function and rehabilitation are as important as stroke severity as long-term predictors of cognitive performance post-stroke. Am J Phys Med Rehabil. 2023;102(2S):S43-S50. PMID 36634330. DOI 10.1097/PHM.0000000000002125.</w:t>
      </w:r>
    </w:p>
    <w:p>
      <w:pPr>
        <w:spacing w:after="130"/>
      </w:pPr>
      <w:r>
        <w:rPr>
          <w:b w:val="false"/>
          <w:bCs w:val="false"/>
          <w:i w:val="false"/>
          <w:iCs w:val="false"/>
          <w:color w:val="0B0B0B"/>
          <w:sz w:val="19"/>
          <w:szCs w:val="19"/>
        </w:rPr>
        <w:t xml:space="preserve">9. The impact of cognitive function deficits and their recovery on functional outcome in subjects affected by ischemic subacute stroke: results from the Italian multicenter longitudinal study CogniReMo. Eur J Phys Rehabil Med. 2023;59(3):284-93. PMID 37184413. [Autores por confirmar]</w:t>
      </w:r>
    </w:p>
    <w:p>
      <w:pPr>
        <w:spacing w:after="130"/>
      </w:pPr>
      <w:r>
        <w:rPr>
          <w:b w:val="false"/>
          <w:bCs w:val="false"/>
          <w:i w:val="false"/>
          <w:iCs w:val="false"/>
          <w:color w:val="0B0B0B"/>
          <w:sz w:val="19"/>
          <w:szCs w:val="19"/>
        </w:rPr>
        <w:t xml:space="preserve">10. Lin DJ, Cramer SC, Boyne P, Khatri P, Krakauer JW. High-dose, high-intensity stroke rehabilitation: why aren’t we giving it? Stroke. 2025;56(5):1351-1364. DOI 10.1161/STROKEAHA.124.043650. PMC12039970.</w:t>
      </w:r>
    </w:p>
    <w:p>
      <w:pPr>
        <w:spacing w:after="130"/>
      </w:pPr>
      <w:r>
        <w:rPr>
          <w:b w:val="false"/>
          <w:bCs w:val="false"/>
          <w:i w:val="false"/>
          <w:iCs w:val="false"/>
          <w:color w:val="0B0B0B"/>
          <w:sz w:val="19"/>
          <w:szCs w:val="19"/>
        </w:rPr>
        <w:t xml:space="preserve">11. Somerville E, Blenden G, Kretzer D, Holden B, Bollinger RM, Krauss MJ, Haxton M, Martin N, Carter A, Stark SL. Differences in daily activity performance between inpatient rehabilitation facility and home among stroke survivors. Neurorehabil Neural Repair. 2024;38(6):403-412. PMID 38602200. DOI 10.1177/15459683241246266.</w:t>
      </w:r>
    </w:p>
    <w:p>
      <w:pPr>
        <w:spacing w:after="130"/>
      </w:pPr>
      <w:r>
        <w:rPr>
          <w:b w:val="false"/>
          <w:bCs w:val="false"/>
          <w:i w:val="false"/>
          <w:iCs w:val="false"/>
          <w:color w:val="0B0B0B"/>
          <w:sz w:val="19"/>
          <w:szCs w:val="19"/>
        </w:rPr>
        <w:t xml:space="preserve">12. Lai WN, Tan CYF, Ong CY, Wong MSJ, Low LL. Predictors of short-term functional recovery in ischemic stroke rehabilitation at community hospitals in Singapore. 2025. PMC12802713. [Revista, volumen y páginas por confirmar] — ESTUDIO MÁS SIMILAR AL SUYO</w:t>
      </w:r>
    </w:p>
    <w:p>
      <w:pPr>
        <w:spacing w:after="130"/>
      </w:pPr>
      <w:r>
        <w:rPr>
          <w:b w:val="false"/>
          <w:bCs w:val="false"/>
          <w:i w:val="false"/>
          <w:iCs w:val="false"/>
          <w:color w:val="0B0B0B"/>
          <w:sz w:val="19"/>
          <w:szCs w:val="19"/>
        </w:rPr>
        <w:t xml:space="preserve">13. Butsing N, Thongniran N, Keandoungchun J, Wiyarta E. Changes in functional outcome after a first-time stroke: data from a longitudinal study. PLoS One. 2025;20(8):e0330086. DOI 10.1371/journal.pone.0330086.</w:t>
      </w:r>
    </w:p>
    <w:p>
      <w:pPr>
        <w:spacing w:after="130"/>
      </w:pPr>
      <w:r>
        <w:rPr>
          <w:b w:val="false"/>
          <w:bCs w:val="false"/>
          <w:i w:val="false"/>
          <w:iCs w:val="false"/>
          <w:color w:val="0B0B0B"/>
          <w:sz w:val="19"/>
          <w:szCs w:val="19"/>
        </w:rPr>
        <w:t xml:space="preserve">14. Legg LA, Lewis SR, Schofield-Robinson OJ, Drummond A, Langhorne P. Occupational therapy for adults with problems in activities of daily living after stroke. Cochrane Database Syst Rev. 2017;(7):CD003585. PMID 28721691. DOI 10.1002/14651858.CD003585.pub3. Síntesis en revista de alto impacto: Stroke. 2017;48(11):e321-e322. DOI 10.1161/STROKEAHA.117.018923.  [ANCLA HISTÓRICA 1 de 2]</w:t>
      </w:r>
    </w:p>
    <w:p>
      <w:pPr>
        <w:spacing w:after="130"/>
      </w:pPr>
      <w:r>
        <w:rPr>
          <w:b w:val="false"/>
          <w:bCs w:val="false"/>
          <w:i w:val="false"/>
          <w:iCs w:val="false"/>
          <w:color w:val="0B0B0B"/>
          <w:sz w:val="19"/>
          <w:szCs w:val="19"/>
        </w:rPr>
        <w:t xml:space="preserve">15. Bernhardt J, et al.; AVERT Trial Collaboration Group. Efficacy and safety of very early mobilisation within 24 h of stroke onset (AVERT): a randomised controlled trial. Lancet. 2015;386(9988):46-55. PMID 25892679. DOI 10.1016/S0140-6736(15)60690-0.  [ANCLA HISTÓRICA 2 de 2]</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2026-09-03T00:10:42.457Z</dcterms:created>
  <dcterms:modified xsi:type="dcterms:W3CDTF">2026-09-03T00:10:42.472Z</dcterms:modified>
</cp:coreProperties>
</file>

<file path=docProps/custom.xml><?xml version="1.0" encoding="utf-8"?>
<Properties xmlns="http://schemas.openxmlformats.org/officeDocument/2006/custom-properties" xmlns:vt="http://schemas.openxmlformats.org/officeDocument/2006/docPropsVTypes"/>
</file>