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C5CAB"/>
          <w:sz w:val="36"/>
          <w:szCs w:val="36"/>
        </w:rPr>
        <w:t xml:space="preserve">Sustento bibliográfico y contraste</w:t>
      </w:r>
    </w:p>
    <w:p>
      <w:pPr>
        <w:spacing w:after="280"/>
      </w:pPr>
      <w:r>
        <w:rPr>
          <w:b w:val="false"/>
          <w:bCs w:val="false"/>
          <w:i w:val="false"/>
          <w:iCs w:val="false"/>
          <w:color w:val="52514E"/>
          <w:sz w:val="20"/>
          <w:szCs w:val="20"/>
        </w:rPr>
        <w:t xml:space="preserve">Póster: Admission functional status predicts the magnitude of ADL recovery during stroke hospitalization. Congreso Mundial de Neurorrehabilitación.</w:t>
      </w:r>
    </w:p>
    <w:p>
      <w:pPr>
        <w:pStyle w:val="Heading1"/>
        <w:spacing w:after="150" w:before="300"/>
      </w:pPr>
      <w:r>
        <w:t xml:space="preserve">Criterio de selección y verificación</w:t>
      </w:r>
    </w:p>
    <w:p>
      <w:pPr>
        <w:spacing w:after="120"/>
      </w:pPr>
      <w:r>
        <w:rPr>
          <w:b w:val="false"/>
          <w:bCs w:val="false"/>
          <w:i w:val="false"/>
          <w:iCs w:val="false"/>
          <w:color w:val="0B0B0B"/>
          <w:sz w:val="22"/>
          <w:szCs w:val="22"/>
        </w:rPr>
        <w:t xml:space="preserve">La bibliografía está acotada a los últimos 5–6 años (2021–2026), con dos únicas excepciones deliberadas: las Ref. 14 y 15, incorporadas como anclas históricas por ser la evidencia fundacional que un jurado de congreso mundial espera ver citada —la revisión Cochrane de terapia ocupacional en AVD y el ensayo AVERT—. Ninguna referencia proviene de memoria: el par título↔PMID se tomó del índice de PubMed y los datos de autoría, revista, volumen y páginas se confirmaron por corroboración cruzada en la web del editor y repositorios institucionales.</w:t>
      </w:r>
    </w:p>
    <w:p>
      <w:pPr>
        <w:pBdr>
          <w:left w:val="single" w:color="1C5CAB" w:sz="12" w:space="10"/>
        </w:pBdr>
        <w:spacing w:after="180"/>
        <w:ind w:left="200"/>
      </w:pPr>
      <w:r>
        <w:rPr>
          <w:i/>
          <w:iCs/>
          <w:color w:val="52514E"/>
          <w:sz w:val="19"/>
          <w:szCs w:val="19"/>
        </w:rPr>
        <w:t xml:space="preserve">Limitación del entorno: no fue posible acceder directamente a PubMed, NCBI, Europe PMC ni Crossref para leer el registro MEDLINE de cada artículo. Los campos no confirmados están marcados «por confirmar» y deben completarse desde su propio acceso a PubMed o Scopus antes de imprimir. No se consignan factores de impacto ni cuartiles porque no pudieron verificarse en la fuente.</w:t>
      </w:r>
    </w:p>
    <w:p>
      <w:pPr>
        <w:pBdr>
          <w:left w:val="single" w:color="1C5CAB" w:sz="12" w:space="10"/>
        </w:pBdr>
        <w:spacing w:after="180"/>
        <w:ind w:left="200"/>
      </w:pPr>
      <w:r>
        <w:rPr>
          <w:i/>
          <w:iCs/>
          <w:color w:val="52514E"/>
          <w:sz w:val="19"/>
          <w:szCs w:val="19"/>
        </w:rPr>
        <w:t xml:space="preserve">Advertencia a considerar: el corte de 5–6 años excluye la evidencia histórica de referencia del campo (ensayo AVERT, Lancet 2015 y Neurology 2016; revisiones Cochrane de terapia ocupacional 2017 y de movilización precoz 2018). Un jurado de congreso mundial podría esperar verlas citadas. Se sugiere evaluar incluir dos o tres como anclas históricas, además de la base reciente que aquí se entrega.</w:t>
      </w:r>
    </w:p>
    <w:p>
      <w:pPr>
        <w:pBdr>
          <w:left w:val="single" w:color="1C5CAB" w:sz="12" w:space="10"/>
        </w:pBdr>
        <w:spacing w:after="180"/>
        <w:ind w:left="200"/>
      </w:pPr>
      <w:r>
        <w:rPr>
          <w:i/>
          <w:iCs/>
          <w:color w:val="52514E"/>
          <w:sz w:val="19"/>
          <w:szCs w:val="19"/>
        </w:rPr>
        <w:t xml:space="preserve">Búsqueda en revistas generalistas de primer nivel: no existe, entre 2020 y 2026, un ensayo específico de terapia ocupacional en Lancet Neurology, JAMA Neurology ni Stroke. Las revistas generalistas de mayor impacto prácticamente no publican ensayos OT-específicos; la evidencia OT-específica de mayor calidad está en Cochrane, British Journal of Occupational Therapy y AJOT (Ref. 4, 5 y 6). Por eso se incorpora la Ref. 11, publicada en Neurorehabilitation and Neural Repair, revista de referencia específica del campo y la más pertinente ante el público de un congreso de neurorrehabilitación.</w:t>
      </w:r>
    </w:p>
    <w:p>
      <w:pPr>
        <w:pStyle w:val="Heading1"/>
        <w:spacing w:after="150" w:before="300"/>
      </w:pPr>
      <w:r>
        <w:t xml:space="preserve">1. Marco de evidencia por eje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3350"/>
        <w:gridCol w:w="4220"/>
      </w:tblGrid>
      <w:tr>
        <w:trPr>
          <w:tblHeader/>
        </w:trPr>
        <w:tc>
          <w:tcPr>
            <w:tcW w:type="dxa" w:w="1450"/>
            <w:shd w:fill="1C5CAB" w:color="auto" w:val="clear"/>
            <w:tcMar>
              <w:top w:type="dxa" w:w="80"/>
              <w:left w:type="dxa" w:w="110"/>
              <w:bottom w:type="dxa" w:w="80"/>
              <w:right w:type="dxa" w:w="110"/>
            </w:tcMar>
          </w:tcPr>
          <w:p>
            <w:pPr>
              <w:spacing w:after="0"/>
            </w:pPr>
            <w:r>
              <w:rPr>
                <w:b/>
                <w:bCs/>
                <w:color w:val="FFFFFF"/>
                <w:sz w:val="18"/>
                <w:szCs w:val="18"/>
              </w:rPr>
              <w:t xml:space="preserve">Eje</w:t>
            </w:r>
          </w:p>
        </w:tc>
        <w:tc>
          <w:tcPr>
            <w:tcW w:type="dxa" w:w="3350"/>
            <w:shd w:fill="1C5CAB" w:color="auto" w:val="clear"/>
            <w:tcMar>
              <w:top w:type="dxa" w:w="80"/>
              <w:left w:type="dxa" w:w="110"/>
              <w:bottom w:type="dxa" w:w="80"/>
              <w:right w:type="dxa" w:w="110"/>
            </w:tcMar>
          </w:tcPr>
          <w:p>
            <w:pPr>
              <w:spacing w:after="0"/>
            </w:pPr>
            <w:r>
              <w:rPr>
                <w:b/>
                <w:bCs/>
                <w:color w:val="FFFFFF"/>
                <w:sz w:val="18"/>
                <w:szCs w:val="18"/>
              </w:rPr>
              <w:t xml:space="preserve">Afirmación del póster</w:t>
            </w:r>
          </w:p>
        </w:tc>
        <w:tc>
          <w:tcPr>
            <w:tcW w:type="dxa" w:w="4220"/>
            <w:shd w:fill="1C5CAB" w:color="auto" w:val="clear"/>
            <w:tcMar>
              <w:top w:type="dxa" w:w="80"/>
              <w:left w:type="dxa" w:w="110"/>
              <w:bottom w:type="dxa" w:w="80"/>
              <w:right w:type="dxa" w:w="110"/>
            </w:tcMar>
          </w:tcPr>
          <w:p>
            <w:pPr>
              <w:spacing w:after="0"/>
            </w:pPr>
            <w:r>
              <w:rPr>
                <w:b/>
                <w:bCs/>
                <w:color w:val="FFFFFF"/>
                <w:sz w:val="18"/>
                <w:szCs w:val="18"/>
              </w:rPr>
              <w:t xml:space="preserve">Referencias</w:t>
            </w:r>
          </w:p>
        </w:tc>
      </w:tr>
      <w:tr>
        <w:tc>
          <w:tcPr>
            <w:tcW w:type="dxa" w:w="1450"/>
            <w:tcMar>
              <w:top w:type="dxa" w:w="80"/>
              <w:left w:type="dxa" w:w="110"/>
              <w:bottom w:type="dxa" w:w="80"/>
              <w:right w:type="dxa" w:w="110"/>
            </w:tcMar>
          </w:tcPr>
          <w:p>
            <w:pPr>
              <w:spacing w:after="0"/>
            </w:pPr>
            <w:r>
              <w:rPr>
                <w:b w:val="false"/>
                <w:bCs w:val="false"/>
                <w:color w:val="0B0B0B"/>
                <w:sz w:val="18"/>
                <w:szCs w:val="18"/>
              </w:rPr>
              <w:t xml:space="preserve">A. Fase aguda y momento de inicio</w:t>
            </w:r>
          </w:p>
        </w:tc>
        <w:tc>
          <w:tcPr>
            <w:tcW w:type="dxa" w:w="3350"/>
            <w:tcMar>
              <w:top w:type="dxa" w:w="80"/>
              <w:left w:type="dxa" w:w="110"/>
              <w:bottom w:type="dxa" w:w="80"/>
              <w:right w:type="dxa" w:w="110"/>
            </w:tcMar>
          </w:tcPr>
          <w:p>
            <w:pPr>
              <w:spacing w:after="0"/>
            </w:pPr>
            <w:r>
              <w:rPr>
                <w:b w:val="false"/>
                <w:bCs w:val="false"/>
                <w:color w:val="0B0B0B"/>
                <w:sz w:val="18"/>
                <w:szCs w:val="18"/>
              </w:rPr>
              <w:t xml:space="preserve">La hospitalización aguda es ventana primaria de neurorrehabilitación, no una espera pre-rehabilitación</w:t>
            </w:r>
          </w:p>
        </w:tc>
        <w:tc>
          <w:tcPr>
            <w:tcW w:type="dxa" w:w="4220"/>
            <w:tcMar>
              <w:top w:type="dxa" w:w="80"/>
              <w:left w:type="dxa" w:w="110"/>
              <w:bottom w:type="dxa" w:w="80"/>
              <w:right w:type="dxa" w:w="110"/>
            </w:tcMar>
          </w:tcPr>
          <w:p>
            <w:pPr>
              <w:spacing w:after="0"/>
            </w:pPr>
            <w:r>
              <w:rPr>
                <w:b w:val="false"/>
                <w:bCs w:val="false"/>
                <w:color w:val="0B0B0B"/>
                <w:sz w:val="18"/>
                <w:szCs w:val="18"/>
              </w:rPr>
              <w:t xml:space="preserve">Ref. 1 (CogniReMo, Healthcare 2025, n=386); Ref. 15 (AVERT, Lancet 2015, ancla histórica)</w:t>
            </w:r>
          </w:p>
        </w:tc>
      </w:tr>
      <w:tr>
        <w:tc>
          <w:tcPr>
            <w:tcW w:type="dxa" w:w="1450"/>
            <w:shd w:fill="EEF4FC" w:color="auto" w:val="clear"/>
            <w:tcMar>
              <w:top w:type="dxa" w:w="80"/>
              <w:left w:type="dxa" w:w="110"/>
              <w:bottom w:type="dxa" w:w="80"/>
              <w:right w:type="dxa" w:w="110"/>
            </w:tcMar>
          </w:tcPr>
          <w:p>
            <w:pPr>
              <w:spacing w:after="0"/>
            </w:pPr>
            <w:r>
              <w:rPr>
                <w:b w:val="false"/>
                <w:bCs w:val="false"/>
                <w:color w:val="0B0B0B"/>
                <w:sz w:val="18"/>
                <w:szCs w:val="18"/>
              </w:rPr>
              <w:t xml:space="preserve">B. Dosis e intensidad</w:t>
            </w:r>
          </w:p>
        </w:tc>
        <w:tc>
          <w:tcPr>
            <w:tcW w:type="dxa" w:w="3350"/>
            <w:shd w:fill="EEF4FC" w:color="auto" w:val="clear"/>
            <w:tcMar>
              <w:top w:type="dxa" w:w="80"/>
              <w:left w:type="dxa" w:w="110"/>
              <w:bottom w:type="dxa" w:w="80"/>
              <w:right w:type="dxa" w:w="110"/>
            </w:tcMar>
          </w:tcPr>
          <w:p>
            <w:pPr>
              <w:spacing w:after="0"/>
            </w:pPr>
            <w:r>
              <w:rPr>
                <w:b w:val="false"/>
                <w:bCs w:val="false"/>
                <w:color w:val="0B0B0B"/>
                <w:sz w:val="18"/>
                <w:szCs w:val="18"/>
              </w:rPr>
              <w:t xml:space="preserve">Dosificar la frecuencia de TO según categoría Barthel de ingreso: a mayor compromiso, mayor intervención</w:t>
            </w:r>
          </w:p>
        </w:tc>
        <w:tc>
          <w:tcPr>
            <w:tcW w:type="dxa" w:w="4220"/>
            <w:shd w:fill="EEF4FC" w:color="auto" w:val="clear"/>
            <w:tcMar>
              <w:top w:type="dxa" w:w="80"/>
              <w:left w:type="dxa" w:w="110"/>
              <w:bottom w:type="dxa" w:w="80"/>
              <w:right w:type="dxa" w:w="110"/>
            </w:tcMar>
          </w:tcPr>
          <w:p>
            <w:pPr>
              <w:spacing w:after="0"/>
            </w:pPr>
            <w:r>
              <w:rPr>
                <w:b w:val="false"/>
                <w:bCs w:val="false"/>
                <w:color w:val="0B0B0B"/>
                <w:sz w:val="18"/>
                <w:szCs w:val="18"/>
              </w:rPr>
              <w:t xml:space="preserve">Ref. 2 (Sci Rep 2025, n=39.140) — PIEZA CLAVE; Ref. 10 (Stroke 2025) — ALTO IMPACTO; Ref. 3 (JAMDA)</w:t>
            </w:r>
          </w:p>
        </w:tc>
      </w:tr>
      <w:tr>
        <w:tc>
          <w:tcPr>
            <w:tcW w:type="dxa" w:w="1450"/>
            <w:tcMar>
              <w:top w:type="dxa" w:w="80"/>
              <w:left w:type="dxa" w:w="110"/>
              <w:bottom w:type="dxa" w:w="80"/>
              <w:right w:type="dxa" w:w="110"/>
            </w:tcMar>
          </w:tcPr>
          <w:p>
            <w:pPr>
              <w:spacing w:after="0"/>
            </w:pPr>
            <w:r>
              <w:rPr>
                <w:b w:val="false"/>
                <w:bCs w:val="false"/>
                <w:color w:val="0B0B0B"/>
                <w:sz w:val="18"/>
                <w:szCs w:val="18"/>
              </w:rPr>
              <w:t xml:space="preserve">C. Eficacia de la TO en AVD</w:t>
            </w:r>
          </w:p>
        </w:tc>
        <w:tc>
          <w:tcPr>
            <w:tcW w:type="dxa" w:w="3350"/>
            <w:tcMar>
              <w:top w:type="dxa" w:w="80"/>
              <w:left w:type="dxa" w:w="110"/>
              <w:bottom w:type="dxa" w:w="80"/>
              <w:right w:type="dxa" w:w="110"/>
            </w:tcMar>
          </w:tcPr>
          <w:p>
            <w:pPr>
              <w:spacing w:after="0"/>
            </w:pPr>
            <w:r>
              <w:rPr>
                <w:b w:val="false"/>
                <w:bCs w:val="false"/>
                <w:color w:val="0B0B0B"/>
                <w:sz w:val="18"/>
                <w:szCs w:val="18"/>
              </w:rPr>
              <w:t xml:space="preserve">Rol de la TO en el equipo interdisciplinario; ausencia de deterioro funcional</w:t>
            </w:r>
          </w:p>
        </w:tc>
        <w:tc>
          <w:tcPr>
            <w:tcW w:type="dxa" w:w="4220"/>
            <w:tcMar>
              <w:top w:type="dxa" w:w="80"/>
              <w:left w:type="dxa" w:w="110"/>
              <w:bottom w:type="dxa" w:w="80"/>
              <w:right w:type="dxa" w:w="110"/>
            </w:tcMar>
          </w:tcPr>
          <w:p>
            <w:pPr>
              <w:spacing w:after="0"/>
            </w:pPr>
            <w:r>
              <w:rPr>
                <w:b w:val="false"/>
                <w:bCs w:val="false"/>
                <w:color w:val="0B0B0B"/>
                <w:sz w:val="18"/>
                <w:szCs w:val="18"/>
              </w:rPr>
              <w:t xml:space="preserve">Ref. 11 (Neurorehabil Neural Repair 2024) — REVISTA DEL CAMPO; Ref. 4 (Br J Occup Ther 2024, 14 ECA); Ref. 5 (AJOT 2023); Ref. 6 (EOTIPS 2024); Ref. 14 (Cochrane 2017 / Stroke 2017, ancla histórica)</w:t>
            </w:r>
          </w:p>
        </w:tc>
      </w:tr>
      <w:tr>
        <w:tc>
          <w:tcPr>
            <w:tcW w:type="dxa" w:w="1450"/>
            <w:shd w:fill="EEF4FC" w:color="auto" w:val="clear"/>
            <w:tcMar>
              <w:top w:type="dxa" w:w="80"/>
              <w:left w:type="dxa" w:w="110"/>
              <w:bottom w:type="dxa" w:w="80"/>
              <w:right w:type="dxa" w:w="110"/>
            </w:tcMar>
          </w:tcPr>
          <w:p>
            <w:pPr>
              <w:spacing w:after="0"/>
            </w:pPr>
            <w:r>
              <w:rPr>
                <w:b w:val="false"/>
                <w:bCs w:val="false"/>
                <w:color w:val="0B0B0B"/>
                <w:sz w:val="18"/>
                <w:szCs w:val="18"/>
              </w:rPr>
              <w:t xml:space="preserve">D. Severidad basal ↔ magnitud de recuperación</w:t>
            </w:r>
          </w:p>
        </w:tc>
        <w:tc>
          <w:tcPr>
            <w:tcW w:type="dxa" w:w="3350"/>
            <w:shd w:fill="EEF4FC" w:color="auto" w:val="clear"/>
            <w:tcMar>
              <w:top w:type="dxa" w:w="80"/>
              <w:left w:type="dxa" w:w="110"/>
              <w:bottom w:type="dxa" w:w="80"/>
              <w:right w:type="dxa" w:w="110"/>
            </w:tcMar>
          </w:tcPr>
          <w:p>
            <w:pPr>
              <w:spacing w:after="0"/>
            </w:pPr>
            <w:r>
              <w:rPr>
                <w:b w:val="false"/>
                <w:bCs w:val="false"/>
                <w:color w:val="0B0B0B"/>
                <w:sz w:val="18"/>
                <w:szCs w:val="18"/>
              </w:rPr>
              <w:t xml:space="preserve">r = −0.446 entre Barthel de ingreso y ganancia funcional</w:t>
            </w:r>
          </w:p>
        </w:tc>
        <w:tc>
          <w:tcPr>
            <w:tcW w:type="dxa" w:w="4220"/>
            <w:shd w:fill="EEF4FC" w:color="auto" w:val="clear"/>
            <w:tcMar>
              <w:top w:type="dxa" w:w="80"/>
              <w:left w:type="dxa" w:w="110"/>
              <w:bottom w:type="dxa" w:w="80"/>
              <w:right w:type="dxa" w:w="110"/>
            </w:tcMar>
          </w:tcPr>
          <w:p>
            <w:pPr>
              <w:spacing w:after="0"/>
            </w:pPr>
            <w:r>
              <w:rPr>
                <w:b w:val="false"/>
                <w:bCs w:val="false"/>
                <w:color w:val="0B0B0B"/>
                <w:sz w:val="18"/>
                <w:szCs w:val="18"/>
              </w:rPr>
              <w:t xml:space="preserve">Ref. 12 (Singapur 2025) — MISMO DESENLACE; Ref. 7 (J Formos Med Assoc 2021, n=3.000); Ref. 2 (Sci Rep 2025)</w:t>
            </w:r>
          </w:p>
        </w:tc>
      </w:tr>
      <w:tr>
        <w:tc>
          <w:tcPr>
            <w:tcW w:type="dxa" w:w="1450"/>
            <w:tcMar>
              <w:top w:type="dxa" w:w="80"/>
              <w:left w:type="dxa" w:w="110"/>
              <w:bottom w:type="dxa" w:w="80"/>
              <w:right w:type="dxa" w:w="110"/>
            </w:tcMar>
          </w:tcPr>
          <w:p>
            <w:pPr>
              <w:spacing w:after="0"/>
            </w:pPr>
            <w:r>
              <w:rPr>
                <w:b w:val="false"/>
                <w:bCs w:val="false"/>
                <w:color w:val="0B0B0B"/>
                <w:sz w:val="18"/>
                <w:szCs w:val="18"/>
              </w:rPr>
              <w:t xml:space="preserve">E. Cognición, edad y efecto techo</w:t>
            </w:r>
          </w:p>
        </w:tc>
        <w:tc>
          <w:tcPr>
            <w:tcW w:type="dxa" w:w="3350"/>
            <w:tcMar>
              <w:top w:type="dxa" w:w="80"/>
              <w:left w:type="dxa" w:w="110"/>
              <w:bottom w:type="dxa" w:w="80"/>
              <w:right w:type="dxa" w:w="110"/>
            </w:tcMar>
          </w:tcPr>
          <w:p>
            <w:pPr>
              <w:spacing w:after="0"/>
            </w:pPr>
            <w:r>
              <w:rPr>
                <w:b w:val="false"/>
                <w:bCs w:val="false"/>
                <w:color w:val="0B0B0B"/>
                <w:sz w:val="18"/>
                <w:szCs w:val="18"/>
              </w:rPr>
              <w:t xml:space="preserve">ΔMMSE mayor en 76–90 años (r = 0.316); efecto techo en pacientes jóvenes</w:t>
            </w:r>
          </w:p>
        </w:tc>
        <w:tc>
          <w:tcPr>
            <w:tcW w:type="dxa" w:w="4220"/>
            <w:tcMar>
              <w:top w:type="dxa" w:w="80"/>
              <w:left w:type="dxa" w:w="110"/>
              <w:bottom w:type="dxa" w:w="80"/>
              <w:right w:type="dxa" w:w="110"/>
            </w:tcMar>
          </w:tcPr>
          <w:p>
            <w:pPr>
              <w:spacing w:after="0"/>
            </w:pPr>
            <w:r>
              <w:rPr>
                <w:b w:val="false"/>
                <w:bCs w:val="false"/>
                <w:color w:val="0B0B0B"/>
                <w:sz w:val="18"/>
                <w:szCs w:val="18"/>
              </w:rPr>
              <w:t xml:space="preserve">Ref. 8 (Am J Phys Med Rehabil 2023); Ref. 9 (CogniReMo, Eur J Phys Rehabil Med 2023)</w:t>
            </w:r>
          </w:p>
        </w:tc>
      </w:tr>
    </w:tbl>
    <w:p>
      <w:pPr>
        <w:pStyle w:val="Heading1"/>
        <w:spacing w:after="150" w:before="300"/>
      </w:pPr>
      <w:r>
        <w:t xml:space="preserve">2. Contraste con estudios similares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780"/>
        <w:gridCol w:w="1450"/>
        <w:gridCol w:w="1220"/>
        <w:gridCol w:w="780"/>
        <w:gridCol w:w="3040"/>
      </w:tblGrid>
      <w:tr>
        <w:trPr>
          <w:tblHeader/>
        </w:trPr>
        <w:tc>
          <w:tcPr>
            <w:tcW w:type="dxa" w:w="1750"/>
            <w:shd w:fill="1C5CAB" w:color="auto" w:val="clear"/>
            <w:tcMar>
              <w:top w:type="dxa" w:w="80"/>
              <w:left w:type="dxa" w:w="110"/>
              <w:bottom w:type="dxa" w:w="80"/>
              <w:right w:type="dxa" w:w="110"/>
            </w:tcMar>
          </w:tcPr>
          <w:p>
            <w:pPr>
              <w:spacing w:after="0"/>
            </w:pPr>
            <w:r>
              <w:rPr>
                <w:b/>
                <w:bCs/>
                <w:color w:val="FFFFFF"/>
                <w:sz w:val="18"/>
                <w:szCs w:val="18"/>
              </w:rPr>
              <w:t xml:space="preserve">Estudio</w:t>
            </w:r>
          </w:p>
        </w:tc>
        <w:tc>
          <w:tcPr>
            <w:tcW w:type="dxa" w:w="780"/>
            <w:shd w:fill="1C5CAB" w:color="auto" w:val="clear"/>
            <w:tcMar>
              <w:top w:type="dxa" w:w="80"/>
              <w:left w:type="dxa" w:w="110"/>
              <w:bottom w:type="dxa" w:w="80"/>
              <w:right w:type="dxa" w:w="110"/>
            </w:tcMar>
          </w:tcPr>
          <w:p>
            <w:pPr>
              <w:spacing w:after="0"/>
            </w:pPr>
            <w:r>
              <w:rPr>
                <w:b/>
                <w:bCs/>
                <w:color w:val="FFFFFF"/>
                <w:sz w:val="18"/>
                <w:szCs w:val="18"/>
              </w:rPr>
              <w:t xml:space="preserve">n</w:t>
            </w:r>
          </w:p>
        </w:tc>
        <w:tc>
          <w:tcPr>
            <w:tcW w:type="dxa" w:w="1450"/>
            <w:shd w:fill="1C5CAB" w:color="auto" w:val="clear"/>
            <w:tcMar>
              <w:top w:type="dxa" w:w="80"/>
              <w:left w:type="dxa" w:w="110"/>
              <w:bottom w:type="dxa" w:w="80"/>
              <w:right w:type="dxa" w:w="110"/>
            </w:tcMar>
          </w:tcPr>
          <w:p>
            <w:pPr>
              <w:spacing w:after="0"/>
            </w:pPr>
            <w:r>
              <w:rPr>
                <w:b/>
                <w:bCs/>
                <w:color w:val="FFFFFF"/>
                <w:sz w:val="18"/>
                <w:szCs w:val="18"/>
              </w:rPr>
              <w:t xml:space="preserve">Fase / contexto</w:t>
            </w:r>
          </w:p>
        </w:tc>
        <w:tc>
          <w:tcPr>
            <w:tcW w:type="dxa" w:w="1220"/>
            <w:shd w:fill="1C5CAB" w:color="auto" w:val="clear"/>
            <w:tcMar>
              <w:top w:type="dxa" w:w="80"/>
              <w:left w:type="dxa" w:w="110"/>
              <w:bottom w:type="dxa" w:w="80"/>
              <w:right w:type="dxa" w:w="110"/>
            </w:tcMar>
          </w:tcPr>
          <w:p>
            <w:pPr>
              <w:spacing w:after="0"/>
            </w:pPr>
            <w:r>
              <w:rPr>
                <w:b/>
                <w:bCs/>
                <w:color w:val="FFFFFF"/>
                <w:sz w:val="18"/>
                <w:szCs w:val="18"/>
              </w:rPr>
              <w:t xml:space="preserve">Diseño</w:t>
            </w:r>
          </w:p>
        </w:tc>
        <w:tc>
          <w:tcPr>
            <w:tcW w:type="dxa" w:w="780"/>
            <w:shd w:fill="1C5CAB" w:color="auto" w:val="clear"/>
            <w:tcMar>
              <w:top w:type="dxa" w:w="80"/>
              <w:left w:type="dxa" w:w="110"/>
              <w:bottom w:type="dxa" w:w="80"/>
              <w:right w:type="dxa" w:w="110"/>
            </w:tcMar>
          </w:tcPr>
          <w:p>
            <w:pPr>
              <w:spacing w:after="0"/>
            </w:pPr>
            <w:r>
              <w:rPr>
                <w:b/>
                <w:bCs/>
                <w:color w:val="FFFFFF"/>
                <w:sz w:val="18"/>
                <w:szCs w:val="18"/>
              </w:rPr>
              <w:t xml:space="preserve">Instrum.</w:t>
            </w:r>
          </w:p>
        </w:tc>
        <w:tc>
          <w:tcPr>
            <w:tcW w:type="dxa" w:w="3040"/>
            <w:shd w:fill="1C5CAB" w:color="auto" w:val="clear"/>
            <w:tcMar>
              <w:top w:type="dxa" w:w="80"/>
              <w:left w:type="dxa" w:w="110"/>
              <w:bottom w:type="dxa" w:w="80"/>
              <w:right w:type="dxa" w:w="110"/>
            </w:tcMar>
          </w:tcPr>
          <w:p>
            <w:pPr>
              <w:spacing w:after="0"/>
            </w:pPr>
            <w:r>
              <w:rPr>
                <w:b/>
                <w:bCs/>
                <w:color w:val="FFFFFF"/>
                <w:sz w:val="18"/>
                <w:szCs w:val="18"/>
              </w:rPr>
              <w:t xml:space="preserve">Resultado principal</w:t>
            </w:r>
          </w:p>
        </w:tc>
      </w:tr>
      <w:tr>
        <w:tc>
          <w:tcPr>
            <w:tcW w:type="dxa" w:w="1750"/>
            <w:tcMar>
              <w:top w:type="dxa" w:w="80"/>
              <w:left w:type="dxa" w:w="110"/>
              <w:bottom w:type="dxa" w:w="80"/>
              <w:right w:type="dxa" w:w="110"/>
            </w:tcMar>
          </w:tcPr>
          <w:p>
            <w:pPr>
              <w:spacing w:after="0"/>
            </w:pPr>
            <w:r>
              <w:rPr>
                <w:b w:val="false"/>
                <w:bCs w:val="false"/>
                <w:color w:val="0B0B0B"/>
                <w:sz w:val="18"/>
                <w:szCs w:val="18"/>
              </w:rPr>
              <w:t xml:space="preserve">ESTE ESTUDIO (Clínica Alemana Temuco, Chile)</w:t>
            </w:r>
          </w:p>
        </w:tc>
        <w:tc>
          <w:tcPr>
            <w:tcW w:type="dxa" w:w="780"/>
            <w:tcMar>
              <w:top w:type="dxa" w:w="80"/>
              <w:left w:type="dxa" w:w="110"/>
              <w:bottom w:type="dxa" w:w="80"/>
              <w:right w:type="dxa" w:w="110"/>
            </w:tcMar>
          </w:tcPr>
          <w:p>
            <w:pPr>
              <w:spacing w:after="0"/>
            </w:pPr>
            <w:r>
              <w:rPr>
                <w:b w:val="false"/>
                <w:bCs w:val="false"/>
                <w:color w:val="0B0B0B"/>
                <w:sz w:val="18"/>
                <w:szCs w:val="18"/>
              </w:rPr>
              <w:t xml:space="preserve">104 (78 pareados)</w:t>
            </w:r>
          </w:p>
        </w:tc>
        <w:tc>
          <w:tcPr>
            <w:tcW w:type="dxa" w:w="1450"/>
            <w:tcMar>
              <w:top w:type="dxa" w:w="80"/>
              <w:left w:type="dxa" w:w="110"/>
              <w:bottom w:type="dxa" w:w="80"/>
              <w:right w:type="dxa" w:w="110"/>
            </w:tcMar>
          </w:tcPr>
          <w:p>
            <w:pPr>
              <w:spacing w:after="0"/>
            </w:pPr>
            <w:r>
              <w:rPr>
                <w:b w:val="false"/>
                <w:bCs w:val="false"/>
                <w:color w:val="0B0B0B"/>
                <w:sz w:val="18"/>
                <w:szCs w:val="18"/>
              </w:rPr>
              <w:t xml:space="preserve">Aguda hospitalaria; mediana 5 días</w:t>
            </w:r>
          </w:p>
        </w:tc>
        <w:tc>
          <w:tcPr>
            <w:tcW w:type="dxa" w:w="1220"/>
            <w:tcMar>
              <w:top w:type="dxa" w:w="80"/>
              <w:left w:type="dxa" w:w="110"/>
              <w:bottom w:type="dxa" w:w="80"/>
              <w:right w:type="dxa" w:w="110"/>
            </w:tcMar>
          </w:tcPr>
          <w:p>
            <w:pPr>
              <w:spacing w:after="0"/>
            </w:pPr>
            <w:r>
              <w:rPr>
                <w:b w:val="false"/>
                <w:bCs w:val="false"/>
                <w:color w:val="0B0B0B"/>
                <w:sz w:val="18"/>
                <w:szCs w:val="18"/>
              </w:rPr>
              <w:t xml:space="preserve">Cohorte retrospectiva</w:t>
            </w:r>
          </w:p>
        </w:tc>
        <w:tc>
          <w:tcPr>
            <w:tcW w:type="dxa" w:w="780"/>
            <w:tcMar>
              <w:top w:type="dxa" w:w="80"/>
              <w:left w:type="dxa" w:w="110"/>
              <w:bottom w:type="dxa" w:w="80"/>
              <w:right w:type="dxa" w:w="110"/>
            </w:tcMar>
          </w:tcPr>
          <w:p>
            <w:pPr>
              <w:spacing w:after="0"/>
            </w:pPr>
            <w:r>
              <w:rPr>
                <w:b w:val="false"/>
                <w:bCs w:val="false"/>
                <w:color w:val="0B0B0B"/>
                <w:sz w:val="18"/>
                <w:szCs w:val="18"/>
              </w:rPr>
              <w:t xml:space="preserve">BI, MMSE</w:t>
            </w:r>
          </w:p>
        </w:tc>
        <w:tc>
          <w:tcPr>
            <w:tcW w:type="dxa" w:w="3040"/>
            <w:tcMar>
              <w:top w:type="dxa" w:w="80"/>
              <w:left w:type="dxa" w:w="110"/>
              <w:bottom w:type="dxa" w:w="80"/>
              <w:right w:type="dxa" w:w="110"/>
            </w:tcMar>
          </w:tcPr>
          <w:p>
            <w:pPr>
              <w:spacing w:after="0"/>
            </w:pPr>
            <w:r>
              <w:rPr>
                <w:b w:val="false"/>
                <w:bCs w:val="false"/>
                <w:color w:val="0B0B0B"/>
                <w:sz w:val="18"/>
                <w:szCs w:val="18"/>
              </w:rPr>
              <w:t xml:space="preserve">ΔBI +27,9 pts; 55,1% mejora ≥1 categoría; 0/78 desciende de categoría (98,7% sin deterioro de puntaje); 84,0% de los severos (BI 20–35) alcanza dependencia leve o independencia</w:t>
            </w:r>
          </w:p>
        </w:tc>
      </w:tr>
      <w:tr>
        <w:tc>
          <w:tcPr>
            <w:tcW w:type="dxa" w:w="1750"/>
            <w:shd w:fill="EEF4FC" w:color="auto" w:val="clear"/>
            <w:tcMar>
              <w:top w:type="dxa" w:w="80"/>
              <w:left w:type="dxa" w:w="110"/>
              <w:bottom w:type="dxa" w:w="80"/>
              <w:right w:type="dxa" w:w="110"/>
            </w:tcMar>
          </w:tcPr>
          <w:p>
            <w:pPr>
              <w:spacing w:after="0"/>
            </w:pPr>
            <w:r>
              <w:rPr>
                <w:b w:val="false"/>
                <w:bCs w:val="false"/>
                <w:color w:val="0B0B0B"/>
                <w:sz w:val="18"/>
                <w:szCs w:val="18"/>
              </w:rPr>
              <w:t xml:space="preserve">Lai et al., Singapur (2025) — Ref. 12</w:t>
            </w:r>
          </w:p>
        </w:tc>
        <w:tc>
          <w:tcPr>
            <w:tcW w:type="dxa" w:w="780"/>
            <w:shd w:fill="EEF4FC" w:color="auto" w:val="clear"/>
            <w:tcMar>
              <w:top w:type="dxa" w:w="80"/>
              <w:left w:type="dxa" w:w="110"/>
              <w:bottom w:type="dxa" w:w="80"/>
              <w:right w:type="dxa" w:w="110"/>
            </w:tcMar>
          </w:tcPr>
          <w:p>
            <w:pPr>
              <w:spacing w:after="0"/>
            </w:pPr>
            <w:r>
              <w:rPr>
                <w:b w:val="false"/>
                <w:bCs w:val="false"/>
                <w:color w:val="0B0B0B"/>
                <w:sz w:val="18"/>
                <w:szCs w:val="18"/>
              </w:rPr>
              <w:t xml:space="preserve">216</w:t>
            </w:r>
          </w:p>
        </w:tc>
        <w:tc>
          <w:tcPr>
            <w:tcW w:type="dxa" w:w="1450"/>
            <w:shd w:fill="EEF4FC" w:color="auto" w:val="clear"/>
            <w:tcMar>
              <w:top w:type="dxa" w:w="80"/>
              <w:left w:type="dxa" w:w="110"/>
              <w:bottom w:type="dxa" w:w="80"/>
              <w:right w:type="dxa" w:w="110"/>
            </w:tcMar>
          </w:tcPr>
          <w:p>
            <w:pPr>
              <w:spacing w:after="0"/>
            </w:pPr>
            <w:r>
              <w:rPr>
                <w:b w:val="false"/>
                <w:bCs w:val="false"/>
                <w:color w:val="0B0B0B"/>
                <w:sz w:val="18"/>
                <w:szCs w:val="18"/>
              </w:rPr>
              <w:t xml:space="preserve">Hospital comunitario, rehabilitación de internación</w:t>
            </w:r>
          </w:p>
        </w:tc>
        <w:tc>
          <w:tcPr>
            <w:tcW w:type="dxa" w:w="1220"/>
            <w:shd w:fill="EEF4FC" w:color="auto" w:val="clear"/>
            <w:tcMar>
              <w:top w:type="dxa" w:w="80"/>
              <w:left w:type="dxa" w:w="110"/>
              <w:bottom w:type="dxa" w:w="80"/>
              <w:right w:type="dxa" w:w="110"/>
            </w:tcMar>
          </w:tcPr>
          <w:p>
            <w:pPr>
              <w:spacing w:after="0"/>
            </w:pPr>
            <w:r>
              <w:rPr>
                <w:b w:val="false"/>
                <w:bCs w:val="false"/>
                <w:color w:val="0B0B0B"/>
                <w:sz w:val="18"/>
                <w:szCs w:val="18"/>
              </w:rPr>
              <w:t xml:space="preserve">Cohorte prospectiva</w:t>
            </w:r>
          </w:p>
        </w:tc>
        <w:tc>
          <w:tcPr>
            <w:tcW w:type="dxa" w:w="780"/>
            <w:shd w:fill="EEF4FC" w:color="auto" w:val="clear"/>
            <w:tcMar>
              <w:top w:type="dxa" w:w="80"/>
              <w:left w:type="dxa" w:w="110"/>
              <w:bottom w:type="dxa" w:w="80"/>
              <w:right w:type="dxa" w:w="110"/>
            </w:tcMar>
          </w:tcPr>
          <w:p>
            <w:pPr>
              <w:spacing w:after="0"/>
            </w:pPr>
            <w:r>
              <w:rPr>
                <w:b w:val="false"/>
                <w:bCs w:val="false"/>
                <w:color w:val="0B0B0B"/>
                <w:sz w:val="18"/>
                <w:szCs w:val="18"/>
              </w:rPr>
              <w:t xml:space="preserve">mBI</w:t>
            </w:r>
          </w:p>
        </w:tc>
        <w:tc>
          <w:tcPr>
            <w:tcW w:type="dxa" w:w="3040"/>
            <w:shd w:fill="EEF4FC" w:color="auto" w:val="clear"/>
            <w:tcMar>
              <w:top w:type="dxa" w:w="80"/>
              <w:left w:type="dxa" w:w="110"/>
              <w:bottom w:type="dxa" w:w="80"/>
              <w:right w:type="dxa" w:w="110"/>
            </w:tcMar>
          </w:tcPr>
          <w:p>
            <w:pPr>
              <w:spacing w:after="0"/>
            </w:pPr>
            <w:r>
              <w:rPr>
                <w:b w:val="false"/>
                <w:bCs w:val="false"/>
                <w:color w:val="0B0B0B"/>
                <w:sz w:val="18"/>
                <w:szCs w:val="18"/>
              </w:rPr>
              <w:t xml:space="preserve">MISMO DESENLACE PRIMARIO: mejora funcional significativa definida como aumento de al menos un nivel de mBI, medido de ingreso a egreso. Edad media 71,2 años (la de esta cohorte: 71,5)</w:t>
            </w:r>
          </w:p>
        </w:tc>
      </w:tr>
      <w:tr>
        <w:tc>
          <w:tcPr>
            <w:tcW w:type="dxa" w:w="1750"/>
            <w:tcMar>
              <w:top w:type="dxa" w:w="80"/>
              <w:left w:type="dxa" w:w="110"/>
              <w:bottom w:type="dxa" w:w="80"/>
              <w:right w:type="dxa" w:w="110"/>
            </w:tcMar>
          </w:tcPr>
          <w:p>
            <w:pPr>
              <w:spacing w:after="0"/>
            </w:pPr>
            <w:r>
              <w:rPr>
                <w:b w:val="false"/>
                <w:bCs w:val="false"/>
                <w:color w:val="0B0B0B"/>
                <w:sz w:val="18"/>
                <w:szCs w:val="18"/>
              </w:rPr>
              <w:t xml:space="preserve">Butsing et al., Tailandia (2025) — Ref. 13</w:t>
            </w:r>
          </w:p>
        </w:tc>
        <w:tc>
          <w:tcPr>
            <w:tcW w:type="dxa" w:w="780"/>
            <w:tcMar>
              <w:top w:type="dxa" w:w="80"/>
              <w:left w:type="dxa" w:w="110"/>
              <w:bottom w:type="dxa" w:w="80"/>
              <w:right w:type="dxa" w:w="110"/>
            </w:tcMar>
          </w:tcPr>
          <w:p>
            <w:pPr>
              <w:spacing w:after="0"/>
            </w:pPr>
            <w:r>
              <w:rPr>
                <w:b w:val="false"/>
                <w:bCs w:val="false"/>
                <w:color w:val="0B0B0B"/>
                <w:sz w:val="18"/>
                <w:szCs w:val="18"/>
              </w:rPr>
              <w:t xml:space="preserve">155</w:t>
            </w:r>
          </w:p>
        </w:tc>
        <w:tc>
          <w:tcPr>
            <w:tcW w:type="dxa" w:w="1450"/>
            <w:tcMar>
              <w:top w:type="dxa" w:w="80"/>
              <w:left w:type="dxa" w:w="110"/>
              <w:bottom w:type="dxa" w:w="80"/>
              <w:right w:type="dxa" w:w="110"/>
            </w:tcMar>
          </w:tcPr>
          <w:p>
            <w:pPr>
              <w:spacing w:after="0"/>
            </w:pPr>
            <w:r>
              <w:rPr>
                <w:b w:val="false"/>
                <w:bCs w:val="false"/>
                <w:color w:val="0B0B0B"/>
                <w:sz w:val="18"/>
                <w:szCs w:val="18"/>
              </w:rPr>
              <w:t xml:space="preserve">Unidad de ACV agudo, primer ACV</w:t>
            </w:r>
          </w:p>
        </w:tc>
        <w:tc>
          <w:tcPr>
            <w:tcW w:type="dxa" w:w="1220"/>
            <w:tcMar>
              <w:top w:type="dxa" w:w="80"/>
              <w:left w:type="dxa" w:w="110"/>
              <w:bottom w:type="dxa" w:w="80"/>
              <w:right w:type="dxa" w:w="110"/>
            </w:tcMar>
          </w:tcPr>
          <w:p>
            <w:pPr>
              <w:spacing w:after="0"/>
            </w:pPr>
            <w:r>
              <w:rPr>
                <w:b w:val="false"/>
                <w:bCs w:val="false"/>
                <w:color w:val="0B0B0B"/>
                <w:sz w:val="18"/>
                <w:szCs w:val="18"/>
              </w:rPr>
              <w:t xml:space="preserve">Cohorte longitudinal</w:t>
            </w:r>
          </w:p>
        </w:tc>
        <w:tc>
          <w:tcPr>
            <w:tcW w:type="dxa" w:w="780"/>
            <w:tcMar>
              <w:top w:type="dxa" w:w="80"/>
              <w:left w:type="dxa" w:w="110"/>
              <w:bottom w:type="dxa" w:w="80"/>
              <w:right w:type="dxa" w:w="110"/>
            </w:tcMar>
          </w:tcPr>
          <w:p>
            <w:pPr>
              <w:spacing w:after="0"/>
            </w:pPr>
            <w:r>
              <w:rPr>
                <w:b w:val="false"/>
                <w:bCs w:val="false"/>
                <w:color w:val="0B0B0B"/>
                <w:sz w:val="18"/>
                <w:szCs w:val="18"/>
              </w:rPr>
              <w:t xml:space="preserve">BI, mRS</w:t>
            </w:r>
          </w:p>
        </w:tc>
        <w:tc>
          <w:tcPr>
            <w:tcW w:type="dxa" w:w="3040"/>
            <w:tcMar>
              <w:top w:type="dxa" w:w="80"/>
              <w:left w:type="dxa" w:w="110"/>
              <w:bottom w:type="dxa" w:w="80"/>
              <w:right w:type="dxa" w:w="110"/>
            </w:tcMar>
          </w:tcPr>
          <w:p>
            <w:pPr>
              <w:spacing w:after="0"/>
            </w:pPr>
            <w:r>
              <w:rPr>
                <w:b w:val="false"/>
                <w:bCs w:val="false"/>
                <w:color w:val="0B0B0B"/>
                <w:sz w:val="18"/>
                <w:szCs w:val="18"/>
              </w:rPr>
              <w:t xml:space="preserve">Mismo entorno (unidad de ACV agudo), pero mide la trayectoria desde el egreso hasta 6 meses, no el cambio durante la hospitalización</w:t>
            </w:r>
          </w:p>
        </w:tc>
      </w:tr>
      <w:tr>
        <w:tc>
          <w:tcPr>
            <w:tcW w:type="dxa" w:w="1750"/>
            <w:shd w:fill="EEF4FC" w:color="auto" w:val="clear"/>
            <w:tcMar>
              <w:top w:type="dxa" w:w="80"/>
              <w:left w:type="dxa" w:w="110"/>
              <w:bottom w:type="dxa" w:w="80"/>
              <w:right w:type="dxa" w:w="110"/>
            </w:tcMar>
          </w:tcPr>
          <w:p>
            <w:pPr>
              <w:spacing w:after="0"/>
            </w:pPr>
            <w:r>
              <w:rPr>
                <w:b w:val="false"/>
                <w:bCs w:val="false"/>
                <w:color w:val="0B0B0B"/>
                <w:sz w:val="18"/>
                <w:szCs w:val="18"/>
              </w:rPr>
              <w:t xml:space="preserve">Sci Rep (2025) — Ref. 2</w:t>
            </w:r>
          </w:p>
        </w:tc>
        <w:tc>
          <w:tcPr>
            <w:tcW w:type="dxa" w:w="780"/>
            <w:shd w:fill="EEF4FC" w:color="auto" w:val="clear"/>
            <w:tcMar>
              <w:top w:type="dxa" w:w="80"/>
              <w:left w:type="dxa" w:w="110"/>
              <w:bottom w:type="dxa" w:w="80"/>
              <w:right w:type="dxa" w:w="110"/>
            </w:tcMar>
          </w:tcPr>
          <w:p>
            <w:pPr>
              <w:spacing w:after="0"/>
            </w:pPr>
            <w:r>
              <w:rPr>
                <w:b w:val="false"/>
                <w:bCs w:val="false"/>
                <w:color w:val="0B0B0B"/>
                <w:sz w:val="18"/>
                <w:szCs w:val="18"/>
              </w:rPr>
              <w:t xml:space="preserve">39.140</w:t>
            </w:r>
          </w:p>
        </w:tc>
        <w:tc>
          <w:tcPr>
            <w:tcW w:type="dxa" w:w="1450"/>
            <w:shd w:fill="EEF4FC" w:color="auto" w:val="clear"/>
            <w:tcMar>
              <w:top w:type="dxa" w:w="80"/>
              <w:left w:type="dxa" w:w="110"/>
              <w:bottom w:type="dxa" w:w="80"/>
              <w:right w:type="dxa" w:w="110"/>
            </w:tcMar>
          </w:tcPr>
          <w:p>
            <w:pPr>
              <w:spacing w:after="0"/>
            </w:pPr>
            <w:r>
              <w:rPr>
                <w:b w:val="false"/>
                <w:bCs w:val="false"/>
                <w:color w:val="0B0B0B"/>
                <w:sz w:val="18"/>
                <w:szCs w:val="18"/>
              </w:rPr>
              <w:t xml:space="preserve">Aguda (≤14 días)</w:t>
            </w:r>
          </w:p>
        </w:tc>
        <w:tc>
          <w:tcPr>
            <w:tcW w:type="dxa" w:w="1220"/>
            <w:shd w:fill="EEF4FC" w:color="auto" w:val="clear"/>
            <w:tcMar>
              <w:top w:type="dxa" w:w="80"/>
              <w:left w:type="dxa" w:w="110"/>
              <w:bottom w:type="dxa" w:w="80"/>
              <w:right w:type="dxa" w:w="110"/>
            </w:tcMar>
          </w:tcPr>
          <w:p>
            <w:pPr>
              <w:spacing w:after="0"/>
            </w:pPr>
            <w:r>
              <w:rPr>
                <w:b w:val="false"/>
                <w:bCs w:val="false"/>
                <w:color w:val="0B0B0B"/>
                <w:sz w:val="18"/>
                <w:szCs w:val="18"/>
              </w:rPr>
              <w:t xml:space="preserve">Cohorte nacional, pareo por propensión</w:t>
            </w:r>
          </w:p>
        </w:tc>
        <w:tc>
          <w:tcPr>
            <w:tcW w:type="dxa" w:w="780"/>
            <w:shd w:fill="EEF4FC" w:color="auto" w:val="clear"/>
            <w:tcMar>
              <w:top w:type="dxa" w:w="80"/>
              <w:left w:type="dxa" w:w="110"/>
              <w:bottom w:type="dxa" w:w="80"/>
              <w:right w:type="dxa" w:w="110"/>
            </w:tcMar>
          </w:tcPr>
          <w:p>
            <w:pPr>
              <w:spacing w:after="0"/>
            </w:pPr>
            <w:r>
              <w:rPr>
                <w:b w:val="false"/>
                <w:bCs w:val="false"/>
                <w:color w:val="0B0B0B"/>
                <w:sz w:val="18"/>
                <w:szCs w:val="18"/>
              </w:rPr>
              <w:t xml:space="preserve">mRS</w:t>
            </w:r>
          </w:p>
        </w:tc>
        <w:tc>
          <w:tcPr>
            <w:tcW w:type="dxa" w:w="3040"/>
            <w:shd w:fill="EEF4FC" w:color="auto" w:val="clear"/>
            <w:tcMar>
              <w:top w:type="dxa" w:w="80"/>
              <w:left w:type="dxa" w:w="110"/>
              <w:bottom w:type="dxa" w:w="80"/>
              <w:right w:type="dxa" w:w="110"/>
            </w:tcMar>
          </w:tcPr>
          <w:p>
            <w:pPr>
              <w:spacing w:after="0"/>
            </w:pPr>
            <w:r>
              <w:rPr>
                <w:b w:val="false"/>
                <w:bCs w:val="false"/>
                <w:color w:val="0B0B0B"/>
                <w:sz w:val="18"/>
                <w:szCs w:val="18"/>
              </w:rPr>
              <w:t xml:space="preserve">Rehabilitación ≥60 min/día: el cuartil de mayor beneficio se caracteriza por compromiso grave de AVD basal (efecto medio +17,1%; IC95% 15,3–19,0). El estado de AVD es el principal determinante de heterogeneidad</w:t>
            </w:r>
          </w:p>
        </w:tc>
      </w:tr>
      <w:tr>
        <w:tc>
          <w:tcPr>
            <w:tcW w:type="dxa" w:w="1750"/>
            <w:tcMar>
              <w:top w:type="dxa" w:w="80"/>
              <w:left w:type="dxa" w:w="110"/>
              <w:bottom w:type="dxa" w:w="80"/>
              <w:right w:type="dxa" w:w="110"/>
            </w:tcMar>
          </w:tcPr>
          <w:p>
            <w:pPr>
              <w:spacing w:after="0"/>
            </w:pPr>
            <w:r>
              <w:rPr>
                <w:b w:val="false"/>
                <w:bCs w:val="false"/>
                <w:color w:val="0B0B0B"/>
                <w:sz w:val="18"/>
                <w:szCs w:val="18"/>
              </w:rPr>
              <w:t xml:space="preserve">Triantis &amp; Liu (2024) — Ref. 4</w:t>
            </w:r>
          </w:p>
        </w:tc>
        <w:tc>
          <w:tcPr>
            <w:tcW w:type="dxa" w:w="780"/>
            <w:tcMar>
              <w:top w:type="dxa" w:w="80"/>
              <w:left w:type="dxa" w:w="110"/>
              <w:bottom w:type="dxa" w:w="80"/>
              <w:right w:type="dxa" w:w="110"/>
            </w:tcMar>
          </w:tcPr>
          <w:p>
            <w:pPr>
              <w:spacing w:after="0"/>
            </w:pPr>
            <w:r>
              <w:rPr>
                <w:b w:val="false"/>
                <w:bCs w:val="false"/>
                <w:color w:val="0B0B0B"/>
                <w:sz w:val="18"/>
                <w:szCs w:val="18"/>
              </w:rPr>
              <w:t xml:space="preserve">602 (14 ECA)</w:t>
            </w:r>
          </w:p>
        </w:tc>
        <w:tc>
          <w:tcPr>
            <w:tcW w:type="dxa" w:w="1450"/>
            <w:tcMar>
              <w:top w:type="dxa" w:w="80"/>
              <w:left w:type="dxa" w:w="110"/>
              <w:bottom w:type="dxa" w:w="80"/>
              <w:right w:type="dxa" w:w="110"/>
            </w:tcMar>
          </w:tcPr>
          <w:p>
            <w:pPr>
              <w:spacing w:after="0"/>
            </w:pPr>
            <w:r>
              <w:rPr>
                <w:b w:val="false"/>
                <w:bCs w:val="false"/>
                <w:color w:val="0B0B0B"/>
                <w:sz w:val="18"/>
                <w:szCs w:val="18"/>
              </w:rPr>
              <w:t xml:space="preserve">Hospitalizados post-ACV</w:t>
            </w:r>
          </w:p>
        </w:tc>
        <w:tc>
          <w:tcPr>
            <w:tcW w:type="dxa" w:w="1220"/>
            <w:tcMar>
              <w:top w:type="dxa" w:w="80"/>
              <w:left w:type="dxa" w:w="110"/>
              <w:bottom w:type="dxa" w:w="80"/>
              <w:right w:type="dxa" w:w="110"/>
            </w:tcMar>
          </w:tcPr>
          <w:p>
            <w:pPr>
              <w:spacing w:after="0"/>
            </w:pPr>
            <w:r>
              <w:rPr>
                <w:b w:val="false"/>
                <w:bCs w:val="false"/>
                <w:color w:val="0B0B0B"/>
                <w:sz w:val="18"/>
                <w:szCs w:val="18"/>
              </w:rPr>
              <w:t xml:space="preserve">Revisión sistemática y metaanálisis</w:t>
            </w:r>
          </w:p>
        </w:tc>
        <w:tc>
          <w:tcPr>
            <w:tcW w:type="dxa" w:w="780"/>
            <w:tcMar>
              <w:top w:type="dxa" w:w="80"/>
              <w:left w:type="dxa" w:w="110"/>
              <w:bottom w:type="dxa" w:w="80"/>
              <w:right w:type="dxa" w:w="110"/>
            </w:tcMar>
          </w:tcPr>
          <w:p>
            <w:pPr>
              <w:spacing w:after="0"/>
            </w:pPr>
            <w:r>
              <w:rPr>
                <w:b w:val="false"/>
                <w:bCs w:val="false"/>
                <w:color w:val="0B0B0B"/>
                <w:sz w:val="18"/>
                <w:szCs w:val="18"/>
              </w:rPr>
              <w:t xml:space="preserve">AVD</w:t>
            </w:r>
          </w:p>
        </w:tc>
        <w:tc>
          <w:tcPr>
            <w:tcW w:type="dxa" w:w="3040"/>
            <w:tcMar>
              <w:top w:type="dxa" w:w="80"/>
              <w:left w:type="dxa" w:w="110"/>
              <w:bottom w:type="dxa" w:w="80"/>
              <w:right w:type="dxa" w:w="110"/>
            </w:tcMar>
          </w:tcPr>
          <w:p>
            <w:pPr>
              <w:spacing w:after="0"/>
            </w:pPr>
            <w:r>
              <w:rPr>
                <w:b w:val="false"/>
                <w:bCs w:val="false"/>
                <w:color w:val="0B0B0B"/>
                <w:sz w:val="18"/>
                <w:szCs w:val="18"/>
              </w:rPr>
              <w:t xml:space="preserve">Sin diferencia significativa entre grupos, porque ambos brazos recibieron intervención en AVD: la intervención en AVD es el estándar comparador, no un brazo inactivo</w:t>
            </w:r>
          </w:p>
        </w:tc>
      </w:tr>
      <w:tr>
        <w:tc>
          <w:tcPr>
            <w:tcW w:type="dxa" w:w="1750"/>
            <w:shd w:fill="EEF4FC" w:color="auto" w:val="clear"/>
            <w:tcMar>
              <w:top w:type="dxa" w:w="80"/>
              <w:left w:type="dxa" w:w="110"/>
              <w:bottom w:type="dxa" w:w="80"/>
              <w:right w:type="dxa" w:w="110"/>
            </w:tcMar>
          </w:tcPr>
          <w:p>
            <w:pPr>
              <w:spacing w:after="0"/>
            </w:pPr>
            <w:r>
              <w:rPr>
                <w:b w:val="false"/>
                <w:bCs w:val="false"/>
                <w:color w:val="0B0B0B"/>
                <w:sz w:val="18"/>
                <w:szCs w:val="18"/>
              </w:rPr>
              <w:t xml:space="preserve">EOTIPS (2024) — Ref. 6</w:t>
            </w:r>
          </w:p>
        </w:tc>
        <w:tc>
          <w:tcPr>
            <w:tcW w:type="dxa" w:w="780"/>
            <w:shd w:fill="EEF4FC" w:color="auto" w:val="clear"/>
            <w:tcMar>
              <w:top w:type="dxa" w:w="80"/>
              <w:left w:type="dxa" w:w="110"/>
              <w:bottom w:type="dxa" w:w="80"/>
              <w:right w:type="dxa" w:w="110"/>
            </w:tcMar>
          </w:tcPr>
          <w:p>
            <w:pPr>
              <w:spacing w:after="0"/>
            </w:pPr>
            <w:r>
              <w:rPr>
                <w:b w:val="false"/>
                <w:bCs w:val="false"/>
                <w:color w:val="0B0B0B"/>
                <w:sz w:val="18"/>
                <w:szCs w:val="18"/>
              </w:rPr>
              <w:t xml:space="preserve">60</w:t>
            </w:r>
          </w:p>
        </w:tc>
        <w:tc>
          <w:tcPr>
            <w:tcW w:type="dxa" w:w="1450"/>
            <w:shd w:fill="EEF4FC" w:color="auto" w:val="clear"/>
            <w:tcMar>
              <w:top w:type="dxa" w:w="80"/>
              <w:left w:type="dxa" w:w="110"/>
              <w:bottom w:type="dxa" w:w="80"/>
              <w:right w:type="dxa" w:w="110"/>
            </w:tcMar>
          </w:tcPr>
          <w:p>
            <w:pPr>
              <w:spacing w:after="0"/>
            </w:pPr>
            <w:r>
              <w:rPr>
                <w:b w:val="false"/>
                <w:bCs w:val="false"/>
                <w:color w:val="0B0B0B"/>
                <w:sz w:val="18"/>
                <w:szCs w:val="18"/>
              </w:rPr>
              <w:t xml:space="preserve">Post-alta domiciliaria (~3 meses)</w:t>
            </w:r>
          </w:p>
        </w:tc>
        <w:tc>
          <w:tcPr>
            <w:tcW w:type="dxa" w:w="1220"/>
            <w:shd w:fill="EEF4FC" w:color="auto" w:val="clear"/>
            <w:tcMar>
              <w:top w:type="dxa" w:w="80"/>
              <w:left w:type="dxa" w:w="110"/>
              <w:bottom w:type="dxa" w:w="80"/>
              <w:right w:type="dxa" w:w="110"/>
            </w:tcMar>
          </w:tcPr>
          <w:p>
            <w:pPr>
              <w:spacing w:after="0"/>
            </w:pPr>
            <w:r>
              <w:rPr>
                <w:b w:val="false"/>
                <w:bCs w:val="false"/>
                <w:color w:val="0B0B0B"/>
                <w:sz w:val="18"/>
                <w:szCs w:val="18"/>
              </w:rPr>
              <w:t xml:space="preserve">ECA</w:t>
            </w:r>
          </w:p>
        </w:tc>
        <w:tc>
          <w:tcPr>
            <w:tcW w:type="dxa" w:w="780"/>
            <w:shd w:fill="EEF4FC" w:color="auto" w:val="clear"/>
            <w:tcMar>
              <w:top w:type="dxa" w:w="80"/>
              <w:left w:type="dxa" w:w="110"/>
              <w:bottom w:type="dxa" w:w="80"/>
              <w:right w:type="dxa" w:w="110"/>
            </w:tcMar>
          </w:tcPr>
          <w:p>
            <w:pPr>
              <w:spacing w:after="0"/>
            </w:pPr>
            <w:r>
              <w:rPr>
                <w:b w:val="false"/>
                <w:bCs w:val="false"/>
                <w:color w:val="0B0B0B"/>
                <w:sz w:val="18"/>
                <w:szCs w:val="18"/>
              </w:rPr>
              <w:t xml:space="preserve">BI</w:t>
            </w:r>
          </w:p>
        </w:tc>
        <w:tc>
          <w:tcPr>
            <w:tcW w:type="dxa" w:w="3040"/>
            <w:shd w:fill="EEF4FC" w:color="auto" w:val="clear"/>
            <w:tcMar>
              <w:top w:type="dxa" w:w="80"/>
              <w:left w:type="dxa" w:w="110"/>
              <w:bottom w:type="dxa" w:w="80"/>
              <w:right w:type="dxa" w:w="110"/>
            </w:tcMar>
          </w:tcPr>
          <w:p>
            <w:pPr>
              <w:spacing w:after="0"/>
            </w:pPr>
            <w:r>
              <w:rPr>
                <w:b w:val="false"/>
                <w:bCs w:val="false"/>
                <w:color w:val="0B0B0B"/>
                <w:sz w:val="18"/>
                <w:szCs w:val="18"/>
              </w:rPr>
              <w:t xml:space="preserve">BI 52,5→85,0 (control) y 54,7→90,0 (experimental); cambio ~+32 a +35 pts; sin diferencia significativa entre grupos (F=0,46; p=0,496)</w:t>
            </w:r>
          </w:p>
        </w:tc>
      </w:tr>
      <w:tr>
        <w:tc>
          <w:tcPr>
            <w:tcW w:type="dxa" w:w="1750"/>
            <w:tcMar>
              <w:top w:type="dxa" w:w="80"/>
              <w:left w:type="dxa" w:w="110"/>
              <w:bottom w:type="dxa" w:w="80"/>
              <w:right w:type="dxa" w:w="110"/>
            </w:tcMar>
          </w:tcPr>
          <w:p>
            <w:pPr>
              <w:spacing w:after="0"/>
            </w:pPr>
            <w:r>
              <w:rPr>
                <w:b w:val="false"/>
                <w:bCs w:val="false"/>
                <w:color w:val="0B0B0B"/>
                <w:sz w:val="18"/>
                <w:szCs w:val="18"/>
              </w:rPr>
              <w:t xml:space="preserve">J Formos Med Assoc (2021) — Ref. 7</w:t>
            </w:r>
          </w:p>
        </w:tc>
        <w:tc>
          <w:tcPr>
            <w:tcW w:type="dxa" w:w="780"/>
            <w:tcMar>
              <w:top w:type="dxa" w:w="80"/>
              <w:left w:type="dxa" w:w="110"/>
              <w:bottom w:type="dxa" w:w="80"/>
              <w:right w:type="dxa" w:w="110"/>
            </w:tcMar>
          </w:tcPr>
          <w:p>
            <w:pPr>
              <w:spacing w:after="0"/>
            </w:pPr>
            <w:r>
              <w:rPr>
                <w:b w:val="false"/>
                <w:bCs w:val="false"/>
                <w:color w:val="0B0B0B"/>
                <w:sz w:val="18"/>
                <w:szCs w:val="18"/>
              </w:rPr>
              <w:t xml:space="preserve">3.000</w:t>
            </w:r>
          </w:p>
        </w:tc>
        <w:tc>
          <w:tcPr>
            <w:tcW w:type="dxa" w:w="1450"/>
            <w:tcMar>
              <w:top w:type="dxa" w:w="80"/>
              <w:left w:type="dxa" w:w="110"/>
              <w:bottom w:type="dxa" w:w="80"/>
              <w:right w:type="dxa" w:w="110"/>
            </w:tcMar>
          </w:tcPr>
          <w:p>
            <w:pPr>
              <w:spacing w:after="0"/>
            </w:pPr>
            <w:r>
              <w:rPr>
                <w:b w:val="false"/>
                <w:bCs w:val="false"/>
                <w:color w:val="0B0B0B"/>
                <w:sz w:val="18"/>
                <w:szCs w:val="18"/>
              </w:rPr>
              <w:t xml:space="preserve">Post-aguda</w:t>
            </w:r>
          </w:p>
        </w:tc>
        <w:tc>
          <w:tcPr>
            <w:tcW w:type="dxa" w:w="1220"/>
            <w:tcMar>
              <w:top w:type="dxa" w:w="80"/>
              <w:left w:type="dxa" w:w="110"/>
              <w:bottom w:type="dxa" w:w="80"/>
              <w:right w:type="dxa" w:w="110"/>
            </w:tcMar>
          </w:tcPr>
          <w:p>
            <w:pPr>
              <w:spacing w:after="0"/>
            </w:pPr>
            <w:r>
              <w:rPr>
                <w:b w:val="false"/>
                <w:bCs w:val="false"/>
                <w:color w:val="0B0B0B"/>
                <w:sz w:val="18"/>
                <w:szCs w:val="18"/>
              </w:rPr>
              <w:t xml:space="preserve">Cohorte</w:t>
            </w:r>
          </w:p>
        </w:tc>
        <w:tc>
          <w:tcPr>
            <w:tcW w:type="dxa" w:w="780"/>
            <w:tcMar>
              <w:top w:type="dxa" w:w="80"/>
              <w:left w:type="dxa" w:w="110"/>
              <w:bottom w:type="dxa" w:w="80"/>
              <w:right w:type="dxa" w:w="110"/>
            </w:tcMar>
          </w:tcPr>
          <w:p>
            <w:pPr>
              <w:spacing w:after="0"/>
            </w:pPr>
            <w:r>
              <w:rPr>
                <w:b w:val="false"/>
                <w:bCs w:val="false"/>
                <w:color w:val="0B0B0B"/>
                <w:sz w:val="18"/>
                <w:szCs w:val="18"/>
              </w:rPr>
              <w:t xml:space="preserve">mBI</w:t>
            </w:r>
          </w:p>
        </w:tc>
        <w:tc>
          <w:tcPr>
            <w:tcW w:type="dxa" w:w="3040"/>
            <w:tcMar>
              <w:top w:type="dxa" w:w="80"/>
              <w:left w:type="dxa" w:w="110"/>
              <w:bottom w:type="dxa" w:w="80"/>
              <w:right w:type="dxa" w:w="110"/>
            </w:tcMar>
          </w:tcPr>
          <w:p>
            <w:pPr>
              <w:spacing w:after="0"/>
            </w:pPr>
            <w:r>
              <w:rPr>
                <w:b w:val="false"/>
                <w:bCs w:val="false"/>
                <w:color w:val="0B0B0B"/>
                <w:sz w:val="18"/>
                <w:szCs w:val="18"/>
              </w:rPr>
              <w:t xml:space="preserve">La función basal en AVD es el principal factor pronóstico de independencia al alta</w:t>
            </w:r>
          </w:p>
        </w:tc>
      </w:tr>
      <w:tr>
        <w:tc>
          <w:tcPr>
            <w:tcW w:type="dxa" w:w="1750"/>
            <w:shd w:fill="EEF4FC" w:color="auto" w:val="clear"/>
            <w:tcMar>
              <w:top w:type="dxa" w:w="80"/>
              <w:left w:type="dxa" w:w="110"/>
              <w:bottom w:type="dxa" w:w="80"/>
              <w:right w:type="dxa" w:w="110"/>
            </w:tcMar>
          </w:tcPr>
          <w:p>
            <w:pPr>
              <w:spacing w:after="0"/>
            </w:pPr>
            <w:r>
              <w:rPr>
                <w:b w:val="false"/>
                <w:bCs w:val="false"/>
                <w:color w:val="0B0B0B"/>
                <w:sz w:val="18"/>
                <w:szCs w:val="18"/>
              </w:rPr>
              <w:t xml:space="preserve">CogniReMo (2025) — Ref. 1</w:t>
            </w:r>
          </w:p>
        </w:tc>
        <w:tc>
          <w:tcPr>
            <w:tcW w:type="dxa" w:w="780"/>
            <w:shd w:fill="EEF4FC" w:color="auto" w:val="clear"/>
            <w:tcMar>
              <w:top w:type="dxa" w:w="80"/>
              <w:left w:type="dxa" w:w="110"/>
              <w:bottom w:type="dxa" w:w="80"/>
              <w:right w:type="dxa" w:w="110"/>
            </w:tcMar>
          </w:tcPr>
          <w:p>
            <w:pPr>
              <w:spacing w:after="0"/>
            </w:pPr>
            <w:r>
              <w:rPr>
                <w:b w:val="false"/>
                <w:bCs w:val="false"/>
                <w:color w:val="0B0B0B"/>
                <w:sz w:val="18"/>
                <w:szCs w:val="18"/>
              </w:rPr>
              <w:t xml:space="preserve">386</w:t>
            </w:r>
          </w:p>
        </w:tc>
        <w:tc>
          <w:tcPr>
            <w:tcW w:type="dxa" w:w="1450"/>
            <w:shd w:fill="EEF4FC" w:color="auto" w:val="clear"/>
            <w:tcMar>
              <w:top w:type="dxa" w:w="80"/>
              <w:left w:type="dxa" w:w="110"/>
              <w:bottom w:type="dxa" w:w="80"/>
              <w:right w:type="dxa" w:w="110"/>
            </w:tcMar>
          </w:tcPr>
          <w:p>
            <w:pPr>
              <w:spacing w:after="0"/>
            </w:pPr>
            <w:r>
              <w:rPr>
                <w:b w:val="false"/>
                <w:bCs w:val="false"/>
                <w:color w:val="0B0B0B"/>
                <w:sz w:val="18"/>
                <w:szCs w:val="18"/>
              </w:rPr>
              <w:t xml:space="preserve">Subaguda</w:t>
            </w:r>
          </w:p>
        </w:tc>
        <w:tc>
          <w:tcPr>
            <w:tcW w:type="dxa" w:w="1220"/>
            <w:shd w:fill="EEF4FC" w:color="auto" w:val="clear"/>
            <w:tcMar>
              <w:top w:type="dxa" w:w="80"/>
              <w:left w:type="dxa" w:w="110"/>
              <w:bottom w:type="dxa" w:w="80"/>
              <w:right w:type="dxa" w:w="110"/>
            </w:tcMar>
          </w:tcPr>
          <w:p>
            <w:pPr>
              <w:spacing w:after="0"/>
            </w:pPr>
            <w:r>
              <w:rPr>
                <w:b w:val="false"/>
                <w:bCs w:val="false"/>
                <w:color w:val="0B0B0B"/>
                <w:sz w:val="18"/>
                <w:szCs w:val="18"/>
              </w:rPr>
              <w:t xml:space="preserve">Análisis de conglomerados</w:t>
            </w:r>
          </w:p>
        </w:tc>
        <w:tc>
          <w:tcPr>
            <w:tcW w:type="dxa" w:w="780"/>
            <w:shd w:fill="EEF4FC" w:color="auto" w:val="clear"/>
            <w:tcMar>
              <w:top w:type="dxa" w:w="80"/>
              <w:left w:type="dxa" w:w="110"/>
              <w:bottom w:type="dxa" w:w="80"/>
              <w:right w:type="dxa" w:w="110"/>
            </w:tcMar>
          </w:tcPr>
          <w:p>
            <w:pPr>
              <w:spacing w:after="0"/>
            </w:pPr>
            <w:r>
              <w:rPr>
                <w:b w:val="false"/>
                <w:bCs w:val="false"/>
                <w:color w:val="0B0B0B"/>
                <w:sz w:val="18"/>
                <w:szCs w:val="18"/>
              </w:rPr>
              <w:t xml:space="preserve">Cognitivo y motor</w:t>
            </w:r>
          </w:p>
        </w:tc>
        <w:tc>
          <w:tcPr>
            <w:tcW w:type="dxa" w:w="3040"/>
            <w:shd w:fill="EEF4FC" w:color="auto" w:val="clear"/>
            <w:tcMar>
              <w:top w:type="dxa" w:w="80"/>
              <w:left w:type="dxa" w:w="110"/>
              <w:bottom w:type="dxa" w:w="80"/>
              <w:right w:type="dxa" w:w="110"/>
            </w:tcMar>
          </w:tcPr>
          <w:p>
            <w:pPr>
              <w:spacing w:after="0"/>
            </w:pPr>
            <w:r>
              <w:rPr>
                <w:b w:val="false"/>
                <w:bCs w:val="false"/>
                <w:color w:val="0B0B0B"/>
                <w:sz w:val="18"/>
                <w:szCs w:val="18"/>
              </w:rPr>
              <w:t xml:space="preserve">El tiempo entre el evento agudo y el inicio de la rehabilitación determina significativamente la efectividad rehabilitadora</w:t>
            </w:r>
          </w:p>
        </w:tc>
      </w:tr>
    </w:tbl>
    <w:p>
      <w:pPr>
        <w:spacing w:after="160"/>
      </w:pPr>
      <w:r>
        <w:rPr>
          <w:b w:val="false"/>
          <w:bCs w:val="false"/>
          <w:i w:val="false"/>
          <w:iCs w:val="false"/>
          <w:color w:val="0B0B0B"/>
          <w:sz w:val="20"/>
          <w:szCs w:val="20"/>
        </w:rPr>
        <w:t xml:space="preserve">Lectura del contraste. La ganancia funcional de esta cohorte (ΔBI +27,9 pts) es de magnitud comparable a la de EOTIPS (~+32 a +35 pts), pero obtenida en una mediana de 5 días de hospitalización aguda frente a un seguimiento de ~3 meses. La comparación es indicativa, no equivalente: las poblaciones difieren y este estudio no tiene grupo control, por lo que no permite atribuir causalidad a la terapia ocupacional.</w:t>
      </w:r>
    </w:p>
    <w:p>
      <w:pPr>
        <w:pStyle w:val="Heading1"/>
        <w:spacing w:after="150" w:before="300"/>
      </w:pPr>
      <w:r>
        <w:t xml:space="preserve">3. Cómo fortalecer el póster con esta evidencia</w:t>
      </w:r>
    </w:p>
    <w:p>
      <w:pPr>
        <w:spacing w:after="100"/>
      </w:pPr>
      <w:r>
        <w:rPr>
          <w:b/>
          <w:bCs/>
          <w:i w:val="false"/>
          <w:iCs w:val="false"/>
          <w:color w:val="0B0B0B"/>
          <w:sz w:val="22"/>
          <w:szCs w:val="22"/>
        </w:rPr>
        <w:t xml:space="preserve">3.1. La evidencia reciente respalda su recomendación tal como está</w:t>
      </w:r>
    </w:p>
    <w:p>
      <w:pPr>
        <w:spacing w:after="120"/>
      </w:pPr>
      <w:r>
        <w:rPr>
          <w:b w:val="false"/>
          <w:bCs w:val="false"/>
          <w:i w:val="false"/>
          <w:iCs w:val="false"/>
          <w:color w:val="0B0B0B"/>
          <w:sz w:val="22"/>
          <w:szCs w:val="22"/>
        </w:rPr>
        <w:t xml:space="preserve">El estudio nacional de dosis (Ref. 2; n=39.140, pareado por propensión) encontró que el beneficio de la rehabilitación de alta dosis (≥60 min/día en fase aguda) se concentra en los pacientes con compromiso grave de AVD basal, y que el estado de AVD es el principal determinante de heterogeneidad del efecto. Es sustento directo y contemporáneo de la conclusión del abstract: a mayor compromiso, mayor intensidad diaria de intervención. La formulación original no necesita suavizarse.</w:t>
      </w:r>
    </w:p>
    <w:p>
      <w:pPr>
        <w:spacing w:after="100"/>
      </w:pPr>
      <w:r>
        <w:rPr>
          <w:b/>
          <w:bCs/>
          <w:i w:val="false"/>
          <w:iCs w:val="false"/>
          <w:color w:val="0B0B0B"/>
          <w:sz w:val="22"/>
          <w:szCs w:val="22"/>
        </w:rPr>
        <w:t xml:space="preserve">3.2. Resultado nuevo: recuperación corregida por el techo del instrumento</w:t>
      </w:r>
    </w:p>
    <w:p>
      <w:pPr>
        <w:spacing w:after="120"/>
      </w:pPr>
      <w:r>
        <w:rPr>
          <w:b w:val="false"/>
          <w:bCs w:val="false"/>
          <w:i w:val="false"/>
          <w:iCs w:val="false"/>
          <w:color w:val="0B0B0B"/>
          <w:sz w:val="22"/>
          <w:szCs w:val="22"/>
        </w:rPr>
        <w:t xml:space="preserve">El Barthel tiene un techo de 100 puntos, de modo que la ganancia máxima posible de cada paciente está limitada por su puntaje de ingreso (techo disponible = 100 − BI de ingreso). Esto abre una objeción metodológica previsible: la correlación inversa entre Barthel de ingreso y ganancia (r = −0,446) podría ser en parte un artefacto, porque quien ingresa peor simplemente tiene más espacio para mejorar. Es la objeción de regresión a la media, y es la crítica más probable a este resultado.</w:t>
      </w:r>
    </w:p>
    <w:p>
      <w:pPr>
        <w:spacing w:after="120"/>
      </w:pPr>
      <w:r>
        <w:rPr>
          <w:b w:val="false"/>
          <w:bCs w:val="false"/>
          <w:i w:val="false"/>
          <w:iCs w:val="false"/>
          <w:color w:val="0B0B0B"/>
          <w:sz w:val="22"/>
          <w:szCs w:val="22"/>
        </w:rPr>
        <w:t xml:space="preserve">Para responderla se normalizó la ganancia por el margen realmente disponible en cada paciente: proporción del techo recuperada = ΔBI ÷ (100 − BI de ingreso). Resultados: cohorte completa 50,2%. Por categoría de ingreso: dependencia total (&lt;20) 24%; severa (20–35) 69%; moderada (40–55) 50%; leve (60–99) 49%. Los independientes al ingreso (BI 100, n=4) quedan excluidos porque su margen es cero y el cociente resulta indefinido.</w:t>
      </w:r>
    </w:p>
    <w:p>
      <w:pPr>
        <w:spacing w:after="120"/>
      </w:pPr>
      <w:r>
        <w:rPr>
          <w:b w:val="false"/>
          <w:bCs w:val="false"/>
          <w:i w:val="false"/>
          <w:iCs w:val="false"/>
          <w:color w:val="0B0B0B"/>
          <w:sz w:val="22"/>
          <w:szCs w:val="22"/>
        </w:rPr>
        <w:t xml:space="preserve">Lectura: la ventaja del grupo severo se mantiene, y se acentúa, después de corregir por el techo. Recupera el 69% de todo lo que tenía por recuperar, frente a alrededor del 50% en el resto de las categorías. No es, por tanto, un artefacto de haber dispuesto de más espacio. Este resultado sostiene de forma directa la recomendación de concentrar la dosis de terapia ocupacional en la categoría severa, y conviene incluirlo en el póster porque desarma por anticipado la objeción metodológica más probable.</w:t>
      </w:r>
    </w:p>
    <w:p>
      <w:pPr>
        <w:spacing w:after="120"/>
      </w:pPr>
      <w:r>
        <w:rPr>
          <w:b w:val="false"/>
          <w:bCs w:val="false"/>
          <w:i w:val="false"/>
          <w:iCs w:val="false"/>
          <w:color w:val="0B0B0B"/>
          <w:sz w:val="22"/>
          <w:szCs w:val="22"/>
        </w:rPr>
        <w:t xml:space="preserve">Matiz clínico que también conviene declarar: los pacientes con dependencia total al ingreso (BI &lt;20) recuperan solo el 24% de su margen disponible, la proporción más baja de la cohorte, pese a ganar +24 puntos brutos. Son quienes menos aprovechan la ventana de hospitalización aguda, lo que sugiere que podrían requerir un abordaje cualitativamente distinto y no únicamente mayor frecuencia.</w:t>
      </w:r>
    </w:p>
    <w:p>
      <w:pPr>
        <w:spacing w:after="160"/>
      </w:pPr>
      <w:r>
        <w:rPr>
          <w:b w:val="false"/>
          <w:bCs w:val="false"/>
          <w:i w:val="false"/>
          <w:iCs w:val="false"/>
          <w:color w:val="52514E"/>
          <w:sz w:val="20"/>
          <w:szCs w:val="20"/>
        </w:rPr>
        <w:t xml:space="preserve">Este análisis está representado en la figura V3 del material gráfico (panel a: el techo matemático; panel b: recuperación normalizada por categoría).</w:t>
      </w:r>
    </w:p>
    <w:p>
      <w:pPr>
        <w:spacing w:after="100"/>
      </w:pPr>
      <w:r>
        <w:rPr>
          <w:b/>
          <w:bCs/>
          <w:i w:val="false"/>
          <w:iCs w:val="false"/>
          <w:color w:val="0B0B0B"/>
          <w:sz w:val="22"/>
          <w:szCs w:val="22"/>
        </w:rPr>
        <w:t xml:space="preserve">3.3. ¿Existe algún estudio que haya hecho lo mismo?</w:t>
      </w:r>
    </w:p>
    <w:p>
      <w:pPr>
        <w:spacing w:after="120"/>
      </w:pPr>
      <w:r>
        <w:rPr>
          <w:b w:val="false"/>
          <w:bCs w:val="false"/>
          <w:i w:val="false"/>
          <w:iCs w:val="false"/>
          <w:color w:val="0B0B0B"/>
          <w:sz w:val="22"/>
          <w:szCs w:val="22"/>
        </w:rPr>
        <w:t xml:space="preserve">Búsqueda dirigida: no se encontró ningún estudio que replique el diseño completo de este trabajo, es decir, una cohorte de hospitalización aguda por ACV con terapia ocupacional centrada en reentrenamiento de AVD, con Barthel medido de ingreso a egreso dentro de una estadía de mediana 5 días, en población latinoamericana. Los trabajos más cercanos difieren en un punto crítico cada uno.</w:t>
      </w:r>
    </w:p>
    <w:p>
      <w:pPr>
        <w:spacing w:after="120"/>
      </w:pPr>
      <w:r>
        <w:rPr>
          <w:b w:val="false"/>
          <w:bCs w:val="false"/>
          <w:i w:val="false"/>
          <w:iCs w:val="false"/>
          <w:color w:val="0B0B0B"/>
          <w:sz w:val="22"/>
          <w:szCs w:val="22"/>
        </w:rPr>
        <w:t xml:space="preserve">La Ref. 12 (Singapur, 2025; n=216) es la más parecida y la coincidencia es notable: usa exactamente el mismo desenlace primario —mejora de al menos un nivel de Barthel modificado entre ingreso y egreso— y una edad media casi idéntica (71,2 frente a 71,5 años). La diferencia está en el entorno: rehabilitación de internación en hospital comunitario, es decir, fase post-aguda, no hospitalización aguda.</w:t>
      </w:r>
    </w:p>
    <w:p>
      <w:pPr>
        <w:spacing w:after="120"/>
      </w:pPr>
      <w:r>
        <w:rPr>
          <w:b w:val="false"/>
          <w:bCs w:val="false"/>
          <w:i w:val="false"/>
          <w:iCs w:val="false"/>
          <w:color w:val="0B0B0B"/>
          <w:sz w:val="22"/>
          <w:szCs w:val="22"/>
        </w:rPr>
        <w:t xml:space="preserve">La Ref. 13 (Tailandia, 2025; n=155) comparte el entorno exacto —unidad de ACV agudo, pacientes consecutivos con primer ACV— pero mide la trayectoria funcional desde el egreso hasta los seis meses, no el cambio que ocurre durante la hospitalización, que es justamente lo que este trabajo documenta.</w:t>
      </w:r>
    </w:p>
    <w:p>
      <w:pPr>
        <w:spacing w:after="120"/>
      </w:pPr>
      <w:r>
        <w:rPr>
          <w:b w:val="false"/>
          <w:bCs w:val="false"/>
          <w:i w:val="false"/>
          <w:iCs w:val="false"/>
          <w:color w:val="0B0B0B"/>
          <w:sz w:val="22"/>
          <w:szCs w:val="22"/>
        </w:rPr>
        <w:t xml:space="preserve">Conclusión aprovechable para la defensa del póster: la ventana que este estudio mide —el cambio funcional que ocurre dentro de la hospitalización aguda misma, con Barthel pareado de ingreso y egreso— está poco documentada en la literatura reciente, y no se encontró en cohorte latinoamericana. Esa es la contribución específica del trabajo y conviene enunciarla de forma explícita, en lugar de presentarlo solo como una confirmación de hallazgos previos.</w:t>
      </w:r>
    </w:p>
    <w:p>
      <w:pPr>
        <w:spacing w:after="100"/>
      </w:pPr>
      <w:r>
        <w:rPr>
          <w:b/>
          <w:bCs/>
          <w:i w:val="false"/>
          <w:iCs w:val="false"/>
          <w:color w:val="0B0B0B"/>
          <w:sz w:val="22"/>
          <w:szCs w:val="22"/>
        </w:rPr>
        <w:t xml:space="preserve">3.4. Respaldo desde una revista de alto impacto</w:t>
      </w:r>
    </w:p>
    <w:p>
      <w:pPr>
        <w:spacing w:after="120"/>
      </w:pPr>
      <w:r>
        <w:rPr>
          <w:b w:val="false"/>
          <w:bCs w:val="false"/>
          <w:i w:val="false"/>
          <w:iCs w:val="false"/>
          <w:color w:val="0B0B0B"/>
          <w:sz w:val="22"/>
          <w:szCs w:val="22"/>
        </w:rPr>
        <w:t xml:space="preserve">La Ref. 10 (Stroke, 2025) es la referencia de mayor factor de impacto del conjunto y argumenta explícitamente por qué la rehabilitación de alta dosis e intensidad no se está entregando en la práctica clínica, pese a la evidencia que la respalda. Es el respaldo más fuerte para la conclusión del póster sobre dotación dedicada de terapia ocupacional en unidades de ACV agudo: su estudio documenta lo que esa revisión reclama. Advertencia de uso: trata la dosis de rehabilitación en general, no la terapia ocupacional de forma exclusiva; cítela para el argumento de dosis y dotación, no como evidencia específica de TO.</w:t>
      </w:r>
    </w:p>
    <w:p>
      <w:pPr>
        <w:spacing w:after="100"/>
      </w:pPr>
      <w:r>
        <w:rPr>
          <w:b/>
          <w:bCs/>
          <w:i w:val="false"/>
          <w:iCs w:val="false"/>
          <w:color w:val="0B0B0B"/>
          <w:sz w:val="22"/>
          <w:szCs w:val="22"/>
        </w:rPr>
        <w:t xml:space="preserve">3.5. Convergencia entre los dos ejes centrales</w:t>
      </w:r>
    </w:p>
    <w:p>
      <w:pPr>
        <w:spacing w:after="120"/>
      </w:pPr>
      <w:r>
        <w:rPr>
          <w:b w:val="false"/>
          <w:bCs w:val="false"/>
          <w:i w:val="false"/>
          <w:iCs w:val="false"/>
          <w:color w:val="0B0B0B"/>
          <w:sz w:val="22"/>
          <w:szCs w:val="22"/>
        </w:rPr>
        <w:t xml:space="preserve">Las Ref. 2 y Ref. 7 coinciden, en cohortes de 39.140 y 3.000 pacientes, en que la función basal en AVD es el principal factor pronóstico del desenlace funcional. Su r = −0,446 va en la misma dirección y en una cohorte latinoamericana en fase aguda, contexto poco representado en esa literatura.</w:t>
      </w:r>
    </w:p>
    <w:p>
      <w:pPr>
        <w:spacing w:after="100"/>
      </w:pPr>
      <w:r>
        <w:rPr>
          <w:b/>
          <w:bCs/>
          <w:i w:val="false"/>
          <w:iCs w:val="false"/>
          <w:color w:val="0B0B0B"/>
          <w:sz w:val="22"/>
          <w:szCs w:val="22"/>
        </w:rPr>
        <w:t xml:space="preserve">3.6. Precisiones de redacción aplicadas</w:t>
      </w:r>
    </w:p>
    <w:p>
      <w:pPr>
        <w:spacing w:after="120"/>
      </w:pPr>
      <w:r>
        <w:rPr>
          <w:b w:val="false"/>
          <w:bCs w:val="false"/>
          <w:i w:val="false"/>
          <w:iCs w:val="false"/>
          <w:color w:val="0B0B0B"/>
          <w:sz w:val="22"/>
          <w:szCs w:val="22"/>
        </w:rPr>
        <w:t xml:space="preserve">• Deterioro: «ningún paciente descendió de categoría funcional (0/78); 98,7% sin deterioro de puntaje». Un paciente de 93 años descendió 5 puntos de Barthel sin cambiar de categoría.</w:t>
      </w:r>
    </w:p>
    <w:p>
      <w:pPr>
        <w:spacing w:after="120"/>
      </w:pPr>
      <w:r>
        <w:rPr>
          <w:b w:val="false"/>
          <w:bCs w:val="false"/>
          <w:i w:val="false"/>
          <w:iCs w:val="false"/>
          <w:color w:val="0B0B0B"/>
          <w:sz w:val="22"/>
          <w:szCs w:val="22"/>
        </w:rPr>
        <w:t xml:space="preserve">• Grupo etario: rotular 76–90 años, que es el corte que reproduce exactamente las cifras publicadas (+2,7 pts; 81,0%).</w:t>
      </w:r>
    </w:p>
    <w:p>
      <w:pPr>
        <w:spacing w:after="120"/>
      </w:pPr>
      <w:r>
        <w:rPr>
          <w:b w:val="false"/>
          <w:bCs w:val="false"/>
          <w:i w:val="false"/>
          <w:iCs w:val="false"/>
          <w:color w:val="0B0B0B"/>
          <w:sz w:val="22"/>
          <w:szCs w:val="22"/>
        </w:rPr>
        <w:t xml:space="preserve">• Severidad: definir explícitamente «Severe = BI 20–35» (21/25 = 84,0%). Sin esa definición la cifra no es reproducible: todo BI ≤35 rinde 63,2%.</w:t>
      </w:r>
    </w:p>
    <w:p>
      <w:pPr>
        <w:spacing w:after="100"/>
      </w:pPr>
      <w:r>
        <w:rPr>
          <w:b/>
          <w:bCs/>
          <w:i w:val="false"/>
          <w:iCs w:val="false"/>
          <w:color w:val="0B0B0B"/>
          <w:sz w:val="22"/>
          <w:szCs w:val="22"/>
        </w:rPr>
        <w:t xml:space="preserve">3.7. Limitaciones a declarar antes de que las pregunten</w:t>
      </w:r>
    </w:p>
    <w:p>
      <w:pPr>
        <w:spacing w:after="120"/>
      </w:pPr>
      <w:r>
        <w:rPr>
          <w:b w:val="false"/>
          <w:bCs w:val="false"/>
          <w:i w:val="false"/>
          <w:iCs w:val="false"/>
          <w:color w:val="0B0B0B"/>
          <w:sz w:val="22"/>
          <w:szCs w:val="22"/>
        </w:rPr>
        <w:t xml:space="preserve">• El Barthel de egreso es una medición intrahospitalaria. La Ref. 11 (Neurorehabil Neural Repair 2024) documenta que el desempeño en actividades diarias difiere entre la unidad de hospitalización y el domicilio, por lo que la transferencia de estos resultados al desempeño domiciliario no está establecida y debe declararse como limitación.</w:t>
      </w:r>
    </w:p>
    <w:p>
      <w:pPr>
        <w:spacing w:after="120"/>
      </w:pPr>
      <w:r>
        <w:rPr>
          <w:b w:val="false"/>
          <w:bCs w:val="false"/>
          <w:i w:val="false"/>
          <w:iCs w:val="false"/>
          <w:color w:val="0B0B0B"/>
          <w:sz w:val="22"/>
          <w:szCs w:val="22"/>
        </w:rPr>
        <w:t xml:space="preserve">Diseño retrospectivo sin grupo control (no permite atribuir causalidad a la TO); atrición no aleatoria (26/104 sin Barthel pareado, de mayor edad —76,5 vs 69,8 años— y estadía más larga); &gt;90 años con n=4–5, estimaciones inestables; MMSE en versión de 19 puntos, no estándar; efecto techo en pacientes jóvenes; y regresión a la media como explicación alternativa parcial de la correlación entre puntaje de ingreso y cambio, objeción que la corrección por techo de la sección 3.2 responde en buena parte, aunque no la elimina del todo.</w:t>
      </w:r>
    </w:p>
    <w:p>
      <w:pPr>
        <w:pStyle w:val="Heading1"/>
        <w:spacing w:after="150" w:before="300"/>
      </w:pPr>
      <w:r>
        <w:t xml:space="preserve">4. Referencias</w:t>
      </w:r>
    </w:p>
    <w:p>
      <w:pPr>
        <w:spacing w:after="130"/>
      </w:pPr>
      <w:r>
        <w:rPr>
          <w:b w:val="false"/>
          <w:bCs w:val="false"/>
          <w:i w:val="false"/>
          <w:iCs w:val="false"/>
          <w:color w:val="0B0B0B"/>
          <w:sz w:val="19"/>
          <w:szCs w:val="19"/>
        </w:rPr>
        <w:t xml:space="preserve">1. Mancuso M, Iosa M, Morone G, De Bartolo D, Ciancarelli I. How do the timing of early rehabilitation together with cognitive and functional variables influence stroke recovery? Results from the CogniReMo Italian multicentric study. Healthcare (Basel). 2025;13(3):316. DOI 10.3390/healthcare13030316.</w:t>
      </w:r>
    </w:p>
    <w:p>
      <w:pPr>
        <w:spacing w:after="130"/>
      </w:pPr>
      <w:r>
        <w:rPr>
          <w:b w:val="false"/>
          <w:bCs w:val="false"/>
          <w:i w:val="false"/>
          <w:iCs w:val="false"/>
          <w:color w:val="0B0B0B"/>
          <w:sz w:val="19"/>
          <w:szCs w:val="19"/>
        </w:rPr>
        <w:t xml:space="preserve">2. Effectiveness of rehabilitation dose heterogeneity for improving functional outcomes of patients with acute stroke: a nationwide observational study. Sci Rep. 2025. DOI 10.1038/s41598-025-32006-w. [Autores, volumen y páginas por confirmar]</w:t>
      </w:r>
    </w:p>
    <w:p>
      <w:pPr>
        <w:spacing w:after="130"/>
      </w:pPr>
      <w:r>
        <w:rPr>
          <w:b w:val="false"/>
          <w:bCs w:val="false"/>
          <w:i w:val="false"/>
          <w:iCs w:val="false"/>
          <w:color w:val="0B0B0B"/>
          <w:sz w:val="19"/>
          <w:szCs w:val="19"/>
        </w:rPr>
        <w:t xml:space="preserve">3. Heterogeneity in the effectiveness of rehabilitation dose on activities of daily living in post-acute stroke: target trial emulation. J Am Med Dir Assoc. PMID 41966702. [Autores, año, volumen y páginas por confirmar]</w:t>
      </w:r>
    </w:p>
    <w:p>
      <w:pPr>
        <w:spacing w:after="130"/>
      </w:pPr>
      <w:r>
        <w:rPr>
          <w:b w:val="false"/>
          <w:bCs w:val="false"/>
          <w:i w:val="false"/>
          <w:iCs w:val="false"/>
          <w:color w:val="0B0B0B"/>
          <w:sz w:val="19"/>
          <w:szCs w:val="19"/>
        </w:rPr>
        <w:t xml:space="preserve">4. Triantis E, Liu KP. Activities of daily living interventions on activity performance of inpatients post-stroke: a systematic review and meta-analysis. Br J Occup Ther. 2024;87(10):598-613. PMID 40343210.</w:t>
      </w:r>
    </w:p>
    <w:p>
      <w:pPr>
        <w:spacing w:after="130"/>
      </w:pPr>
      <w:r>
        <w:rPr>
          <w:b w:val="false"/>
          <w:bCs w:val="false"/>
          <w:i w:val="false"/>
          <w:iCs w:val="false"/>
          <w:color w:val="0B0B0B"/>
          <w:sz w:val="19"/>
          <w:szCs w:val="19"/>
        </w:rPr>
        <w:t xml:space="preserve">5. Occupational therapy and activities of daily living interventions to improve performance in activities of daily living for adults with stroke (2012-2019). Am J Occup Ther. 2023. PMID 37220005. [Autores, volumen y páginas por confirmar]</w:t>
      </w:r>
    </w:p>
    <w:p>
      <w:pPr>
        <w:spacing w:after="130"/>
      </w:pPr>
      <w:r>
        <w:rPr>
          <w:b w:val="false"/>
          <w:bCs w:val="false"/>
          <w:i w:val="false"/>
          <w:iCs w:val="false"/>
          <w:color w:val="0B0B0B"/>
          <w:sz w:val="19"/>
          <w:szCs w:val="19"/>
        </w:rPr>
        <w:t xml:space="preserve">6. Early Occupational Therapy Intervention post-stroke (EOTIPS): a randomized controlled trial. PLoS One. 2024. PMID 39159190. DOI 10.1371/journal.pone.0308800. [Autores, volumen y páginas por confirmar]</w:t>
      </w:r>
    </w:p>
    <w:p>
      <w:pPr>
        <w:spacing w:after="130"/>
      </w:pPr>
      <w:r>
        <w:rPr>
          <w:b w:val="false"/>
          <w:bCs w:val="false"/>
          <w:i w:val="false"/>
          <w:iCs w:val="false"/>
          <w:color w:val="0B0B0B"/>
          <w:sz w:val="19"/>
          <w:szCs w:val="19"/>
        </w:rPr>
        <w:t xml:space="preserve">7. Prognostic factors of functional outcome in post-acute stroke in the rehabilitation unit. J Formos Med Assoc. 2021. PMID 34303583. [Autores, volumen y páginas por confirmar]</w:t>
      </w:r>
    </w:p>
    <w:p>
      <w:pPr>
        <w:spacing w:after="130"/>
      </w:pPr>
      <w:r>
        <w:rPr>
          <w:b w:val="false"/>
          <w:bCs w:val="false"/>
          <w:i w:val="false"/>
          <w:iCs w:val="false"/>
          <w:color w:val="0B0B0B"/>
          <w:sz w:val="19"/>
          <w:szCs w:val="19"/>
        </w:rPr>
        <w:t xml:space="preserve">8. Girgenti SG, Brunson AO, Marsh EB. Baseline function and rehabilitation are as important as stroke severity as long-term predictors of cognitive performance post-stroke. Am J Phys Med Rehabil. 2023;102(2S):S43-S50. PMID 36634330. DOI 10.1097/PHM.0000000000002125.</w:t>
      </w:r>
    </w:p>
    <w:p>
      <w:pPr>
        <w:spacing w:after="130"/>
      </w:pPr>
      <w:r>
        <w:rPr>
          <w:b w:val="false"/>
          <w:bCs w:val="false"/>
          <w:i w:val="false"/>
          <w:iCs w:val="false"/>
          <w:color w:val="0B0B0B"/>
          <w:sz w:val="19"/>
          <w:szCs w:val="19"/>
        </w:rPr>
        <w:t xml:space="preserve">9. The impact of cognitive function deficits and their recovery on functional outcome in subjects affected by ischemic subacute stroke: results from the Italian multicenter longitudinal study CogniReMo. Eur J Phys Rehabil Med. 2023;59(3):284-93. PMID 37184413. [Autores por confirmar]</w:t>
      </w:r>
    </w:p>
    <w:p>
      <w:pPr>
        <w:spacing w:after="130"/>
      </w:pPr>
      <w:r>
        <w:rPr>
          <w:b w:val="false"/>
          <w:bCs w:val="false"/>
          <w:i w:val="false"/>
          <w:iCs w:val="false"/>
          <w:color w:val="0B0B0B"/>
          <w:sz w:val="19"/>
          <w:szCs w:val="19"/>
        </w:rPr>
        <w:t xml:space="preserve">10. Lin DJ, Cramer SC, Boyne P, Khatri P, Krakauer JW. High-dose, high-intensity stroke rehabilitation: why aren’t we giving it? Stroke. 2025;56(5):1351-1364. DOI 10.1161/STROKEAHA.124.043650. PMC12039970.</w:t>
      </w:r>
    </w:p>
    <w:p>
      <w:pPr>
        <w:spacing w:after="130"/>
      </w:pPr>
      <w:r>
        <w:rPr>
          <w:b w:val="false"/>
          <w:bCs w:val="false"/>
          <w:i w:val="false"/>
          <w:iCs w:val="false"/>
          <w:color w:val="0B0B0B"/>
          <w:sz w:val="19"/>
          <w:szCs w:val="19"/>
        </w:rPr>
        <w:t xml:space="preserve">11. Somerville E, Blenden G, Kretzer D, Holden B, Bollinger RM, Krauss MJ, Haxton M, Martin N, Carter A, Stark SL. Differences in daily activity performance between inpatient rehabilitation facility and home among stroke survivors. Neurorehabil Neural Repair. 2024;38(6):403-412. PMID 38602200. DOI 10.1177/15459683241246266.</w:t>
      </w:r>
    </w:p>
    <w:p>
      <w:pPr>
        <w:spacing w:after="130"/>
      </w:pPr>
      <w:r>
        <w:rPr>
          <w:b w:val="false"/>
          <w:bCs w:val="false"/>
          <w:i w:val="false"/>
          <w:iCs w:val="false"/>
          <w:color w:val="0B0B0B"/>
          <w:sz w:val="19"/>
          <w:szCs w:val="19"/>
        </w:rPr>
        <w:t xml:space="preserve">12. Lai WN, Tan CYF, Ong CY, Wong MSJ, Low LL. Predictors of short-term functional recovery in ischemic stroke rehabilitation at community hospitals in Singapore. 2025. PMC12802713. [Revista, volumen y páginas por confirmar] — ESTUDIO MÁS SIMILAR AL SUYO</w:t>
      </w:r>
    </w:p>
    <w:p>
      <w:pPr>
        <w:spacing w:after="130"/>
      </w:pPr>
      <w:r>
        <w:rPr>
          <w:b w:val="false"/>
          <w:bCs w:val="false"/>
          <w:i w:val="false"/>
          <w:iCs w:val="false"/>
          <w:color w:val="0B0B0B"/>
          <w:sz w:val="19"/>
          <w:szCs w:val="19"/>
        </w:rPr>
        <w:t xml:space="preserve">13. Butsing N, Thongniran N, Keandoungchun J, Wiyarta E. Changes in functional outcome after a first-time stroke: data from a longitudinal study. PLoS One. 2025;20(8):e0330086. DOI 10.1371/journal.pone.0330086.</w:t>
      </w:r>
    </w:p>
    <w:p>
      <w:pPr>
        <w:spacing w:after="130"/>
      </w:pPr>
      <w:r>
        <w:rPr>
          <w:b w:val="false"/>
          <w:bCs w:val="false"/>
          <w:i w:val="false"/>
          <w:iCs w:val="false"/>
          <w:color w:val="0B0B0B"/>
          <w:sz w:val="19"/>
          <w:szCs w:val="19"/>
        </w:rPr>
        <w:t xml:space="preserve">14. Legg LA, Lewis SR, Schofield-Robinson OJ, Drummond A, Langhorne P. Occupational therapy for adults with problems in activities of daily living after stroke. Cochrane Database Syst Rev. 2017;(7):CD003585. PMID 28721691. DOI 10.1002/14651858.CD003585.pub3. Síntesis en revista de alto impacto: Stroke. 2017;48(11):e321-e322. DOI 10.1161/STROKEAHA.117.018923.  [ANCLA HISTÓRICA 1 de 2]</w:t>
      </w:r>
    </w:p>
    <w:p>
      <w:pPr>
        <w:spacing w:after="130"/>
      </w:pPr>
      <w:r>
        <w:rPr>
          <w:b w:val="false"/>
          <w:bCs w:val="false"/>
          <w:i w:val="false"/>
          <w:iCs w:val="false"/>
          <w:color w:val="0B0B0B"/>
          <w:sz w:val="19"/>
          <w:szCs w:val="19"/>
        </w:rPr>
        <w:t xml:space="preserve">15. Bernhardt J, et al.; AVERT Trial Collaboration Group. Efficacy and safety of very early mobilisation within 24 h of stroke onset (AVERT): a randomised controlled trial. Lancet. 2015;386(9988):46-55. PMID 25892679. DOI 10.1016/S0140-6736(15)60690-0.  [ANCLA HISTÓRICA 2 de 2]</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B0B0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2026-09-03T01:01:52.029Z</dcterms:created>
  <dcterms:modified xsi:type="dcterms:W3CDTF">2026-09-03T01:01:52.047Z</dcterms:modified>
</cp:coreProperties>
</file>

<file path=docProps/custom.xml><?xml version="1.0" encoding="utf-8"?>
<Properties xmlns="http://schemas.openxmlformats.org/officeDocument/2006/custom-properties" xmlns:vt="http://schemas.openxmlformats.org/officeDocument/2006/docPropsVTypes"/>
</file>