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C5CAB"/>
          <w:sz w:val="36"/>
          <w:szCs w:val="36"/>
        </w:rPr>
        <w:t xml:space="preserve">Sustento bibliográfico y contraste</w:t>
      </w:r>
    </w:p>
    <w:p>
      <w:pPr>
        <w:spacing w:after="280"/>
      </w:pPr>
      <w:r>
        <w:rPr>
          <w:b w:val="false"/>
          <w:bCs w:val="false"/>
          <w:i w:val="false"/>
          <w:iCs w:val="false"/>
          <w:color w:val="52514E"/>
          <w:sz w:val="20"/>
          <w:szCs w:val="20"/>
        </w:rPr>
        <w:t xml:space="preserve">Póster: Admission functional status predicts the magnitude of ADL recovery during stroke hospitalization. Congreso Mundial de Neurorrehabilitación.</w:t>
      </w:r>
    </w:p>
    <w:p>
      <w:pPr>
        <w:pStyle w:val="Heading1"/>
        <w:spacing w:after="150" w:before="300"/>
      </w:pPr>
      <w:r>
        <w:t xml:space="preserve">Criterio de selección y verificación</w:t>
      </w:r>
    </w:p>
    <w:p>
      <w:pPr>
        <w:spacing w:after="120"/>
      </w:pPr>
      <w:r>
        <w:rPr>
          <w:b w:val="false"/>
          <w:bCs w:val="false"/>
          <w:i w:val="false"/>
          <w:iCs w:val="false"/>
          <w:color w:val="0B0B0B"/>
          <w:sz w:val="22"/>
          <w:szCs w:val="22"/>
        </w:rPr>
        <w:t xml:space="preserve">Toda la bibliografía está acotada a los últimos 5–6 años (2021–2026). Ninguna referencia proviene de memoria: el par título↔PMID se tomó del índice de PubMed y los datos de autoría, revista, volumen y páginas se confirmaron por corroboración cruzada en la web del editor y repositorios institucionales.</w:t>
      </w:r>
    </w:p>
    <w:p>
      <w:pPr>
        <w:pBdr>
          <w:left w:val="single" w:color="1C5CAB" w:sz="12" w:space="10"/>
        </w:pBdr>
        <w:spacing w:after="180"/>
        <w:ind w:left="200"/>
      </w:pPr>
      <w:r>
        <w:rPr>
          <w:i/>
          <w:iCs/>
          <w:color w:val="52514E"/>
          <w:sz w:val="19"/>
          <w:szCs w:val="19"/>
        </w:rPr>
        <w:t xml:space="preserve">Limitación del entorno: no fue posible acceder directamente a PubMed, NCBI, Europe PMC ni Crossref para leer el registro MEDLINE de cada artículo. Los campos no confirmados están marcados «por confirmar» y deben completarse desde su propio acceso a PubMed o Scopus antes de imprimir. No se consignan factores de impacto ni cuartiles porque no pudieron verificarse en la fuente.</w:t>
      </w:r>
    </w:p>
    <w:p>
      <w:pPr>
        <w:pBdr>
          <w:left w:val="single" w:color="1C5CAB" w:sz="12" w:space="10"/>
        </w:pBdr>
        <w:spacing w:after="180"/>
        <w:ind w:left="200"/>
      </w:pPr>
      <w:r>
        <w:rPr>
          <w:i/>
          <w:iCs/>
          <w:color w:val="52514E"/>
          <w:sz w:val="19"/>
          <w:szCs w:val="19"/>
        </w:rPr>
        <w:t xml:space="preserve">Advertencia a considerar: el corte de 5–6 años excluye la evidencia histórica de referencia del campo (ensayo AVERT, Lancet 2015 y Neurology 2016; revisiones Cochrane de terapia ocupacional 2017 y de movilización precoz 2018). Un jurado de congreso mundial podría esperar verlas citadas. Se sugiere evaluar incluir dos o tres como anclas históricas, además de la base reciente que aquí se entrega.</w:t>
      </w:r>
    </w:p>
    <w:p>
      <w:pPr>
        <w:pStyle w:val="Heading1"/>
        <w:spacing w:after="150" w:before="300"/>
      </w:pPr>
      <w:r>
        <w:t xml:space="preserve">1. Marco de evidencia por eje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3350"/>
        <w:gridCol w:w="4220"/>
      </w:tblGrid>
      <w:tr>
        <w:trPr>
          <w:tblHeader/>
        </w:trPr>
        <w:tc>
          <w:tcPr>
            <w:tcW w:type="dxa" w:w="1450"/>
            <w:shd w:fill="1C5CAB" w:color="auto" w:val="clear"/>
            <w:tcMar>
              <w:top w:type="dxa" w:w="80"/>
              <w:left w:type="dxa" w:w="110"/>
              <w:bottom w:type="dxa" w:w="80"/>
              <w:right w:type="dxa" w:w="110"/>
            </w:tcMar>
          </w:tcPr>
          <w:p>
            <w:pPr>
              <w:spacing w:after="0"/>
            </w:pPr>
            <w:r>
              <w:rPr>
                <w:b/>
                <w:bCs/>
                <w:color w:val="FFFFFF"/>
                <w:sz w:val="18"/>
                <w:szCs w:val="18"/>
              </w:rPr>
              <w:t xml:space="preserve">Eje</w:t>
            </w:r>
          </w:p>
        </w:tc>
        <w:tc>
          <w:tcPr>
            <w:tcW w:type="dxa" w:w="3350"/>
            <w:shd w:fill="1C5CAB" w:color="auto" w:val="clear"/>
            <w:tcMar>
              <w:top w:type="dxa" w:w="80"/>
              <w:left w:type="dxa" w:w="110"/>
              <w:bottom w:type="dxa" w:w="80"/>
              <w:right w:type="dxa" w:w="110"/>
            </w:tcMar>
          </w:tcPr>
          <w:p>
            <w:pPr>
              <w:spacing w:after="0"/>
            </w:pPr>
            <w:r>
              <w:rPr>
                <w:b/>
                <w:bCs/>
                <w:color w:val="FFFFFF"/>
                <w:sz w:val="18"/>
                <w:szCs w:val="18"/>
              </w:rPr>
              <w:t xml:space="preserve">Afirmación del póster</w:t>
            </w:r>
          </w:p>
        </w:tc>
        <w:tc>
          <w:tcPr>
            <w:tcW w:type="dxa" w:w="4220"/>
            <w:shd w:fill="1C5CAB" w:color="auto" w:val="clear"/>
            <w:tcMar>
              <w:top w:type="dxa" w:w="80"/>
              <w:left w:type="dxa" w:w="110"/>
              <w:bottom w:type="dxa" w:w="80"/>
              <w:right w:type="dxa" w:w="110"/>
            </w:tcMar>
          </w:tcPr>
          <w:p>
            <w:pPr>
              <w:spacing w:after="0"/>
            </w:pPr>
            <w:r>
              <w:rPr>
                <w:b/>
                <w:bCs/>
                <w:color w:val="FFFFFF"/>
                <w:sz w:val="18"/>
                <w:szCs w:val="18"/>
              </w:rPr>
              <w:t xml:space="preserve">Referencias</w:t>
            </w:r>
          </w:p>
        </w:tc>
      </w:tr>
      <w:tr>
        <w:tc>
          <w:tcPr>
            <w:tcW w:type="dxa" w:w="1450"/>
            <w:tcMar>
              <w:top w:type="dxa" w:w="80"/>
              <w:left w:type="dxa" w:w="110"/>
              <w:bottom w:type="dxa" w:w="80"/>
              <w:right w:type="dxa" w:w="110"/>
            </w:tcMar>
          </w:tcPr>
          <w:p>
            <w:pPr>
              <w:spacing w:after="0"/>
            </w:pPr>
            <w:r>
              <w:rPr>
                <w:b w:val="false"/>
                <w:bCs w:val="false"/>
                <w:color w:val="0B0B0B"/>
                <w:sz w:val="18"/>
                <w:szCs w:val="18"/>
              </w:rPr>
              <w:t xml:space="preserve">A. Fase aguda y momento de inicio</w:t>
            </w:r>
          </w:p>
        </w:tc>
        <w:tc>
          <w:tcPr>
            <w:tcW w:type="dxa" w:w="3350"/>
            <w:tcMar>
              <w:top w:type="dxa" w:w="80"/>
              <w:left w:type="dxa" w:w="110"/>
              <w:bottom w:type="dxa" w:w="80"/>
              <w:right w:type="dxa" w:w="110"/>
            </w:tcMar>
          </w:tcPr>
          <w:p>
            <w:pPr>
              <w:spacing w:after="0"/>
            </w:pPr>
            <w:r>
              <w:rPr>
                <w:b w:val="false"/>
                <w:bCs w:val="false"/>
                <w:color w:val="0B0B0B"/>
                <w:sz w:val="18"/>
                <w:szCs w:val="18"/>
              </w:rPr>
              <w:t xml:space="preserve">La hospitalización aguda es ventana primaria de neurorrehabilitación, no una espera pre-rehabilitación</w:t>
            </w:r>
          </w:p>
        </w:tc>
        <w:tc>
          <w:tcPr>
            <w:tcW w:type="dxa" w:w="4220"/>
            <w:tcMar>
              <w:top w:type="dxa" w:w="80"/>
              <w:left w:type="dxa" w:w="110"/>
              <w:bottom w:type="dxa" w:w="80"/>
              <w:right w:type="dxa" w:w="110"/>
            </w:tcMar>
          </w:tcPr>
          <w:p>
            <w:pPr>
              <w:spacing w:after="0"/>
            </w:pPr>
            <w:r>
              <w:rPr>
                <w:b w:val="false"/>
                <w:bCs w:val="false"/>
                <w:color w:val="0B0B0B"/>
                <w:sz w:val="18"/>
                <w:szCs w:val="18"/>
              </w:rPr>
              <w:t xml:space="preserve">Ref. 1 (CogniReMo, Healthcare 2025, n=386)</w:t>
            </w:r>
          </w:p>
        </w:tc>
      </w:tr>
      <w:tr>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B. Dosis e intensidad</w:t>
            </w:r>
          </w:p>
        </w:tc>
        <w:tc>
          <w:tcPr>
            <w:tcW w:type="dxa" w:w="3350"/>
            <w:shd w:fill="EEF4FC" w:color="auto" w:val="clear"/>
            <w:tcMar>
              <w:top w:type="dxa" w:w="80"/>
              <w:left w:type="dxa" w:w="110"/>
              <w:bottom w:type="dxa" w:w="80"/>
              <w:right w:type="dxa" w:w="110"/>
            </w:tcMar>
          </w:tcPr>
          <w:p>
            <w:pPr>
              <w:spacing w:after="0"/>
            </w:pPr>
            <w:r>
              <w:rPr>
                <w:b w:val="false"/>
                <w:bCs w:val="false"/>
                <w:color w:val="0B0B0B"/>
                <w:sz w:val="18"/>
                <w:szCs w:val="18"/>
              </w:rPr>
              <w:t xml:space="preserve">Dosificar la frecuencia de TO según categoría Barthel de ingreso: a mayor compromiso, mayor intervención</w:t>
            </w:r>
          </w:p>
        </w:tc>
        <w:tc>
          <w:tcPr>
            <w:tcW w:type="dxa" w:w="4220"/>
            <w:shd w:fill="EEF4FC" w:color="auto" w:val="clear"/>
            <w:tcMar>
              <w:top w:type="dxa" w:w="80"/>
              <w:left w:type="dxa" w:w="110"/>
              <w:bottom w:type="dxa" w:w="80"/>
              <w:right w:type="dxa" w:w="110"/>
            </w:tcMar>
          </w:tcPr>
          <w:p>
            <w:pPr>
              <w:spacing w:after="0"/>
            </w:pPr>
            <w:r>
              <w:rPr>
                <w:b w:val="false"/>
                <w:bCs w:val="false"/>
                <w:color w:val="0B0B0B"/>
                <w:sz w:val="18"/>
                <w:szCs w:val="18"/>
              </w:rPr>
              <w:t xml:space="preserve">Ref. 2 (Sci Rep 2025, n=39.140) — PIEZA CLAVE; Ref. 3 (JAMDA, target trial emulation)</w:t>
            </w:r>
          </w:p>
        </w:tc>
      </w:tr>
      <w:tr>
        <w:tc>
          <w:tcPr>
            <w:tcW w:type="dxa" w:w="1450"/>
            <w:tcMar>
              <w:top w:type="dxa" w:w="80"/>
              <w:left w:type="dxa" w:w="110"/>
              <w:bottom w:type="dxa" w:w="80"/>
              <w:right w:type="dxa" w:w="110"/>
            </w:tcMar>
          </w:tcPr>
          <w:p>
            <w:pPr>
              <w:spacing w:after="0"/>
            </w:pPr>
            <w:r>
              <w:rPr>
                <w:b w:val="false"/>
                <w:bCs w:val="false"/>
                <w:color w:val="0B0B0B"/>
                <w:sz w:val="18"/>
                <w:szCs w:val="18"/>
              </w:rPr>
              <w:t xml:space="preserve">C. Eficacia de la TO en AVD</w:t>
            </w:r>
          </w:p>
        </w:tc>
        <w:tc>
          <w:tcPr>
            <w:tcW w:type="dxa" w:w="3350"/>
            <w:tcMar>
              <w:top w:type="dxa" w:w="80"/>
              <w:left w:type="dxa" w:w="110"/>
              <w:bottom w:type="dxa" w:w="80"/>
              <w:right w:type="dxa" w:w="110"/>
            </w:tcMar>
          </w:tcPr>
          <w:p>
            <w:pPr>
              <w:spacing w:after="0"/>
            </w:pPr>
            <w:r>
              <w:rPr>
                <w:b w:val="false"/>
                <w:bCs w:val="false"/>
                <w:color w:val="0B0B0B"/>
                <w:sz w:val="18"/>
                <w:szCs w:val="18"/>
              </w:rPr>
              <w:t xml:space="preserve">Rol de la TO en el equipo interdisciplinario; ausencia de deterioro funcional</w:t>
            </w:r>
          </w:p>
        </w:tc>
        <w:tc>
          <w:tcPr>
            <w:tcW w:type="dxa" w:w="4220"/>
            <w:tcMar>
              <w:top w:type="dxa" w:w="80"/>
              <w:left w:type="dxa" w:w="110"/>
              <w:bottom w:type="dxa" w:w="80"/>
              <w:right w:type="dxa" w:w="110"/>
            </w:tcMar>
          </w:tcPr>
          <w:p>
            <w:pPr>
              <w:spacing w:after="0"/>
            </w:pPr>
            <w:r>
              <w:rPr>
                <w:b w:val="false"/>
                <w:bCs w:val="false"/>
                <w:color w:val="0B0B0B"/>
                <w:sz w:val="18"/>
                <w:szCs w:val="18"/>
              </w:rPr>
              <w:t xml:space="preserve">Ref. 4 (Br J Occup Ther 2024, 14 ECA); Ref. 5 (AJOT 2023); Ref. 6 (EOTIPS, PLoS One 2024)</w:t>
            </w:r>
          </w:p>
        </w:tc>
      </w:tr>
      <w:tr>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D. Severidad basal ↔ magnitud de recuperación</w:t>
            </w:r>
          </w:p>
        </w:tc>
        <w:tc>
          <w:tcPr>
            <w:tcW w:type="dxa" w:w="3350"/>
            <w:shd w:fill="EEF4FC" w:color="auto" w:val="clear"/>
            <w:tcMar>
              <w:top w:type="dxa" w:w="80"/>
              <w:left w:type="dxa" w:w="110"/>
              <w:bottom w:type="dxa" w:w="80"/>
              <w:right w:type="dxa" w:w="110"/>
            </w:tcMar>
          </w:tcPr>
          <w:p>
            <w:pPr>
              <w:spacing w:after="0"/>
            </w:pPr>
            <w:r>
              <w:rPr>
                <w:b w:val="false"/>
                <w:bCs w:val="false"/>
                <w:color w:val="0B0B0B"/>
                <w:sz w:val="18"/>
                <w:szCs w:val="18"/>
              </w:rPr>
              <w:t xml:space="preserve">r = −0.446 entre Barthel de ingreso y ganancia funcional</w:t>
            </w:r>
          </w:p>
        </w:tc>
        <w:tc>
          <w:tcPr>
            <w:tcW w:type="dxa" w:w="4220"/>
            <w:shd w:fill="EEF4FC" w:color="auto" w:val="clear"/>
            <w:tcMar>
              <w:top w:type="dxa" w:w="80"/>
              <w:left w:type="dxa" w:w="110"/>
              <w:bottom w:type="dxa" w:w="80"/>
              <w:right w:type="dxa" w:w="110"/>
            </w:tcMar>
          </w:tcPr>
          <w:p>
            <w:pPr>
              <w:spacing w:after="0"/>
            </w:pPr>
            <w:r>
              <w:rPr>
                <w:b w:val="false"/>
                <w:bCs w:val="false"/>
                <w:color w:val="0B0B0B"/>
                <w:sz w:val="18"/>
                <w:szCs w:val="18"/>
              </w:rPr>
              <w:t xml:space="preserve">Ref. 7 (J Formos Med Assoc 2021, n=3.000); Ref. 2 (Sci Rep 2025)</w:t>
            </w:r>
          </w:p>
        </w:tc>
      </w:tr>
      <w:tr>
        <w:tc>
          <w:tcPr>
            <w:tcW w:type="dxa" w:w="1450"/>
            <w:tcMar>
              <w:top w:type="dxa" w:w="80"/>
              <w:left w:type="dxa" w:w="110"/>
              <w:bottom w:type="dxa" w:w="80"/>
              <w:right w:type="dxa" w:w="110"/>
            </w:tcMar>
          </w:tcPr>
          <w:p>
            <w:pPr>
              <w:spacing w:after="0"/>
            </w:pPr>
            <w:r>
              <w:rPr>
                <w:b w:val="false"/>
                <w:bCs w:val="false"/>
                <w:color w:val="0B0B0B"/>
                <w:sz w:val="18"/>
                <w:szCs w:val="18"/>
              </w:rPr>
              <w:t xml:space="preserve">E. Cognición, edad y efecto techo</w:t>
            </w:r>
          </w:p>
        </w:tc>
        <w:tc>
          <w:tcPr>
            <w:tcW w:type="dxa" w:w="3350"/>
            <w:tcMar>
              <w:top w:type="dxa" w:w="80"/>
              <w:left w:type="dxa" w:w="110"/>
              <w:bottom w:type="dxa" w:w="80"/>
              <w:right w:type="dxa" w:w="110"/>
            </w:tcMar>
          </w:tcPr>
          <w:p>
            <w:pPr>
              <w:spacing w:after="0"/>
            </w:pPr>
            <w:r>
              <w:rPr>
                <w:b w:val="false"/>
                <w:bCs w:val="false"/>
                <w:color w:val="0B0B0B"/>
                <w:sz w:val="18"/>
                <w:szCs w:val="18"/>
              </w:rPr>
              <w:t xml:space="preserve">ΔMMSE mayor en 76–90 años (r = 0.316); efecto techo en pacientes jóvenes</w:t>
            </w:r>
          </w:p>
        </w:tc>
        <w:tc>
          <w:tcPr>
            <w:tcW w:type="dxa" w:w="4220"/>
            <w:tcMar>
              <w:top w:type="dxa" w:w="80"/>
              <w:left w:type="dxa" w:w="110"/>
              <w:bottom w:type="dxa" w:w="80"/>
              <w:right w:type="dxa" w:w="110"/>
            </w:tcMar>
          </w:tcPr>
          <w:p>
            <w:pPr>
              <w:spacing w:after="0"/>
            </w:pPr>
            <w:r>
              <w:rPr>
                <w:b w:val="false"/>
                <w:bCs w:val="false"/>
                <w:color w:val="0B0B0B"/>
                <w:sz w:val="18"/>
                <w:szCs w:val="18"/>
              </w:rPr>
              <w:t xml:space="preserve">Ref. 8 (Am J Phys Med Rehabil 2023); Ref. 9 (CogniReMo, Eur J Phys Rehabil Med 2023)</w:t>
            </w:r>
          </w:p>
        </w:tc>
      </w:tr>
    </w:tbl>
    <w:p>
      <w:pPr>
        <w:pStyle w:val="Heading1"/>
        <w:spacing w:after="150" w:before="300"/>
      </w:pPr>
      <w:r>
        <w:t xml:space="preserve">2. Contraste con estudios similares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780"/>
        <w:gridCol w:w="1450"/>
        <w:gridCol w:w="1220"/>
        <w:gridCol w:w="780"/>
        <w:gridCol w:w="3040"/>
      </w:tblGrid>
      <w:tr>
        <w:trPr>
          <w:tblHeader/>
        </w:trPr>
        <w:tc>
          <w:tcPr>
            <w:tcW w:type="dxa" w:w="1750"/>
            <w:shd w:fill="1C5CAB" w:color="auto" w:val="clear"/>
            <w:tcMar>
              <w:top w:type="dxa" w:w="80"/>
              <w:left w:type="dxa" w:w="110"/>
              <w:bottom w:type="dxa" w:w="80"/>
              <w:right w:type="dxa" w:w="110"/>
            </w:tcMar>
          </w:tcPr>
          <w:p>
            <w:pPr>
              <w:spacing w:after="0"/>
            </w:pPr>
            <w:r>
              <w:rPr>
                <w:b/>
                <w:bCs/>
                <w:color w:val="FFFFFF"/>
                <w:sz w:val="18"/>
                <w:szCs w:val="18"/>
              </w:rPr>
              <w:t xml:space="preserve">Estudio</w:t>
            </w:r>
          </w:p>
        </w:tc>
        <w:tc>
          <w:tcPr>
            <w:tcW w:type="dxa" w:w="780"/>
            <w:shd w:fill="1C5CAB" w:color="auto" w:val="clear"/>
            <w:tcMar>
              <w:top w:type="dxa" w:w="80"/>
              <w:left w:type="dxa" w:w="110"/>
              <w:bottom w:type="dxa" w:w="80"/>
              <w:right w:type="dxa" w:w="110"/>
            </w:tcMar>
          </w:tcPr>
          <w:p>
            <w:pPr>
              <w:spacing w:after="0"/>
            </w:pPr>
            <w:r>
              <w:rPr>
                <w:b/>
                <w:bCs/>
                <w:color w:val="FFFFFF"/>
                <w:sz w:val="18"/>
                <w:szCs w:val="18"/>
              </w:rPr>
              <w:t xml:space="preserve">n</w:t>
            </w:r>
          </w:p>
        </w:tc>
        <w:tc>
          <w:tcPr>
            <w:tcW w:type="dxa" w:w="1450"/>
            <w:shd w:fill="1C5CAB" w:color="auto" w:val="clear"/>
            <w:tcMar>
              <w:top w:type="dxa" w:w="80"/>
              <w:left w:type="dxa" w:w="110"/>
              <w:bottom w:type="dxa" w:w="80"/>
              <w:right w:type="dxa" w:w="110"/>
            </w:tcMar>
          </w:tcPr>
          <w:p>
            <w:pPr>
              <w:spacing w:after="0"/>
            </w:pPr>
            <w:r>
              <w:rPr>
                <w:b/>
                <w:bCs/>
                <w:color w:val="FFFFFF"/>
                <w:sz w:val="18"/>
                <w:szCs w:val="18"/>
              </w:rPr>
              <w:t xml:space="preserve">Fase / contexto</w:t>
            </w:r>
          </w:p>
        </w:tc>
        <w:tc>
          <w:tcPr>
            <w:tcW w:type="dxa" w:w="1220"/>
            <w:shd w:fill="1C5CAB" w:color="auto" w:val="clear"/>
            <w:tcMar>
              <w:top w:type="dxa" w:w="80"/>
              <w:left w:type="dxa" w:w="110"/>
              <w:bottom w:type="dxa" w:w="80"/>
              <w:right w:type="dxa" w:w="110"/>
            </w:tcMar>
          </w:tcPr>
          <w:p>
            <w:pPr>
              <w:spacing w:after="0"/>
            </w:pPr>
            <w:r>
              <w:rPr>
                <w:b/>
                <w:bCs/>
                <w:color w:val="FFFFFF"/>
                <w:sz w:val="18"/>
                <w:szCs w:val="18"/>
              </w:rPr>
              <w:t xml:space="preserve">Diseño</w:t>
            </w:r>
          </w:p>
        </w:tc>
        <w:tc>
          <w:tcPr>
            <w:tcW w:type="dxa" w:w="780"/>
            <w:shd w:fill="1C5CAB" w:color="auto" w:val="clear"/>
            <w:tcMar>
              <w:top w:type="dxa" w:w="80"/>
              <w:left w:type="dxa" w:w="110"/>
              <w:bottom w:type="dxa" w:w="80"/>
              <w:right w:type="dxa" w:w="110"/>
            </w:tcMar>
          </w:tcPr>
          <w:p>
            <w:pPr>
              <w:spacing w:after="0"/>
            </w:pPr>
            <w:r>
              <w:rPr>
                <w:b/>
                <w:bCs/>
                <w:color w:val="FFFFFF"/>
                <w:sz w:val="18"/>
                <w:szCs w:val="18"/>
              </w:rPr>
              <w:t xml:space="preserve">Instrum.</w:t>
            </w:r>
          </w:p>
        </w:tc>
        <w:tc>
          <w:tcPr>
            <w:tcW w:type="dxa" w:w="3040"/>
            <w:shd w:fill="1C5CAB" w:color="auto" w:val="clear"/>
            <w:tcMar>
              <w:top w:type="dxa" w:w="80"/>
              <w:left w:type="dxa" w:w="110"/>
              <w:bottom w:type="dxa" w:w="80"/>
              <w:right w:type="dxa" w:w="110"/>
            </w:tcMar>
          </w:tcPr>
          <w:p>
            <w:pPr>
              <w:spacing w:after="0"/>
            </w:pPr>
            <w:r>
              <w:rPr>
                <w:b/>
                <w:bCs/>
                <w:color w:val="FFFFFF"/>
                <w:sz w:val="18"/>
                <w:szCs w:val="18"/>
              </w:rPr>
              <w:t xml:space="preserve">Resultado principal</w:t>
            </w:r>
          </w:p>
        </w:tc>
      </w:tr>
      <w:tr>
        <w:tc>
          <w:tcPr>
            <w:tcW w:type="dxa" w:w="1750"/>
            <w:tcMar>
              <w:top w:type="dxa" w:w="80"/>
              <w:left w:type="dxa" w:w="110"/>
              <w:bottom w:type="dxa" w:w="80"/>
              <w:right w:type="dxa" w:w="110"/>
            </w:tcMar>
          </w:tcPr>
          <w:p>
            <w:pPr>
              <w:spacing w:after="0"/>
            </w:pPr>
            <w:r>
              <w:rPr>
                <w:b w:val="false"/>
                <w:bCs w:val="false"/>
                <w:color w:val="0B0B0B"/>
                <w:sz w:val="18"/>
                <w:szCs w:val="18"/>
              </w:rPr>
              <w:t xml:space="preserve">ESTE ESTUDIO (Clínica Alemana Temuco, Chile)</w:t>
            </w:r>
          </w:p>
        </w:tc>
        <w:tc>
          <w:tcPr>
            <w:tcW w:type="dxa" w:w="780"/>
            <w:tcMar>
              <w:top w:type="dxa" w:w="80"/>
              <w:left w:type="dxa" w:w="110"/>
              <w:bottom w:type="dxa" w:w="80"/>
              <w:right w:type="dxa" w:w="110"/>
            </w:tcMar>
          </w:tcPr>
          <w:p>
            <w:pPr>
              <w:spacing w:after="0"/>
            </w:pPr>
            <w:r>
              <w:rPr>
                <w:b w:val="false"/>
                <w:bCs w:val="false"/>
                <w:color w:val="0B0B0B"/>
                <w:sz w:val="18"/>
                <w:szCs w:val="18"/>
              </w:rPr>
              <w:t xml:space="preserve">104 (78 pareados)</w:t>
            </w:r>
          </w:p>
        </w:tc>
        <w:tc>
          <w:tcPr>
            <w:tcW w:type="dxa" w:w="1450"/>
            <w:tcMar>
              <w:top w:type="dxa" w:w="80"/>
              <w:left w:type="dxa" w:w="110"/>
              <w:bottom w:type="dxa" w:w="80"/>
              <w:right w:type="dxa" w:w="110"/>
            </w:tcMar>
          </w:tcPr>
          <w:p>
            <w:pPr>
              <w:spacing w:after="0"/>
            </w:pPr>
            <w:r>
              <w:rPr>
                <w:b w:val="false"/>
                <w:bCs w:val="false"/>
                <w:color w:val="0B0B0B"/>
                <w:sz w:val="18"/>
                <w:szCs w:val="18"/>
              </w:rPr>
              <w:t xml:space="preserve">Aguda hospitalaria; mediana 5 días</w:t>
            </w:r>
          </w:p>
        </w:tc>
        <w:tc>
          <w:tcPr>
            <w:tcW w:type="dxa" w:w="1220"/>
            <w:tcMar>
              <w:top w:type="dxa" w:w="80"/>
              <w:left w:type="dxa" w:w="110"/>
              <w:bottom w:type="dxa" w:w="80"/>
              <w:right w:type="dxa" w:w="110"/>
            </w:tcMar>
          </w:tcPr>
          <w:p>
            <w:pPr>
              <w:spacing w:after="0"/>
            </w:pPr>
            <w:r>
              <w:rPr>
                <w:b w:val="false"/>
                <w:bCs w:val="false"/>
                <w:color w:val="0B0B0B"/>
                <w:sz w:val="18"/>
                <w:szCs w:val="18"/>
              </w:rPr>
              <w:t xml:space="preserve">Cohorte retrospectiva</w:t>
            </w:r>
          </w:p>
        </w:tc>
        <w:tc>
          <w:tcPr>
            <w:tcW w:type="dxa" w:w="780"/>
            <w:tcMar>
              <w:top w:type="dxa" w:w="80"/>
              <w:left w:type="dxa" w:w="110"/>
              <w:bottom w:type="dxa" w:w="80"/>
              <w:right w:type="dxa" w:w="110"/>
            </w:tcMar>
          </w:tcPr>
          <w:p>
            <w:pPr>
              <w:spacing w:after="0"/>
            </w:pPr>
            <w:r>
              <w:rPr>
                <w:b w:val="false"/>
                <w:bCs w:val="false"/>
                <w:color w:val="0B0B0B"/>
                <w:sz w:val="18"/>
                <w:szCs w:val="18"/>
              </w:rPr>
              <w:t xml:space="preserve">BI, MMSE</w:t>
            </w:r>
          </w:p>
        </w:tc>
        <w:tc>
          <w:tcPr>
            <w:tcW w:type="dxa" w:w="3040"/>
            <w:tcMar>
              <w:top w:type="dxa" w:w="80"/>
              <w:left w:type="dxa" w:w="110"/>
              <w:bottom w:type="dxa" w:w="80"/>
              <w:right w:type="dxa" w:w="110"/>
            </w:tcMar>
          </w:tcPr>
          <w:p>
            <w:pPr>
              <w:spacing w:after="0"/>
            </w:pPr>
            <w:r>
              <w:rPr>
                <w:b w:val="false"/>
                <w:bCs w:val="false"/>
                <w:color w:val="0B0B0B"/>
                <w:sz w:val="18"/>
                <w:szCs w:val="18"/>
              </w:rPr>
              <w:t xml:space="preserve">ΔBI +27,9 pts; 55,1% mejora ≥1 categoría; 0/78 desciende de categoría (98,7% sin deterioro de puntaje); 84,0% de los severos (BI 20–35) alcanza dependencia leve o independencia</w:t>
            </w:r>
          </w:p>
        </w:tc>
      </w:tr>
      <w:tr>
        <w:tc>
          <w:tcPr>
            <w:tcW w:type="dxa" w:w="1750"/>
            <w:shd w:fill="EEF4FC" w:color="auto" w:val="clear"/>
            <w:tcMar>
              <w:top w:type="dxa" w:w="80"/>
              <w:left w:type="dxa" w:w="110"/>
              <w:bottom w:type="dxa" w:w="80"/>
              <w:right w:type="dxa" w:w="110"/>
            </w:tcMar>
          </w:tcPr>
          <w:p>
            <w:pPr>
              <w:spacing w:after="0"/>
            </w:pPr>
            <w:r>
              <w:rPr>
                <w:b w:val="false"/>
                <w:bCs w:val="false"/>
                <w:color w:val="0B0B0B"/>
                <w:sz w:val="18"/>
                <w:szCs w:val="18"/>
              </w:rPr>
              <w:t xml:space="preserve">Sci Rep (2025) — Ref. 2</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39.140</w:t>
            </w:r>
          </w:p>
        </w:tc>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Aguda (≤14 días)</w:t>
            </w:r>
          </w:p>
        </w:tc>
        <w:tc>
          <w:tcPr>
            <w:tcW w:type="dxa" w:w="1220"/>
            <w:shd w:fill="EEF4FC" w:color="auto" w:val="clear"/>
            <w:tcMar>
              <w:top w:type="dxa" w:w="80"/>
              <w:left w:type="dxa" w:w="110"/>
              <w:bottom w:type="dxa" w:w="80"/>
              <w:right w:type="dxa" w:w="110"/>
            </w:tcMar>
          </w:tcPr>
          <w:p>
            <w:pPr>
              <w:spacing w:after="0"/>
            </w:pPr>
            <w:r>
              <w:rPr>
                <w:b w:val="false"/>
                <w:bCs w:val="false"/>
                <w:color w:val="0B0B0B"/>
                <w:sz w:val="18"/>
                <w:szCs w:val="18"/>
              </w:rPr>
              <w:t xml:space="preserve">Cohorte nacional, pareo por propensión</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mRS</w:t>
            </w:r>
          </w:p>
        </w:tc>
        <w:tc>
          <w:tcPr>
            <w:tcW w:type="dxa" w:w="3040"/>
            <w:shd w:fill="EEF4FC" w:color="auto" w:val="clear"/>
            <w:tcMar>
              <w:top w:type="dxa" w:w="80"/>
              <w:left w:type="dxa" w:w="110"/>
              <w:bottom w:type="dxa" w:w="80"/>
              <w:right w:type="dxa" w:w="110"/>
            </w:tcMar>
          </w:tcPr>
          <w:p>
            <w:pPr>
              <w:spacing w:after="0"/>
            </w:pPr>
            <w:r>
              <w:rPr>
                <w:b w:val="false"/>
                <w:bCs w:val="false"/>
                <w:color w:val="0B0B0B"/>
                <w:sz w:val="18"/>
                <w:szCs w:val="18"/>
              </w:rPr>
              <w:t xml:space="preserve">Rehabilitación ≥60 min/día: el cuartil de mayor beneficio se caracteriza por compromiso grave de AVD basal (efecto medio +17,1%; IC95% 15,3–19,0). El estado de AVD es el principal determinante de heterogeneidad</w:t>
            </w:r>
          </w:p>
        </w:tc>
      </w:tr>
      <w:tr>
        <w:tc>
          <w:tcPr>
            <w:tcW w:type="dxa" w:w="1750"/>
            <w:tcMar>
              <w:top w:type="dxa" w:w="80"/>
              <w:left w:type="dxa" w:w="110"/>
              <w:bottom w:type="dxa" w:w="80"/>
              <w:right w:type="dxa" w:w="110"/>
            </w:tcMar>
          </w:tcPr>
          <w:p>
            <w:pPr>
              <w:spacing w:after="0"/>
            </w:pPr>
            <w:r>
              <w:rPr>
                <w:b w:val="false"/>
                <w:bCs w:val="false"/>
                <w:color w:val="0B0B0B"/>
                <w:sz w:val="18"/>
                <w:szCs w:val="18"/>
              </w:rPr>
              <w:t xml:space="preserve">Triantis &amp; Liu (2024) — Ref. 4</w:t>
            </w:r>
          </w:p>
        </w:tc>
        <w:tc>
          <w:tcPr>
            <w:tcW w:type="dxa" w:w="780"/>
            <w:tcMar>
              <w:top w:type="dxa" w:w="80"/>
              <w:left w:type="dxa" w:w="110"/>
              <w:bottom w:type="dxa" w:w="80"/>
              <w:right w:type="dxa" w:w="110"/>
            </w:tcMar>
          </w:tcPr>
          <w:p>
            <w:pPr>
              <w:spacing w:after="0"/>
            </w:pPr>
            <w:r>
              <w:rPr>
                <w:b w:val="false"/>
                <w:bCs w:val="false"/>
                <w:color w:val="0B0B0B"/>
                <w:sz w:val="18"/>
                <w:szCs w:val="18"/>
              </w:rPr>
              <w:t xml:space="preserve">602 (14 ECA)</w:t>
            </w:r>
          </w:p>
        </w:tc>
        <w:tc>
          <w:tcPr>
            <w:tcW w:type="dxa" w:w="1450"/>
            <w:tcMar>
              <w:top w:type="dxa" w:w="80"/>
              <w:left w:type="dxa" w:w="110"/>
              <w:bottom w:type="dxa" w:w="80"/>
              <w:right w:type="dxa" w:w="110"/>
            </w:tcMar>
          </w:tcPr>
          <w:p>
            <w:pPr>
              <w:spacing w:after="0"/>
            </w:pPr>
            <w:r>
              <w:rPr>
                <w:b w:val="false"/>
                <w:bCs w:val="false"/>
                <w:color w:val="0B0B0B"/>
                <w:sz w:val="18"/>
                <w:szCs w:val="18"/>
              </w:rPr>
              <w:t xml:space="preserve">Hospitalizados post-ACV</w:t>
            </w:r>
          </w:p>
        </w:tc>
        <w:tc>
          <w:tcPr>
            <w:tcW w:type="dxa" w:w="1220"/>
            <w:tcMar>
              <w:top w:type="dxa" w:w="80"/>
              <w:left w:type="dxa" w:w="110"/>
              <w:bottom w:type="dxa" w:w="80"/>
              <w:right w:type="dxa" w:w="110"/>
            </w:tcMar>
          </w:tcPr>
          <w:p>
            <w:pPr>
              <w:spacing w:after="0"/>
            </w:pPr>
            <w:r>
              <w:rPr>
                <w:b w:val="false"/>
                <w:bCs w:val="false"/>
                <w:color w:val="0B0B0B"/>
                <w:sz w:val="18"/>
                <w:szCs w:val="18"/>
              </w:rPr>
              <w:t xml:space="preserve">Revisión sistemática y metaanálisis</w:t>
            </w:r>
          </w:p>
        </w:tc>
        <w:tc>
          <w:tcPr>
            <w:tcW w:type="dxa" w:w="780"/>
            <w:tcMar>
              <w:top w:type="dxa" w:w="80"/>
              <w:left w:type="dxa" w:w="110"/>
              <w:bottom w:type="dxa" w:w="80"/>
              <w:right w:type="dxa" w:w="110"/>
            </w:tcMar>
          </w:tcPr>
          <w:p>
            <w:pPr>
              <w:spacing w:after="0"/>
            </w:pPr>
            <w:r>
              <w:rPr>
                <w:b w:val="false"/>
                <w:bCs w:val="false"/>
                <w:color w:val="0B0B0B"/>
                <w:sz w:val="18"/>
                <w:szCs w:val="18"/>
              </w:rPr>
              <w:t xml:space="preserve">AVD</w:t>
            </w:r>
          </w:p>
        </w:tc>
        <w:tc>
          <w:tcPr>
            <w:tcW w:type="dxa" w:w="3040"/>
            <w:tcMar>
              <w:top w:type="dxa" w:w="80"/>
              <w:left w:type="dxa" w:w="110"/>
              <w:bottom w:type="dxa" w:w="80"/>
              <w:right w:type="dxa" w:w="110"/>
            </w:tcMar>
          </w:tcPr>
          <w:p>
            <w:pPr>
              <w:spacing w:after="0"/>
            </w:pPr>
            <w:r>
              <w:rPr>
                <w:b w:val="false"/>
                <w:bCs w:val="false"/>
                <w:color w:val="0B0B0B"/>
                <w:sz w:val="18"/>
                <w:szCs w:val="18"/>
              </w:rPr>
              <w:t xml:space="preserve">Sin diferencia significativa entre grupos, porque ambos brazos recibieron intervención en AVD: la intervención en AVD es el estándar comparador, no un brazo inactivo</w:t>
            </w:r>
          </w:p>
        </w:tc>
      </w:tr>
      <w:tr>
        <w:tc>
          <w:tcPr>
            <w:tcW w:type="dxa" w:w="1750"/>
            <w:shd w:fill="EEF4FC" w:color="auto" w:val="clear"/>
            <w:tcMar>
              <w:top w:type="dxa" w:w="80"/>
              <w:left w:type="dxa" w:w="110"/>
              <w:bottom w:type="dxa" w:w="80"/>
              <w:right w:type="dxa" w:w="110"/>
            </w:tcMar>
          </w:tcPr>
          <w:p>
            <w:pPr>
              <w:spacing w:after="0"/>
            </w:pPr>
            <w:r>
              <w:rPr>
                <w:b w:val="false"/>
                <w:bCs w:val="false"/>
                <w:color w:val="0B0B0B"/>
                <w:sz w:val="18"/>
                <w:szCs w:val="18"/>
              </w:rPr>
              <w:t xml:space="preserve">EOTIPS (2024) — Ref. 6</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60</w:t>
            </w:r>
          </w:p>
        </w:tc>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Post-alta domiciliaria (~3 meses)</w:t>
            </w:r>
          </w:p>
        </w:tc>
        <w:tc>
          <w:tcPr>
            <w:tcW w:type="dxa" w:w="1220"/>
            <w:shd w:fill="EEF4FC" w:color="auto" w:val="clear"/>
            <w:tcMar>
              <w:top w:type="dxa" w:w="80"/>
              <w:left w:type="dxa" w:w="110"/>
              <w:bottom w:type="dxa" w:w="80"/>
              <w:right w:type="dxa" w:w="110"/>
            </w:tcMar>
          </w:tcPr>
          <w:p>
            <w:pPr>
              <w:spacing w:after="0"/>
            </w:pPr>
            <w:r>
              <w:rPr>
                <w:b w:val="false"/>
                <w:bCs w:val="false"/>
                <w:color w:val="0B0B0B"/>
                <w:sz w:val="18"/>
                <w:szCs w:val="18"/>
              </w:rPr>
              <w:t xml:space="preserve">ECA</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BI</w:t>
            </w:r>
          </w:p>
        </w:tc>
        <w:tc>
          <w:tcPr>
            <w:tcW w:type="dxa" w:w="3040"/>
            <w:shd w:fill="EEF4FC" w:color="auto" w:val="clear"/>
            <w:tcMar>
              <w:top w:type="dxa" w:w="80"/>
              <w:left w:type="dxa" w:w="110"/>
              <w:bottom w:type="dxa" w:w="80"/>
              <w:right w:type="dxa" w:w="110"/>
            </w:tcMar>
          </w:tcPr>
          <w:p>
            <w:pPr>
              <w:spacing w:after="0"/>
            </w:pPr>
            <w:r>
              <w:rPr>
                <w:b w:val="false"/>
                <w:bCs w:val="false"/>
                <w:color w:val="0B0B0B"/>
                <w:sz w:val="18"/>
                <w:szCs w:val="18"/>
              </w:rPr>
              <w:t xml:space="preserve">BI 52,5→85,0 (control) y 54,7→90,0 (experimental); cambio ~+32 a +35 pts; sin diferencia significativa entre grupos (F=0,46; p=0,496)</w:t>
            </w:r>
          </w:p>
        </w:tc>
      </w:tr>
      <w:tr>
        <w:tc>
          <w:tcPr>
            <w:tcW w:type="dxa" w:w="1750"/>
            <w:tcMar>
              <w:top w:type="dxa" w:w="80"/>
              <w:left w:type="dxa" w:w="110"/>
              <w:bottom w:type="dxa" w:w="80"/>
              <w:right w:type="dxa" w:w="110"/>
            </w:tcMar>
          </w:tcPr>
          <w:p>
            <w:pPr>
              <w:spacing w:after="0"/>
            </w:pPr>
            <w:r>
              <w:rPr>
                <w:b w:val="false"/>
                <w:bCs w:val="false"/>
                <w:color w:val="0B0B0B"/>
                <w:sz w:val="18"/>
                <w:szCs w:val="18"/>
              </w:rPr>
              <w:t xml:space="preserve">J Formos Med Assoc (2021) — Ref. 7</w:t>
            </w:r>
          </w:p>
        </w:tc>
        <w:tc>
          <w:tcPr>
            <w:tcW w:type="dxa" w:w="780"/>
            <w:tcMar>
              <w:top w:type="dxa" w:w="80"/>
              <w:left w:type="dxa" w:w="110"/>
              <w:bottom w:type="dxa" w:w="80"/>
              <w:right w:type="dxa" w:w="110"/>
            </w:tcMar>
          </w:tcPr>
          <w:p>
            <w:pPr>
              <w:spacing w:after="0"/>
            </w:pPr>
            <w:r>
              <w:rPr>
                <w:b w:val="false"/>
                <w:bCs w:val="false"/>
                <w:color w:val="0B0B0B"/>
                <w:sz w:val="18"/>
                <w:szCs w:val="18"/>
              </w:rPr>
              <w:t xml:space="preserve">3.000</w:t>
            </w:r>
          </w:p>
        </w:tc>
        <w:tc>
          <w:tcPr>
            <w:tcW w:type="dxa" w:w="1450"/>
            <w:tcMar>
              <w:top w:type="dxa" w:w="80"/>
              <w:left w:type="dxa" w:w="110"/>
              <w:bottom w:type="dxa" w:w="80"/>
              <w:right w:type="dxa" w:w="110"/>
            </w:tcMar>
          </w:tcPr>
          <w:p>
            <w:pPr>
              <w:spacing w:after="0"/>
            </w:pPr>
            <w:r>
              <w:rPr>
                <w:b w:val="false"/>
                <w:bCs w:val="false"/>
                <w:color w:val="0B0B0B"/>
                <w:sz w:val="18"/>
                <w:szCs w:val="18"/>
              </w:rPr>
              <w:t xml:space="preserve">Post-aguda</w:t>
            </w:r>
          </w:p>
        </w:tc>
        <w:tc>
          <w:tcPr>
            <w:tcW w:type="dxa" w:w="1220"/>
            <w:tcMar>
              <w:top w:type="dxa" w:w="80"/>
              <w:left w:type="dxa" w:w="110"/>
              <w:bottom w:type="dxa" w:w="80"/>
              <w:right w:type="dxa" w:w="110"/>
            </w:tcMar>
          </w:tcPr>
          <w:p>
            <w:pPr>
              <w:spacing w:after="0"/>
            </w:pPr>
            <w:r>
              <w:rPr>
                <w:b w:val="false"/>
                <w:bCs w:val="false"/>
                <w:color w:val="0B0B0B"/>
                <w:sz w:val="18"/>
                <w:szCs w:val="18"/>
              </w:rPr>
              <w:t xml:space="preserve">Cohorte</w:t>
            </w:r>
          </w:p>
        </w:tc>
        <w:tc>
          <w:tcPr>
            <w:tcW w:type="dxa" w:w="780"/>
            <w:tcMar>
              <w:top w:type="dxa" w:w="80"/>
              <w:left w:type="dxa" w:w="110"/>
              <w:bottom w:type="dxa" w:w="80"/>
              <w:right w:type="dxa" w:w="110"/>
            </w:tcMar>
          </w:tcPr>
          <w:p>
            <w:pPr>
              <w:spacing w:after="0"/>
            </w:pPr>
            <w:r>
              <w:rPr>
                <w:b w:val="false"/>
                <w:bCs w:val="false"/>
                <w:color w:val="0B0B0B"/>
                <w:sz w:val="18"/>
                <w:szCs w:val="18"/>
              </w:rPr>
              <w:t xml:space="preserve">mBI</w:t>
            </w:r>
          </w:p>
        </w:tc>
        <w:tc>
          <w:tcPr>
            <w:tcW w:type="dxa" w:w="3040"/>
            <w:tcMar>
              <w:top w:type="dxa" w:w="80"/>
              <w:left w:type="dxa" w:w="110"/>
              <w:bottom w:type="dxa" w:w="80"/>
              <w:right w:type="dxa" w:w="110"/>
            </w:tcMar>
          </w:tcPr>
          <w:p>
            <w:pPr>
              <w:spacing w:after="0"/>
            </w:pPr>
            <w:r>
              <w:rPr>
                <w:b w:val="false"/>
                <w:bCs w:val="false"/>
                <w:color w:val="0B0B0B"/>
                <w:sz w:val="18"/>
                <w:szCs w:val="18"/>
              </w:rPr>
              <w:t xml:space="preserve">La función basal en AVD es el principal factor pronóstico de independencia al alta</w:t>
            </w:r>
          </w:p>
        </w:tc>
      </w:tr>
      <w:tr>
        <w:tc>
          <w:tcPr>
            <w:tcW w:type="dxa" w:w="1750"/>
            <w:shd w:fill="EEF4FC" w:color="auto" w:val="clear"/>
            <w:tcMar>
              <w:top w:type="dxa" w:w="80"/>
              <w:left w:type="dxa" w:w="110"/>
              <w:bottom w:type="dxa" w:w="80"/>
              <w:right w:type="dxa" w:w="110"/>
            </w:tcMar>
          </w:tcPr>
          <w:p>
            <w:pPr>
              <w:spacing w:after="0"/>
            </w:pPr>
            <w:r>
              <w:rPr>
                <w:b w:val="false"/>
                <w:bCs w:val="false"/>
                <w:color w:val="0B0B0B"/>
                <w:sz w:val="18"/>
                <w:szCs w:val="18"/>
              </w:rPr>
              <w:t xml:space="preserve">CogniReMo (2025) — Ref. 1</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386</w:t>
            </w:r>
          </w:p>
        </w:tc>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Subaguda</w:t>
            </w:r>
          </w:p>
        </w:tc>
        <w:tc>
          <w:tcPr>
            <w:tcW w:type="dxa" w:w="1220"/>
            <w:shd w:fill="EEF4FC" w:color="auto" w:val="clear"/>
            <w:tcMar>
              <w:top w:type="dxa" w:w="80"/>
              <w:left w:type="dxa" w:w="110"/>
              <w:bottom w:type="dxa" w:w="80"/>
              <w:right w:type="dxa" w:w="110"/>
            </w:tcMar>
          </w:tcPr>
          <w:p>
            <w:pPr>
              <w:spacing w:after="0"/>
            </w:pPr>
            <w:r>
              <w:rPr>
                <w:b w:val="false"/>
                <w:bCs w:val="false"/>
                <w:color w:val="0B0B0B"/>
                <w:sz w:val="18"/>
                <w:szCs w:val="18"/>
              </w:rPr>
              <w:t xml:space="preserve">Análisis de conglomerados</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Cognitivo y motor</w:t>
            </w:r>
          </w:p>
        </w:tc>
        <w:tc>
          <w:tcPr>
            <w:tcW w:type="dxa" w:w="3040"/>
            <w:shd w:fill="EEF4FC" w:color="auto" w:val="clear"/>
            <w:tcMar>
              <w:top w:type="dxa" w:w="80"/>
              <w:left w:type="dxa" w:w="110"/>
              <w:bottom w:type="dxa" w:w="80"/>
              <w:right w:type="dxa" w:w="110"/>
            </w:tcMar>
          </w:tcPr>
          <w:p>
            <w:pPr>
              <w:spacing w:after="0"/>
            </w:pPr>
            <w:r>
              <w:rPr>
                <w:b w:val="false"/>
                <w:bCs w:val="false"/>
                <w:color w:val="0B0B0B"/>
                <w:sz w:val="18"/>
                <w:szCs w:val="18"/>
              </w:rPr>
              <w:t xml:space="preserve">El tiempo entre el evento agudo y el inicio de la rehabilitación determina significativamente la efectividad rehabilitadora</w:t>
            </w:r>
          </w:p>
        </w:tc>
      </w:tr>
    </w:tbl>
    <w:p>
      <w:pPr>
        <w:spacing w:after="160"/>
      </w:pPr>
      <w:r>
        <w:rPr>
          <w:b w:val="false"/>
          <w:bCs w:val="false"/>
          <w:i w:val="false"/>
          <w:iCs w:val="false"/>
          <w:color w:val="0B0B0B"/>
          <w:sz w:val="20"/>
          <w:szCs w:val="20"/>
        </w:rPr>
        <w:t xml:space="preserve">Lectura del contraste. La ganancia funcional de esta cohorte (ΔBI +27,9 pts) es de magnitud comparable a la de EOTIPS (~+32 a +35 pts), pero obtenida en una mediana de 5 días de hospitalización aguda frente a un seguimiento de ~3 meses. La comparación es indicativa, no equivalente: las poblaciones difieren y este estudio no tiene grupo control, por lo que no permite atribuir causalidad a la terapia ocupacional.</w:t>
      </w:r>
    </w:p>
    <w:p>
      <w:pPr>
        <w:pStyle w:val="Heading1"/>
        <w:spacing w:after="150" w:before="300"/>
      </w:pPr>
      <w:r>
        <w:t xml:space="preserve">3. Cómo fortalecer el póster con esta evidencia</w:t>
      </w:r>
    </w:p>
    <w:p>
      <w:pPr>
        <w:spacing w:after="100"/>
      </w:pPr>
      <w:r>
        <w:rPr>
          <w:b/>
          <w:bCs/>
          <w:i w:val="false"/>
          <w:iCs w:val="false"/>
          <w:color w:val="0B0B0B"/>
          <w:sz w:val="22"/>
          <w:szCs w:val="22"/>
        </w:rPr>
        <w:t xml:space="preserve">3.1. La evidencia reciente respalda su recomendación tal como está</w:t>
      </w:r>
    </w:p>
    <w:p>
      <w:pPr>
        <w:spacing w:after="120"/>
      </w:pPr>
      <w:r>
        <w:rPr>
          <w:b w:val="false"/>
          <w:bCs w:val="false"/>
          <w:i w:val="false"/>
          <w:iCs w:val="false"/>
          <w:color w:val="0B0B0B"/>
          <w:sz w:val="22"/>
          <w:szCs w:val="22"/>
        </w:rPr>
        <w:t xml:space="preserve">El estudio nacional de dosis (Ref. 2; n=39.140, pareado por propensión) encontró que el beneficio de la rehabilitación de alta dosis (≥60 min/día en fase aguda) se concentra en los pacientes con compromiso grave de AVD basal, y que el estado de AVD es el principal determinante de heterogeneidad del efecto. Es sustento directo y contemporáneo de la conclusión del abstract: a mayor compromiso, mayor intensidad diaria de intervención. La formulación original no necesita suavizarse.</w:t>
      </w:r>
    </w:p>
    <w:p>
      <w:pPr>
        <w:spacing w:after="100"/>
      </w:pPr>
      <w:r>
        <w:rPr>
          <w:b/>
          <w:bCs/>
          <w:i w:val="false"/>
          <w:iCs w:val="false"/>
          <w:color w:val="0B0B0B"/>
          <w:sz w:val="22"/>
          <w:szCs w:val="22"/>
        </w:rPr>
        <w:t xml:space="preserve">3.2. Convergencia entre los dos ejes centrales</w:t>
      </w:r>
    </w:p>
    <w:p>
      <w:pPr>
        <w:spacing w:after="120"/>
      </w:pPr>
      <w:r>
        <w:rPr>
          <w:b w:val="false"/>
          <w:bCs w:val="false"/>
          <w:i w:val="false"/>
          <w:iCs w:val="false"/>
          <w:color w:val="0B0B0B"/>
          <w:sz w:val="22"/>
          <w:szCs w:val="22"/>
        </w:rPr>
        <w:t xml:space="preserve">Las Ref. 2 y Ref. 7 coinciden, en cohortes de 39.140 y 3.000 pacientes, en que la función basal en AVD es el principal factor pronóstico del desenlace funcional. Su r = −0,446 va en la misma dirección y en una cohorte latinoamericana en fase aguda, contexto poco representado en esa literatura.</w:t>
      </w:r>
    </w:p>
    <w:p>
      <w:pPr>
        <w:spacing w:after="100"/>
      </w:pPr>
      <w:r>
        <w:rPr>
          <w:b/>
          <w:bCs/>
          <w:i w:val="false"/>
          <w:iCs w:val="false"/>
          <w:color w:val="0B0B0B"/>
          <w:sz w:val="22"/>
          <w:szCs w:val="22"/>
        </w:rPr>
        <w:t xml:space="preserve">3.3. Precisiones de redacción aplicadas</w:t>
      </w:r>
    </w:p>
    <w:p>
      <w:pPr>
        <w:spacing w:after="120"/>
      </w:pPr>
      <w:r>
        <w:rPr>
          <w:b w:val="false"/>
          <w:bCs w:val="false"/>
          <w:i w:val="false"/>
          <w:iCs w:val="false"/>
          <w:color w:val="0B0B0B"/>
          <w:sz w:val="22"/>
          <w:szCs w:val="22"/>
        </w:rPr>
        <w:t xml:space="preserve">• Deterioro: «ningún paciente descendió de categoría funcional (0/78); 98,7% sin deterioro de puntaje». Un paciente de 93 años descendió 5 puntos de Barthel sin cambiar de categoría.</w:t>
      </w:r>
    </w:p>
    <w:p>
      <w:pPr>
        <w:spacing w:after="120"/>
      </w:pPr>
      <w:r>
        <w:rPr>
          <w:b w:val="false"/>
          <w:bCs w:val="false"/>
          <w:i w:val="false"/>
          <w:iCs w:val="false"/>
          <w:color w:val="0B0B0B"/>
          <w:sz w:val="22"/>
          <w:szCs w:val="22"/>
        </w:rPr>
        <w:t xml:space="preserve">• Grupo etario: rotular 76–90 años, que es el corte que reproduce exactamente las cifras publicadas (+2,7 pts; 81,0%).</w:t>
      </w:r>
    </w:p>
    <w:p>
      <w:pPr>
        <w:spacing w:after="120"/>
      </w:pPr>
      <w:r>
        <w:rPr>
          <w:b w:val="false"/>
          <w:bCs w:val="false"/>
          <w:i w:val="false"/>
          <w:iCs w:val="false"/>
          <w:color w:val="0B0B0B"/>
          <w:sz w:val="22"/>
          <w:szCs w:val="22"/>
        </w:rPr>
        <w:t xml:space="preserve">• Severidad: definir explícitamente «Severe = BI 20–35» (21/25 = 84,0%). Sin esa definición la cifra no es reproducible: todo BI ≤35 rinde 63,2%.</w:t>
      </w:r>
    </w:p>
    <w:p>
      <w:pPr>
        <w:spacing w:after="100"/>
      </w:pPr>
      <w:r>
        <w:rPr>
          <w:b/>
          <w:bCs/>
          <w:i w:val="false"/>
          <w:iCs w:val="false"/>
          <w:color w:val="0B0B0B"/>
          <w:sz w:val="22"/>
          <w:szCs w:val="22"/>
        </w:rPr>
        <w:t xml:space="preserve">3.4. Limitaciones a declarar antes de que las pregunten</w:t>
      </w:r>
    </w:p>
    <w:p>
      <w:pPr>
        <w:spacing w:after="120"/>
      </w:pPr>
      <w:r>
        <w:rPr>
          <w:b w:val="false"/>
          <w:bCs w:val="false"/>
          <w:i w:val="false"/>
          <w:iCs w:val="false"/>
          <w:color w:val="0B0B0B"/>
          <w:sz w:val="22"/>
          <w:szCs w:val="22"/>
        </w:rPr>
        <w:t xml:space="preserve">Diseño retrospectivo sin grupo control (no permite atribuir causalidad a la TO); atrición no aleatoria (26/104 sin Barthel pareado, de mayor edad —76,5 vs 69,8 años— y estadía más larga); &gt;90 años con n=4–5, estimaciones inestables; MMSE en versión de 19 puntos, no estándar; efecto techo en pacientes jóvenes; y regresión a la media como explicación alternativa parcial de la correlación entre puntaje de ingreso y cambio.</w:t>
      </w:r>
    </w:p>
    <w:p>
      <w:pPr>
        <w:pStyle w:val="Heading1"/>
        <w:spacing w:after="150" w:before="300"/>
      </w:pPr>
      <w:r>
        <w:t xml:space="preserve">4. Referencias</w:t>
      </w:r>
    </w:p>
    <w:p>
      <w:pPr>
        <w:spacing w:after="130"/>
      </w:pPr>
      <w:r>
        <w:rPr>
          <w:b w:val="false"/>
          <w:bCs w:val="false"/>
          <w:i w:val="false"/>
          <w:iCs w:val="false"/>
          <w:color w:val="0B0B0B"/>
          <w:sz w:val="19"/>
          <w:szCs w:val="19"/>
        </w:rPr>
        <w:t xml:space="preserve">1. Mancuso M, Iosa M, Morone G, De Bartolo D, Ciancarelli I. How do the timing of early rehabilitation together with cognitive and functional variables influence stroke recovery? Results from the CogniReMo Italian multicentric study. Healthcare (Basel). 2025;13(3):316. DOI 10.3390/healthcare13030316.</w:t>
      </w:r>
    </w:p>
    <w:p>
      <w:pPr>
        <w:spacing w:after="130"/>
      </w:pPr>
      <w:r>
        <w:rPr>
          <w:b w:val="false"/>
          <w:bCs w:val="false"/>
          <w:i w:val="false"/>
          <w:iCs w:val="false"/>
          <w:color w:val="0B0B0B"/>
          <w:sz w:val="19"/>
          <w:szCs w:val="19"/>
        </w:rPr>
        <w:t xml:space="preserve">2. Effectiveness of rehabilitation dose heterogeneity for improving functional outcomes of patients with acute stroke: a nationwide observational study. Sci Rep. 2025. DOI 10.1038/s41598-025-32006-w. [Autores, volumen y páginas por confirmar]</w:t>
      </w:r>
    </w:p>
    <w:p>
      <w:pPr>
        <w:spacing w:after="130"/>
      </w:pPr>
      <w:r>
        <w:rPr>
          <w:b w:val="false"/>
          <w:bCs w:val="false"/>
          <w:i w:val="false"/>
          <w:iCs w:val="false"/>
          <w:color w:val="0B0B0B"/>
          <w:sz w:val="19"/>
          <w:szCs w:val="19"/>
        </w:rPr>
        <w:t xml:space="preserve">3. Heterogeneity in the effectiveness of rehabilitation dose on activities of daily living in post-acute stroke: target trial emulation. J Am Med Dir Assoc. PMID 41966702. [Autores, año, volumen y páginas por confirmar]</w:t>
      </w:r>
    </w:p>
    <w:p>
      <w:pPr>
        <w:spacing w:after="130"/>
      </w:pPr>
      <w:r>
        <w:rPr>
          <w:b w:val="false"/>
          <w:bCs w:val="false"/>
          <w:i w:val="false"/>
          <w:iCs w:val="false"/>
          <w:color w:val="0B0B0B"/>
          <w:sz w:val="19"/>
          <w:szCs w:val="19"/>
        </w:rPr>
        <w:t xml:space="preserve">4. Triantis E, Liu KP. Activities of daily living interventions on activity performance of inpatients post-stroke: a systematic review and meta-analysis. Br J Occup Ther. 2024;87(10):598–613. PMID 40343210.</w:t>
      </w:r>
    </w:p>
    <w:p>
      <w:pPr>
        <w:spacing w:after="130"/>
      </w:pPr>
      <w:r>
        <w:rPr>
          <w:b w:val="false"/>
          <w:bCs w:val="false"/>
          <w:i w:val="false"/>
          <w:iCs w:val="false"/>
          <w:color w:val="0B0B0B"/>
          <w:sz w:val="19"/>
          <w:szCs w:val="19"/>
        </w:rPr>
        <w:t xml:space="preserve">5. Occupational therapy and activities of daily living interventions to improve performance in activities of daily living for adults with stroke (2012–2019). Am J Occup Ther. 2023. PMID 37220005. [Autores, volumen y páginas por confirmar]</w:t>
      </w:r>
    </w:p>
    <w:p>
      <w:pPr>
        <w:spacing w:after="130"/>
      </w:pPr>
      <w:r>
        <w:rPr>
          <w:b w:val="false"/>
          <w:bCs w:val="false"/>
          <w:i w:val="false"/>
          <w:iCs w:val="false"/>
          <w:color w:val="0B0B0B"/>
          <w:sz w:val="19"/>
          <w:szCs w:val="19"/>
        </w:rPr>
        <w:t xml:space="preserve">6. Early Occupational Therapy Intervention post-stroke (EOTIPS): a randomized controlled trial. PLoS One. 2024. PMID 39159190. DOI 10.1371/journal.pone.0308800. [Autores, volumen y páginas por confirmar]</w:t>
      </w:r>
    </w:p>
    <w:p>
      <w:pPr>
        <w:spacing w:after="130"/>
      </w:pPr>
      <w:r>
        <w:rPr>
          <w:b w:val="false"/>
          <w:bCs w:val="false"/>
          <w:i w:val="false"/>
          <w:iCs w:val="false"/>
          <w:color w:val="0B0B0B"/>
          <w:sz w:val="19"/>
          <w:szCs w:val="19"/>
        </w:rPr>
        <w:t xml:space="preserve">7. Prognostic factors of functional outcome in post-acute stroke in the rehabilitation unit. J Formos Med Assoc. 2021. PMID 34303583. [Autores, volumen y páginas por confirmar]</w:t>
      </w:r>
    </w:p>
    <w:p>
      <w:pPr>
        <w:spacing w:after="130"/>
      </w:pPr>
      <w:r>
        <w:rPr>
          <w:b w:val="false"/>
          <w:bCs w:val="false"/>
          <w:i w:val="false"/>
          <w:iCs w:val="false"/>
          <w:color w:val="0B0B0B"/>
          <w:sz w:val="19"/>
          <w:szCs w:val="19"/>
        </w:rPr>
        <w:t xml:space="preserve">8. Girgenti SG, Brunson AO, Marsh EB. Baseline function and rehabilitation are as important as stroke severity as long-term predictors of cognitive performance post-stroke. Am J Phys Med Rehabil. 2023;102(2S):S43–S50. PMID 36634330. DOI 10.1097/PHM.0000000000002125.</w:t>
      </w:r>
    </w:p>
    <w:p>
      <w:pPr>
        <w:spacing w:after="130"/>
      </w:pPr>
      <w:r>
        <w:rPr>
          <w:b w:val="false"/>
          <w:bCs w:val="false"/>
          <w:i w:val="false"/>
          <w:iCs w:val="false"/>
          <w:color w:val="0B0B0B"/>
          <w:sz w:val="19"/>
          <w:szCs w:val="19"/>
        </w:rPr>
        <w:t xml:space="preserve">9. The impact of cognitive function deficits and their recovery on functional outcome in subjects affected by ischemic subacute stroke: results from the Italian multicenter longitudinal study CogniReMo. Eur J Phys Rehabil Med. 2023;59(3):284–93. PMID 37184413. [Autores por confirmar]</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B0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2026-09-02T21:08:24.932Z</dcterms:created>
  <dcterms:modified xsi:type="dcterms:W3CDTF">2026-09-02T21:08:24.932Z</dcterms:modified>
</cp:coreProperties>
</file>

<file path=docProps/custom.xml><?xml version="1.0" encoding="utf-8"?>
<Properties xmlns="http://schemas.openxmlformats.org/officeDocument/2006/custom-properties" xmlns:vt="http://schemas.openxmlformats.org/officeDocument/2006/docPropsVTypes"/>
</file>