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9.png" ContentType="image/png"/>
  <Override PartName="/word/media/rId39.png" ContentType="image/png"/>
  <Override PartName="/word/media/rId57.png" ContentType="image/png"/>
  <Override PartName="/word/media/rId35.png" ContentType="image/png"/>
  <Override PartName="/word/media/rId53.png" ContentType="image/png"/>
  <Override PartName="/word/media/rId27.png" ContentType="image/png"/>
  <Override PartName="/word/media/rId4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Модель боевых действий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на языке прогаммирования Julia и посредством ПО OpenModelica.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10 000 человек, а</w:t>
      </w:r>
      <w:r>
        <w:t xml:space="preserve"> </w:t>
      </w:r>
      <w:r>
        <w:t xml:space="preserve">в распоряжении страны У армия численностью в 29 000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w:r>
        <w:t xml:space="preserve">a,b,c,h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pStyle w:val="BodyText"/>
      </w:pPr>
      <w:bookmarkStart w:id="24" w:name="fig:001"/>
      <w:r>
        <w:drawing>
          <wp:inline>
            <wp:extent cx="3733800" cy="19943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za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(законы Осипова — Ланчестера) —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</w:t>
      </w:r>
      <w:r>
        <w:t xml:space="preserve"> </w:t>
      </w:r>
      <w:r>
        <w:t xml:space="preserve">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 Мировая война, две революции в России не позволили новой власти заявить в установленном в научной среде порядке об открытии царского офицера.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p>
      <w:pPr>
        <w:pStyle w:val="BodyText"/>
      </w:pPr>
      <w:r>
        <w:t xml:space="preserve">В 1916 году, в разгар первой мировой войны, Фредерик Ланчестер разработал систему дифференциальных уравнений для демонстрации соотношения между противостоящими силами.</w:t>
      </w:r>
      <w:r>
        <w:t xml:space="preserve"> </w:t>
      </w:r>
      <w:r>
        <w:t xml:space="preserve">Среди них есть так называемые Линейные законы Ланчестера (первого рода или честного боя, для рукопашного боя или неприцельного огня) и Квадратичные законы Ланчестера (для войн начиная с XX века с применением прицельного огня, дальнобойных орудий, огнестрельного оружия). В связи с установленным приоритетом в англоязычной литературе наметилась тенденция перехода от фразы «модель Ланчестера» к «модели Осипова — Ланчестера»</w:t>
      </w:r>
      <w:r>
        <w:t xml:space="preserve"> </w:t>
      </w:r>
      <w:r>
        <w:t xml:space="preserve">[@wiki:bash]</w:t>
      </w:r>
      <w:r>
        <w:t xml:space="preserve">.</w:t>
      </w:r>
    </w:p>
    <w:bookmarkEnd w:id="26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7c647783a0d1e0b6274cff853a0d7e99fafdf8"/>
    <w:p>
      <w:pPr>
        <w:pStyle w:val="Heading2"/>
      </w:pPr>
      <w:r>
        <w:t xml:space="preserve">Модель боевых действий между регулярными войсками</w:t>
      </w:r>
    </w:p>
    <w:bookmarkStart w:id="43" w:name="модель-боевых-действий-1"/>
    <w:p>
      <w:pPr>
        <w:pStyle w:val="Heading3"/>
      </w:pPr>
      <w:r>
        <w:t xml:space="preserve">Модель боевых действий №1</w:t>
      </w:r>
    </w:p>
    <w:p>
      <w:pPr>
        <w:pStyle w:val="FirstParagraph"/>
      </w:pPr>
      <w:r>
        <w:t xml:space="preserve">В данной</w:t>
      </w:r>
      <w:r>
        <w:t xml:space="preserve"> </w:t>
      </w:r>
      <w:r>
        <w:rPr>
          <w:b/>
          <w:bCs/>
        </w:rPr>
        <w:t xml:space="preserve">модели боевых действий №1</w:t>
      </w:r>
      <w:r>
        <w:t xml:space="preserve"> </w:t>
      </w:r>
      <w:r>
        <w:t xml:space="preserve">рассматривается взаимодействие двух армий X и Y в течение одного дня. Потери армий описываются системой дифференциальных уравнений, где:</w:t>
      </w:r>
    </w:p>
    <w:p>
      <w:pPr>
        <w:pStyle w:val="Compact"/>
        <w:numPr>
          <w:ilvl w:val="0"/>
          <w:numId w:val="1001"/>
        </w:numPr>
      </w:pPr>
      <w:r>
        <w:t xml:space="preserve">члены</w:t>
      </w:r>
      <w:r>
        <w:t xml:space="preserve"> </w:t>
      </w:r>
      <w:r>
        <w:rPr>
          <w:rStyle w:val="VerbatimChar"/>
        </w:rPr>
        <w:t xml:space="preserve">−0.333 x(t)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−0.65 y(t)</w:t>
      </w:r>
      <w:r>
        <w:t xml:space="preserve"> </w:t>
      </w:r>
      <w:r>
        <w:t xml:space="preserve">отражают</w:t>
      </w:r>
      <w:r>
        <w:t xml:space="preserve"> </w:t>
      </w:r>
      <w:r>
        <w:rPr>
          <w:b/>
          <w:bCs/>
        </w:rPr>
        <w:t xml:space="preserve">небоевые потери</w:t>
      </w:r>
      <w:r>
        <w:t xml:space="preserve">, связанные с внешними факторами: болезнями, логистическими проблемами, моральным состоянием и т.д.;</w:t>
      </w:r>
    </w:p>
    <w:p>
      <w:pPr>
        <w:pStyle w:val="Compact"/>
        <w:numPr>
          <w:ilvl w:val="0"/>
          <w:numId w:val="1001"/>
        </w:numPr>
      </w:pPr>
      <w:r>
        <w:t xml:space="preserve">члены</w:t>
      </w:r>
      <w:r>
        <w:t xml:space="preserve"> </w:t>
      </w:r>
      <w:r>
        <w:rPr>
          <w:rStyle w:val="VerbatimChar"/>
        </w:rPr>
        <w:t xml:space="preserve">−0.777 y(t)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−0.5 x(t)</w:t>
      </w:r>
      <w:r>
        <w:t xml:space="preserve"> </w:t>
      </w:r>
      <w:r>
        <w:t xml:space="preserve">моделируют</w:t>
      </w:r>
      <w:r>
        <w:t xml:space="preserve"> </w:t>
      </w:r>
      <w:r>
        <w:rPr>
          <w:b/>
          <w:bCs/>
        </w:rPr>
        <w:t xml:space="preserve">боевые потери</w:t>
      </w:r>
      <w:r>
        <w:t xml:space="preserve">, зависящие от численности противника и эффективности наступательных действий;</w:t>
      </w:r>
    </w:p>
    <w:p>
      <w:pPr>
        <w:pStyle w:val="Compact"/>
        <w:numPr>
          <w:ilvl w:val="0"/>
          <w:numId w:val="1001"/>
        </w:numPr>
      </w:pPr>
      <w:r>
        <w:t xml:space="preserve">добавочные функции</w:t>
      </w:r>
      <w:r>
        <w:t xml:space="preserve"> </w:t>
      </w:r>
      <w:r>
        <w:rPr>
          <w:rStyle w:val="VerbatimChar"/>
        </w:rPr>
        <w:t xml:space="preserve">1.6 sin(t)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1.7 cos(t + 2)</w:t>
      </w:r>
      <w:r>
        <w:t xml:space="preserve"> </w:t>
      </w:r>
      <w:r>
        <w:t xml:space="preserve">учитывают возможные</w:t>
      </w:r>
      <w:r>
        <w:t xml:space="preserve"> </w:t>
      </w:r>
      <w:r>
        <w:rPr>
          <w:b/>
          <w:bCs/>
        </w:rPr>
        <w:t xml:space="preserve">внешние воздействия</w:t>
      </w:r>
      <w:r>
        <w:t xml:space="preserve">, такие как подкрепления, изменение погодных условий или морального духа армий X и Y соответственно.</w:t>
      </w:r>
    </w:p>
    <w:p>
      <w:pPr>
        <w:pStyle w:val="FirstParagraph"/>
      </w:pPr>
      <w:bookmarkStart w:id="30" w:name="fig:001"/>
      <w:r>
        <w:drawing>
          <wp:inline>
            <wp:extent cx="3733800" cy="397324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cod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На основании численного решения видно, что: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Армия X</w:t>
      </w:r>
      <w:r>
        <w:t xml:space="preserve"> </w:t>
      </w:r>
      <w:r>
        <w:t xml:space="preserve">(синяя линия) стремительно теряет численность — с 10 000 в начале до почти</w:t>
      </w:r>
      <w:r>
        <w:t xml:space="preserve"> </w:t>
      </w:r>
      <w:r>
        <w:rPr>
          <w:b/>
          <w:bCs/>
        </w:rPr>
        <w:t xml:space="preserve">нуля</w:t>
      </w:r>
      <w:r>
        <w:t xml:space="preserve"> </w:t>
      </w:r>
      <w:r>
        <w:t xml:space="preserve">к концу дня. Это указывает на высокую уязвимость армии X к боевым и небоевым потерям.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Армия Y</w:t>
      </w:r>
      <w:r>
        <w:t xml:space="preserve"> </w:t>
      </w:r>
      <w:r>
        <w:t xml:space="preserve">(оранжевая линия), несмотря на потери, сохраняет численность выше 20 000, начиная с 29 000. Это демонстрирует</w:t>
      </w:r>
      <w:r>
        <w:t xml:space="preserve"> </w:t>
      </w:r>
      <w:r>
        <w:rPr>
          <w:b/>
          <w:bCs/>
        </w:rPr>
        <w:t xml:space="preserve">большую устойчивость</w:t>
      </w:r>
      <w:r>
        <w:t xml:space="preserve"> </w:t>
      </w:r>
      <w:r>
        <w:t xml:space="preserve">армии Y.</w:t>
      </w:r>
    </w:p>
    <w:p>
      <w:pPr>
        <w:pStyle w:val="FirstParagraph"/>
      </w:pPr>
      <w:bookmarkStart w:id="34" w:name="fig:002"/>
      <w:r>
        <w:drawing>
          <wp:inline>
            <wp:extent cx="3733800" cy="242900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Теперь давайте построим эту же модель посредством OpenModelica.</w:t>
      </w:r>
    </w:p>
    <w:p>
      <w:pPr>
        <w:pStyle w:val="BodyText"/>
      </w:pPr>
      <w:bookmarkStart w:id="38" w:name="fig:003"/>
      <w:r>
        <w:drawing>
          <wp:inline>
            <wp:extent cx="3733800" cy="229819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 результате получаем слудющий график изменения численности армий</w:t>
      </w:r>
    </w:p>
    <w:p>
      <w:pPr>
        <w:pStyle w:val="BodyText"/>
      </w:pPr>
      <w:bookmarkStart w:id="42" w:name="fig:004"/>
      <w:r>
        <w:drawing>
          <wp:inline>
            <wp:extent cx="3733800" cy="126756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End w:id="44"/>
    <w:bookmarkStart w:id="62" w:name="Xd3532732049124a2fefbb95ae0940d2e9b64dcc"/>
    <w:p>
      <w:pPr>
        <w:pStyle w:val="Heading2"/>
      </w:pPr>
      <w:r>
        <w:t xml:space="preserve">Модель ведение боевых действий с участием регулярных войск и партизанских отрядов</w:t>
      </w:r>
    </w:p>
    <w:bookmarkStart w:id="61" w:name="модель-боевых-действий-2"/>
    <w:p>
      <w:pPr>
        <w:pStyle w:val="Heading3"/>
      </w:pPr>
      <w:r>
        <w:t xml:space="preserve">Модель боевых действий №2</w:t>
      </w:r>
    </w:p>
    <w:p>
      <w:pPr>
        <w:pStyle w:val="FirstParagraph"/>
      </w:pPr>
      <w:r>
        <w:t xml:space="preserve">В модели наша система дифференциальных уравнений включает:</w:t>
      </w:r>
    </w:p>
    <w:p>
      <w:pPr>
        <w:pStyle w:val="Compact"/>
        <w:numPr>
          <w:ilvl w:val="0"/>
          <w:numId w:val="1003"/>
        </w:numPr>
      </w:pPr>
      <w:r>
        <w:t xml:space="preserve">члены</w:t>
      </w:r>
      <w:r>
        <w:t xml:space="preserve"> </w:t>
      </w:r>
      <w:r>
        <w:rPr>
          <w:rStyle w:val="VerbatimChar"/>
        </w:rPr>
        <w:t xml:space="preserve">−0.343 x(t)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−0.815 y(t)</w:t>
      </w:r>
      <w:r>
        <w:t xml:space="preserve"> </w:t>
      </w:r>
      <w:r>
        <w:t xml:space="preserve">— это</w:t>
      </w:r>
      <w:r>
        <w:t xml:space="preserve"> </w:t>
      </w:r>
      <w:r>
        <w:rPr>
          <w:b/>
          <w:bCs/>
        </w:rPr>
        <w:t xml:space="preserve">небоевые потери</w:t>
      </w:r>
      <w:r>
        <w:t xml:space="preserve">, связанные с логистикой, болезнями и другими факторами;</w:t>
      </w:r>
    </w:p>
    <w:p>
      <w:pPr>
        <w:pStyle w:val="Compact"/>
        <w:numPr>
          <w:ilvl w:val="0"/>
          <w:numId w:val="1003"/>
        </w:numPr>
      </w:pPr>
      <w:r>
        <w:t xml:space="preserve">член</w:t>
      </w:r>
      <w:r>
        <w:t xml:space="preserve"> </w:t>
      </w:r>
      <w:r>
        <w:rPr>
          <w:rStyle w:val="VerbatimChar"/>
        </w:rPr>
        <w:t xml:space="preserve">−0.227 x(t) * y(t)</w:t>
      </w:r>
      <w:r>
        <w:t xml:space="preserve"> </w:t>
      </w:r>
      <w:r>
        <w:t xml:space="preserve">во втором уравнении — это</w:t>
      </w:r>
      <w:r>
        <w:t xml:space="preserve"> </w:t>
      </w:r>
      <w:r>
        <w:rPr>
          <w:b/>
          <w:bCs/>
        </w:rPr>
        <w:t xml:space="preserve">нелинейный боевой вклад</w:t>
      </w:r>
      <w:r>
        <w:t xml:space="preserve">, моделирующий интенсивное взаимодействие между армиями, особенно при больших значениях ( x ) и ( y );</w:t>
      </w:r>
    </w:p>
    <w:p>
      <w:pPr>
        <w:pStyle w:val="Compact"/>
        <w:numPr>
          <w:ilvl w:val="0"/>
          <w:numId w:val="1003"/>
        </w:numPr>
      </w:pPr>
      <w:r>
        <w:t xml:space="preserve">слагаемые</w:t>
      </w:r>
      <w:r>
        <w:t xml:space="preserve"> </w:t>
      </w:r>
      <w:r>
        <w:rPr>
          <w:rStyle w:val="VerbatimChar"/>
        </w:rPr>
        <w:t xml:space="preserve">sin(2t) + 1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cos(10t) + 1</w:t>
      </w:r>
      <w:r>
        <w:t xml:space="preserve"> </w:t>
      </w:r>
      <w:r>
        <w:t xml:space="preserve">представляют</w:t>
      </w:r>
      <w:r>
        <w:t xml:space="preserve"> </w:t>
      </w:r>
      <w:r>
        <w:rPr>
          <w:b/>
          <w:bCs/>
        </w:rPr>
        <w:t xml:space="preserve">внешние влияния и подкрепления</w:t>
      </w:r>
      <w:r>
        <w:t xml:space="preserve">, воздействующие на армии с различной частотой.</w:t>
      </w:r>
    </w:p>
    <w:p>
      <w:pPr>
        <w:pStyle w:val="FirstParagraph"/>
      </w:pPr>
      <w:bookmarkStart w:id="48" w:name="fig:005"/>
      <w:r>
        <w:drawing>
          <wp:inline>
            <wp:extent cx="3733800" cy="382395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code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На основании численного решения видно, что: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Армия X</w:t>
      </w:r>
      <w:r>
        <w:t xml:space="preserve"> </w:t>
      </w:r>
      <w:r>
        <w:t xml:space="preserve">(синяя линия) начинает с 10 000 солдат и</w:t>
      </w:r>
      <w:r>
        <w:t xml:space="preserve"> </w:t>
      </w:r>
      <w:r>
        <w:rPr>
          <w:b/>
          <w:bCs/>
        </w:rPr>
        <w:t xml:space="preserve">медленно теряет численность</w:t>
      </w:r>
      <w:r>
        <w:t xml:space="preserve">, заканчивая примерно на уровне 8 500–9 000. Это говорит о контролируемом уровне потерь и устойчивости.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Армия Y</w:t>
      </w:r>
      <w:r>
        <w:t xml:space="preserve"> </w:t>
      </w:r>
      <w:r>
        <w:t xml:space="preserve">(оранжевая линия), несмотря на начальную численность в 29 000, практически</w:t>
      </w:r>
      <w:r>
        <w:t xml:space="preserve"> </w:t>
      </w:r>
      <w:r>
        <w:rPr>
          <w:b/>
          <w:bCs/>
        </w:rPr>
        <w:t xml:space="preserve">мгновенно теряет всю боеспособность</w:t>
      </w:r>
      <w:r>
        <w:t xml:space="preserve">. Численность падает до нуля в течение первых мгновений симуляции.</w:t>
      </w:r>
    </w:p>
    <w:p>
      <w:pPr>
        <w:pStyle w:val="FirstParagraph"/>
      </w:pPr>
      <w:bookmarkStart w:id="52" w:name="fig:006"/>
      <w:r>
        <w:drawing>
          <wp:inline>
            <wp:extent cx="3733800" cy="222224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Теперь давайте построим эту же модель посредством OpenModelica.</w:t>
      </w:r>
    </w:p>
    <w:p>
      <w:pPr>
        <w:pStyle w:val="BodyText"/>
      </w:pPr>
      <w:bookmarkStart w:id="56" w:name="fig:007"/>
      <w:r>
        <w:drawing>
          <wp:inline>
            <wp:extent cx="3733800" cy="236976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В результате получаем слудющий график изменения численности армий</w:t>
      </w:r>
    </w:p>
    <w:p>
      <w:pPr>
        <w:pStyle w:val="BodyText"/>
      </w:pPr>
      <w:bookmarkStart w:id="60" w:name="fig:008"/>
      <w:r>
        <w:drawing>
          <wp:inline>
            <wp:extent cx="3733800" cy="12237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End w:id="62"/>
    <w:bookmarkEnd w:id="63"/>
    <w:bookmarkStart w:id="70" w:name="результат-моделирования"/>
    <w:p>
      <w:pPr>
        <w:pStyle w:val="Heading1"/>
      </w:pPr>
      <w:r>
        <w:t xml:space="preserve">Результат моделирования</w:t>
      </w:r>
    </w:p>
    <w:p>
      <w:pPr>
        <w:pStyle w:val="FirstParagraph"/>
      </w:pPr>
      <w:bookmarkStart w:id="66" w:name="fig:005"/>
      <w:r>
        <w:drawing>
          <wp:inline>
            <wp:extent cx="3733800" cy="229819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bookmarkStart w:id="69" w:name="fig:006"/>
      <w:r>
        <w:drawing>
          <wp:inline>
            <wp:extent cx="3733800" cy="2369768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модель боевых действий на языке прогаммирования Julia и посредством ПО OpenModelica, а также провела сравнительный анализ.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57" Target="media/rId57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Эспиноса Василита Кристина Микаела</dc:creator>
  <dc:language>ru-RU</dc:language>
  <cp:keywords/>
  <dcterms:created xsi:type="dcterms:W3CDTF">2025-03-22T19:41:51Z</dcterms:created>
  <dcterms:modified xsi:type="dcterms:W3CDTF">2025-03-22T19:41:51Z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боевых действий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