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Модель конкуренции двух фирм</w:t>
      </w:r>
    </w:p>
    <w:p>
      <w:pPr>
        <w:pStyle w:val="Author"/>
      </w:pPr>
      <w:r>
        <w:t xml:space="preserve">Эспиноса Василита Кристина Микаела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9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w:bookmarkStart w:id="24" w:name="fig:001"/>
      <w:r>
        <w:drawing>
          <wp:inline>
            <wp:extent cx="3733800" cy="118907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zad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rPr>
          <w:b/>
          <w:bCs/>
        </w:rPr>
        <w:t xml:space="preserve">Случай 2</w:t>
      </w:r>
      <w:r>
        <w:t xml:space="preserve"> </w:t>
      </w: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w:r>
        <w:t xml:space="preserve">M M1 2</w:t>
      </w:r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w:bookmarkStart w:id="28" w:name="fig:002"/>
      <w:r>
        <w:drawing>
          <wp:inline>
            <wp:extent cx="3733800" cy="189687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za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[@model]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действий.</w:t>
      </w:r>
    </w:p>
    <w:bookmarkStart w:id="30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w:r>
        <w:t xml:space="preserve">[</w:t>
      </w:r>
    </w:p>
    <w:p>
      <w:pPr>
        <w:pStyle w:val="BodyText"/>
      </w:pPr>
      <w:r>
        <w:t xml:space="preserve">]</w:t>
      </w:r>
    </w:p>
    <w:p>
      <w:pPr>
        <w:pStyle w:val="BodyText"/>
      </w:pPr>
      <w:r>
        <w:t xml:space="preserve">где:</w:t>
      </w:r>
    </w:p>
    <w:p>
      <w:pPr>
        <w:pStyle w:val="Compact"/>
        <w:numPr>
          <w:ilvl w:val="0"/>
          <w:numId w:val="1001"/>
        </w:numPr>
      </w:pPr>
      <w:r>
        <w:t xml:space="preserve">( a_1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( a_2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( b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( c_1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( c_2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FirstParagraph"/>
      </w:pPr>
      <w:r>
        <w:t xml:space="preserve">Обозначения:</w:t>
      </w:r>
      <w:r>
        <w:t xml:space="preserve"> </w:t>
      </w:r>
      <w:r>
        <w:t xml:space="preserve">- ( N ) — число потребителей производимого продукта.</w:t>
      </w:r>
      <w:r>
        <w:t xml:space="preserve"> </w:t>
      </w:r>
      <w:r>
        <w:t xml:space="preserve">- (</w:t>
      </w:r>
      <w:r>
        <w:t xml:space="preserve"> </w:t>
      </w:r>
      <w:r>
        <w:t xml:space="preserve">) — длительность производственного цикла.</w:t>
      </w:r>
      <w:r>
        <w:t xml:space="preserve"> </w:t>
      </w:r>
      <w:r>
        <w:t xml:space="preserve">- ( p ) — рыночная цена товара.</w:t>
      </w:r>
      <w:r>
        <w:t xml:space="preserve"> </w:t>
      </w:r>
      <w:r>
        <w:t xml:space="preserve">- (</w:t>
      </w:r>
      <w:r>
        <w:t xml:space="preserve"> </w:t>
      </w:r>
      <w:r>
        <w:t xml:space="preserve"> </w:t>
      </w:r>
      <w:r>
        <w:t xml:space="preserve">) — себестоимость продукта, т.е. переменные издержки на единицу продукции.</w:t>
      </w:r>
      <w:r>
        <w:t xml:space="preserve"> </w:t>
      </w:r>
      <w:r>
        <w:t xml:space="preserve">- ( q ) — максимальная потребность одного человека в продукте в единицу времени.</w:t>
      </w:r>
      <w:r>
        <w:t xml:space="preserve"> </w:t>
      </w:r>
      <w:r>
        <w:t xml:space="preserve">- (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) — безразмерное время.</w:t>
      </w:r>
    </w:p>
    <w:bookmarkEnd w:id="30"/>
    <w:bookmarkEnd w:id="31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8" w:name="реализация-на-julia"/>
    <w:p>
      <w:pPr>
        <w:pStyle w:val="Heading2"/>
      </w:pPr>
      <w:r>
        <w:t xml:space="preserve">Реализация на Julia</w:t>
      </w:r>
    </w:p>
    <w:p>
      <w:pPr>
        <w:pStyle w:val="FirstParagraph"/>
      </w:pPr>
      <w:r>
        <w:t xml:space="preserve">Подключаем нужные библиотеки для решения ДУ и для отрисовки графиков. Задаем само дифференциальное уравнение, а также начальные условия и параметры.</w:t>
      </w:r>
    </w:p>
    <w:p>
      <w:pPr>
        <w:pStyle w:val="BodyText"/>
      </w:pPr>
      <w:r>
        <w:rPr>
          <w:b/>
          <w:bCs/>
        </w:rPr>
        <w:t xml:space="preserve">Случай 1</w:t>
      </w:r>
    </w:p>
    <w:p>
      <w:pPr>
        <w:pStyle w:val="BodyText"/>
      </w:pPr>
      <w:r>
        <w:t xml:space="preserve">Зададим функцию, описывающую систему уравнений для этого случая, Далее решаем систему ДУ, сначала определив проблему с помощью метода ODEProblem(), а затем решим с помощью solve() солвером Tsit5() с шагом 0.01. Нарисуем график с помощью plot().</w:t>
      </w:r>
    </w:p>
    <w:p>
      <w:pPr>
        <w:pStyle w:val="BodyText"/>
      </w:pPr>
      <w:bookmarkStart w:id="35" w:name="fig:003"/>
      <w:r>
        <w:drawing>
          <wp:inline>
            <wp:extent cx="3733800" cy="294145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В результате численного решения системы дифференциальных уравнений для конкурирующих фирм без учета постоянных издержек и с введенной нормировкой времени получаем следующий график изменения оборотных средств фирмы 1 и фирмы 2.</w:t>
      </w:r>
      <w:r>
        <w:t xml:space="preserve"> </w:t>
      </w:r>
      <w:r>
        <w:t xml:space="preserve">По графику видно, что рост оборотных средств обеих фирм происходит независимо. Обе фирмы достигают определенного устойчивого уровня, после чего объемы стабилизируются.</w:t>
      </w:r>
    </w:p>
    <w:p>
      <w:pPr>
        <w:pStyle w:val="BodyText"/>
      </w:pPr>
      <w:r>
        <w:t xml:space="preserve">В модели этот эффект отражается в одинаковом коэффициенте взаимодействия (</w:t>
      </w:r>
      <w:r>
        <w:t xml:space="preserve"> </w:t>
      </w:r>
      <w:r>
        <w:t xml:space="preserve"> </w:t>
      </w:r>
      <w:r>
        <w:t xml:space="preserve">), стоящем перед смешанным членом ( M_1 M_2 ) в обоих уравнениях. Это означает симметричную конкуренцию без предпочтения одной из фирм.</w:t>
      </w:r>
    </w:p>
    <w:p>
      <w:pPr>
        <w:pStyle w:val="BodyText"/>
      </w:pPr>
      <w:r>
        <w:t xml:space="preserve">Таким образом, каждая фирма захватывает свою долю рынка, которая не изменяется с течением времени, и они продолжают сосуществовать.</w:t>
      </w:r>
    </w:p>
    <w:p>
      <w:pPr>
        <w:pStyle w:val="BodyText"/>
      </w:pPr>
      <w:bookmarkStart w:id="39" w:name="fig:004"/>
      <w:r>
        <w:drawing>
          <wp:inline>
            <wp:extent cx="3733800" cy="227494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rPr>
          <w:b/>
          <w:bCs/>
        </w:rPr>
        <w:t xml:space="preserve">Случай 2</w:t>
      </w:r>
    </w:p>
    <w:p>
      <w:pPr>
        <w:pStyle w:val="BodyText"/>
      </w:pPr>
      <w:bookmarkStart w:id="43" w:name="fig:005"/>
      <w:r>
        <w:drawing>
          <wp:inline>
            <wp:extent cx="3733800" cy="325453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В случае добавления небольшого асимметричного социального влияния на одну из фирм (например, предпочтения потребителей), система динамики изменяется. Полученный график показан ниже.</w:t>
      </w:r>
    </w:p>
    <w:p>
      <w:pPr>
        <w:pStyle w:val="BodyText"/>
      </w:pPr>
      <w:bookmarkStart w:id="47" w:name="fig:006"/>
      <w:r>
        <w:drawing>
          <wp:inline>
            <wp:extent cx="3733800" cy="2065363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Как видно, фирма 1 (зелёная линия) сначала растет, но затем начинает снижать оборотные средства и в итоге банкротится. В то же время фирма 2 (фиолетовая линия) стабильно выходит на устойчивый максимум и полностью занимает рынок.</w:t>
      </w:r>
    </w:p>
    <w:p>
      <w:pPr>
        <w:pStyle w:val="BodyText"/>
      </w:pPr>
      <w:r>
        <w:t xml:space="preserve">Это демонстрирует, как даже незначительное преимущество в восприятии потребителей может привести к полному вытеснению конкурента, несмотря на близкие стартовые условия.</w:t>
      </w:r>
    </w:p>
    <w:bookmarkEnd w:id="48"/>
    <w:bookmarkStart w:id="57" w:name="реализация-на-openmodelica"/>
    <w:p>
      <w:pPr>
        <w:pStyle w:val="Heading2"/>
      </w:pPr>
      <w:r>
        <w:t xml:space="preserve">Реализация на OpenModelica</w:t>
      </w:r>
    </w:p>
    <w:p>
      <w:pPr>
        <w:pStyle w:val="FirstParagraph"/>
      </w:pPr>
      <w:r>
        <w:rPr>
          <w:b/>
          <w:bCs/>
        </w:rPr>
        <w:t xml:space="preserve">Случай 1</w:t>
      </w:r>
    </w:p>
    <w:p>
      <w:pPr>
        <w:pStyle w:val="BodyText"/>
      </w:pPr>
      <w:r>
        <w:t xml:space="preserve">Здесь мы задаем параметры, начальные условия, ДУ и выполняем симуляцию на том же интервале и с тем же шагом, что и в Julia.</w:t>
      </w:r>
    </w:p>
    <w:p>
      <w:pPr>
        <w:pStyle w:val="SourceCode"/>
      </w:pPr>
      <w:r>
        <w:rPr>
          <w:rStyle w:val="VerbatimChar"/>
        </w:rPr>
        <w:t xml:space="preserve">parameter Real p_cr = 17;</w:t>
      </w:r>
      <w:r>
        <w:br/>
      </w:r>
      <w:r>
        <w:rPr>
          <w:rStyle w:val="VerbatimChar"/>
        </w:rPr>
        <w:t xml:space="preserve">  parameter Real tau1 = 13; </w:t>
      </w:r>
      <w:r>
        <w:br/>
      </w:r>
      <w:r>
        <w:rPr>
          <w:rStyle w:val="VerbatimChar"/>
        </w:rPr>
        <w:t xml:space="preserve">  parameter Real p1 = 10;</w:t>
      </w:r>
      <w:r>
        <w:br/>
      </w:r>
      <w:r>
        <w:rPr>
          <w:rStyle w:val="VerbatimChar"/>
        </w:rPr>
        <w:t xml:space="preserve">  parameter Real tau2 = 16;</w:t>
      </w:r>
      <w:r>
        <w:br/>
      </w:r>
      <w:r>
        <w:rPr>
          <w:rStyle w:val="VerbatimChar"/>
        </w:rPr>
        <w:t xml:space="preserve">  parameter Real p2 = 8; </w:t>
      </w:r>
      <w:r>
        <w:br/>
      </w:r>
      <w:r>
        <w:rPr>
          <w:rStyle w:val="VerbatimChar"/>
        </w:rPr>
        <w:t xml:space="preserve">  parameter Real N = 20;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M1(start=2.2);</w:t>
      </w:r>
      <w:r>
        <w:br/>
      </w:r>
      <w:r>
        <w:rPr>
          <w:rStyle w:val="VerbatimChar"/>
        </w:rPr>
        <w:t xml:space="preserve">  Real M2(start=1.5);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(b/c1)*M1*M2 - (a1/c1)*M1^2;</w:t>
      </w:r>
      <w:r>
        <w:br/>
      </w:r>
      <w:r>
        <w:rPr>
          <w:rStyle w:val="VerbatimChar"/>
        </w:rPr>
        <w:t xml:space="preserve">  der(M2) = (c2/c1)*M2 - (b/c1)*M1*M2 - (a2/c1)*M2^2;</w:t>
      </w:r>
    </w:p>
    <w:p>
      <w:pPr>
        <w:pStyle w:val="FirstParagraph"/>
      </w:pPr>
      <w:r>
        <w:t xml:space="preserve">В результате численного решения системы дифференциальных уравнений для конкурирующих фирм без учета постоянных издержек и с введенной нормировкой времени получаем следующий график изменения оборотных средств фирмы 1 и фирмы 2.</w:t>
      </w:r>
      <w:r>
        <w:t xml:space="preserve"> </w:t>
      </w:r>
      <w:r>
        <w:t xml:space="preserve">По графику видно, что рост оборотных средств обеих фирм происходит независимо. Обе фирмы достигают определенного устойчивого уровня, после чего объемы стабилизируются.</w:t>
      </w:r>
    </w:p>
    <w:p>
      <w:pPr>
        <w:pStyle w:val="BodyText"/>
      </w:pPr>
      <w:r>
        <w:t xml:space="preserve">В модели этот эффект отражается в одинаковом коэффициенте взаимодействия (</w:t>
      </w:r>
      <w:r>
        <w:t xml:space="preserve"> </w:t>
      </w:r>
      <w:r>
        <w:t xml:space="preserve"> </w:t>
      </w:r>
      <w:r>
        <w:t xml:space="preserve">), стоящем перед смешанным членом ( M_1 M_2 ) в обоих уравнениях. Это означает симметричную конкуренцию без предпочтения одной из фирм.</w:t>
      </w:r>
    </w:p>
    <w:p>
      <w:pPr>
        <w:pStyle w:val="BodyText"/>
      </w:pPr>
      <w:r>
        <w:t xml:space="preserve">Таким образом, каждая фирма захватывает свою долю рынка, которая не изменяется с течением времени, и они продолжают сосуществовать.</w:t>
      </w:r>
    </w:p>
    <w:p>
      <w:pPr>
        <w:pStyle w:val="BodyText"/>
      </w:pPr>
      <w:bookmarkStart w:id="52" w:name="fig:007"/>
      <w:r>
        <w:drawing>
          <wp:inline>
            <wp:extent cx="3733800" cy="125073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rPr>
          <w:b/>
          <w:bCs/>
        </w:rPr>
        <w:t xml:space="preserve">Случай 2</w:t>
      </w:r>
    </w:p>
    <w:p>
      <w:pPr>
        <w:pStyle w:val="BodyText"/>
      </w:pPr>
      <w:r>
        <w:t xml:space="preserve">Задаем параметры, начальные условия, ДУ и выполняем симуляцию на том же интервале и с тем же шагом, что и в Julia.</w:t>
      </w:r>
    </w:p>
    <w:p>
      <w:pPr>
        <w:pStyle w:val="SourceCode"/>
      </w:pPr>
      <w:r>
        <w:br/>
      </w:r>
      <w:r>
        <w:rPr>
          <w:rStyle w:val="VerbatimChar"/>
        </w:rPr>
        <w:t xml:space="preserve"> parameter Real p_cr = 17;</w:t>
      </w:r>
      <w:r>
        <w:br/>
      </w:r>
      <w:r>
        <w:rPr>
          <w:rStyle w:val="VerbatimChar"/>
        </w:rPr>
        <w:t xml:space="preserve">  parameter Real tau1 = 13; </w:t>
      </w:r>
      <w:r>
        <w:br/>
      </w:r>
      <w:r>
        <w:rPr>
          <w:rStyle w:val="VerbatimChar"/>
        </w:rPr>
        <w:t xml:space="preserve">  parameter Real p1 = 10;</w:t>
      </w:r>
      <w:r>
        <w:br/>
      </w:r>
      <w:r>
        <w:rPr>
          <w:rStyle w:val="VerbatimChar"/>
        </w:rPr>
        <w:t xml:space="preserve">  parameter Real tau2 = 16;</w:t>
      </w:r>
      <w:r>
        <w:br/>
      </w:r>
      <w:r>
        <w:rPr>
          <w:rStyle w:val="VerbatimChar"/>
        </w:rPr>
        <w:t xml:space="preserve">  parameter Real p2 = 8; </w:t>
      </w:r>
      <w:r>
        <w:br/>
      </w:r>
      <w:r>
        <w:rPr>
          <w:rStyle w:val="VerbatimChar"/>
        </w:rPr>
        <w:t xml:space="preserve">  parameter Real N = 20;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M1(start=2.2);</w:t>
      </w:r>
      <w:r>
        <w:br/>
      </w:r>
      <w:r>
        <w:rPr>
          <w:rStyle w:val="VerbatimChar"/>
        </w:rPr>
        <w:t xml:space="preserve">  Real M2(start=1.5);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(b/c1+0.00014)*M1*M2 - (a1/c1)*M1^2;</w:t>
      </w:r>
      <w:r>
        <w:br/>
      </w:r>
      <w:r>
        <w:rPr>
          <w:rStyle w:val="VerbatimChar"/>
        </w:rPr>
        <w:t xml:space="preserve">  der(M2) = (c2/c1)*M2 - (b/c1)*M1*M2 - (a2/c1)*M2^2;</w:t>
      </w:r>
    </w:p>
    <w:p>
      <w:pPr>
        <w:pStyle w:val="FirstParagraph"/>
      </w:pPr>
      <w:r>
        <w:t xml:space="preserve">Получаем график:</w:t>
      </w:r>
    </w:p>
    <w:p>
      <w:pPr>
        <w:pStyle w:val="BodyText"/>
      </w:pPr>
      <w:bookmarkStart w:id="56" w:name="fig:008"/>
      <w:r>
        <w:drawing>
          <wp:inline>
            <wp:extent cx="3733800" cy="127372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58" w:name="Xa389e6b8c0ee7efd82f61c0fa810833630cb872"/>
    <w:p>
      <w:pPr>
        <w:pStyle w:val="Heading2"/>
      </w:pP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Все графики получились идентичными. Что Julia, что OpenModelica справились с решением системы ДУ и построением графиков.</w:t>
      </w:r>
    </w:p>
    <w:bookmarkEnd w:id="58"/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Эспиноса Василита Кристина Микаела</dc:creator>
  <dc:language>ru-RU</dc:language>
  <cp:keywords/>
  <dcterms:created xsi:type="dcterms:W3CDTF">2025-05-31T18:39:40Z</dcterms:created>
  <dcterms:modified xsi:type="dcterms:W3CDTF">2025-05-31T18:39:40Z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конкуренции двух фирм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