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64.png" ContentType="image/png"/>
  <Override PartName="/word/media/rId60.png" ContentType="image/png"/>
  <Override PartName="/word/media/rId22.png" ContentType="image/png"/>
  <Override PartName="/word/media/rId26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Исследование протокола TCP и алгоритма управления очередью RED</w:t>
      </w:r>
    </w:p>
    <w:p>
      <w:pPr>
        <w:pStyle w:val="Author"/>
      </w:pPr>
      <w:r>
        <w:t xml:space="preserve">Эспиноса Василита Кристина Микаела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Исследовать протокол TCP и алгоритм управления очередью RED.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пример с дисциплиной RED;</w:t>
      </w:r>
    </w:p>
    <w:p>
      <w:pPr>
        <w:pStyle w:val="Compact"/>
        <w:numPr>
          <w:ilvl w:val="0"/>
          <w:numId w:val="1001"/>
        </w:numPr>
      </w:pPr>
      <w:r>
        <w:t xml:space="preserve">Изменить в модели на узле s1 тип протокола TCP с Reno на NewReno, затем на Vegas. Сравнить и пояснить результаты;</w:t>
      </w:r>
    </w:p>
    <w:p>
      <w:pPr>
        <w:pStyle w:val="Compact"/>
        <w:numPr>
          <w:ilvl w:val="0"/>
          <w:numId w:val="1001"/>
        </w:numPr>
      </w:pPr>
      <w:r>
        <w:t xml:space="preserve">Внести изменения при отображении окон с графиками (изменить цвет фона, цвет траекторий, подписи к осям, подпись траектории в легенде).</w:t>
      </w:r>
    </w:p>
    <w:bookmarkEnd w:id="21"/>
    <w:bookmarkStart w:id="3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Описание моделируемой сети:</w:t>
      </w:r>
    </w:p>
    <w:p>
      <w:pPr>
        <w:pStyle w:val="BodyText"/>
      </w:pPr>
      <w:r>
        <w:t xml:space="preserve">– сеть состоит из 6 узлов;</w:t>
      </w:r>
      <w:r>
        <w:t xml:space="preserve"> </w:t>
      </w:r>
      <w:r>
        <w:t xml:space="preserve">– между всеми узлами установлено дуплексное соединение с различными пропуск-</w:t>
      </w:r>
      <w:r>
        <w:t xml:space="preserve"> </w:t>
      </w:r>
      <w:r>
        <w:t xml:space="preserve">ной способностью и задержкой 10 мс (см. рис. 2.4);</w:t>
      </w:r>
      <w:r>
        <w:t xml:space="preserve"> </w:t>
      </w:r>
      <w:r>
        <w:t xml:space="preserve">– узел r1 использует очередь с дисциплиной RED для накопления пакетов, макси-</w:t>
      </w:r>
      <w:r>
        <w:t xml:space="preserve"> </w:t>
      </w:r>
      <w:r>
        <w:t xml:space="preserve">мальный размер которой составляет 25;</w:t>
      </w:r>
      <w:r>
        <w:t xml:space="preserve"> </w:t>
      </w:r>
      <w:r>
        <w:t xml:space="preserve">– TCP-источники на узлах s1 и s2 подключаются к TCP-приёмнику на узле s3;</w:t>
      </w:r>
      <w:r>
        <w:t xml:space="preserve"> </w:t>
      </w:r>
      <w:r>
        <w:t xml:space="preserve">– генераторы трафика FTP прикреплены к TCP-агентам.</w:t>
      </w:r>
    </w:p>
    <w:p>
      <w:pPr>
        <w:pStyle w:val="BodyText"/>
      </w:pPr>
      <w:r>
        <w:t xml:space="preserve">Разработаем сценирий, реализующий модель согласно описанию в Xgraph график изменения TCP-окна, график изменения длины очереди и средней длины очереди.</w:t>
      </w:r>
    </w:p>
    <w:p>
      <w:pPr>
        <w:pStyle w:val="BodyText"/>
      </w:pPr>
      <w:bookmarkStart w:id="25" w:name="fig:001"/>
      <w:r>
        <w:drawing>
          <wp:inline>
            <wp:extent cx="3733800" cy="4935482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code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35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BodyText"/>
      </w:pPr>
      <w:bookmarkStart w:id="29" w:name="fig:002"/>
      <w:r>
        <w:drawing>
          <wp:inline>
            <wp:extent cx="3733800" cy="527160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code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71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BodyText"/>
      </w:pPr>
      <w:r>
        <w:t xml:space="preserve">После запуска кода получаем график изменения TCP-окна (рис.</w:t>
      </w:r>
      <w:r>
        <w:t xml:space="preserve"> </w:t>
      </w:r>
      <w:r>
        <w:t xml:space="preserve">[-@fig:003]</w:t>
      </w:r>
      <w:r>
        <w:t xml:space="preserve">), а также график изменения длины очереди и средней длины очереди (рис.</w:t>
      </w:r>
      <w:r>
        <w:t xml:space="preserve"> </w:t>
      </w:r>
      <w:r>
        <w:t xml:space="preserve">[-@fig:004]</w:t>
      </w:r>
      <w:r>
        <w:t xml:space="preserve">).</w:t>
      </w:r>
    </w:p>
    <w:p>
      <w:pPr>
        <w:pStyle w:val="BodyText"/>
      </w:pPr>
      <w:r>
        <w:t xml:space="preserve">Здесь видно, что средняя длина очереди находится в диапазоне от 2 до 4. Максимальная длина достигает значения 14.</w:t>
      </w:r>
    </w:p>
    <w:p>
      <w:pPr>
        <w:pStyle w:val="BodyText"/>
      </w:pPr>
      <w:bookmarkStart w:id="33" w:name="fig:003"/>
      <w:r>
        <w:drawing>
          <wp:inline>
            <wp:extent cx="3733800" cy="3895868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/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5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BodyText"/>
      </w:pPr>
      <w:bookmarkStart w:id="37" w:name="fig:004"/>
      <w:r>
        <w:drawing>
          <wp:inline>
            <wp:extent cx="3733800" cy="3921114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/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21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bookmarkEnd w:id="38"/>
    <w:bookmarkStart w:id="55" w:name="изменение-протокола-tcp"/>
    <w:p>
      <w:pPr>
        <w:pStyle w:val="Heading1"/>
      </w:pPr>
      <w:r>
        <w:t xml:space="preserve">Изменение протокола TCP</w:t>
      </w:r>
    </w:p>
    <w:p>
      <w:pPr>
        <w:pStyle w:val="FirstParagraph"/>
      </w:pPr>
      <w:r>
        <w:t xml:space="preserve">Сначала именила тип Reno на NewReno. В результате получим следующие график изменения TCP-окна (рис.</w:t>
      </w:r>
      <w:r>
        <w:t xml:space="preserve"> </w:t>
      </w:r>
      <w:r>
        <w:t xml:space="preserve">[-@fig:005]</w:t>
      </w:r>
      <w:r>
        <w:t xml:space="preserve">), а также график изменения длины очереди и средней длины очереди (рис.</w:t>
      </w:r>
      <w:r>
        <w:t xml:space="preserve"> </w:t>
      </w:r>
      <w:r>
        <w:t xml:space="preserve">[-@fig:006]</w:t>
      </w:r>
      <w:r>
        <w:t xml:space="preserve">).</w:t>
      </w:r>
      <w:r>
        <w:t xml:space="preserve"> </w:t>
      </w:r>
      <w:r>
        <w:t xml:space="preserve">Так же, как было в графике с типом Reno значение средней длины очереди находится в пределах от 2 до 4, а максимальное значение длины равно 14.</w:t>
      </w:r>
    </w:p>
    <w:p>
      <w:pPr>
        <w:pStyle w:val="BodyText"/>
      </w:pPr>
      <w:bookmarkStart w:id="42" w:name="fig:005"/>
      <w:r>
        <w:drawing>
          <wp:inline>
            <wp:extent cx="3733800" cy="3858052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/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8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BodyText"/>
      </w:pPr>
      <w:bookmarkStart w:id="46" w:name="fig:006"/>
      <w:r>
        <w:drawing>
          <wp:inline>
            <wp:extent cx="3733800" cy="3596359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/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6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BodyText"/>
      </w:pPr>
      <w:r>
        <w:t xml:space="preserve">Далее изменим тип Reno на Vegas В результате получим следующие график изменения TCP-окна (рис.</w:t>
      </w:r>
      <w:r>
        <w:t xml:space="preserve"> </w:t>
      </w:r>
      <w:r>
        <w:t xml:space="preserve">[-@fig:007]</w:t>
      </w:r>
      <w:r>
        <w:t xml:space="preserve">), а также график изменения длины очереди и средней длины очереди (рис.</w:t>
      </w:r>
      <w:r>
        <w:t xml:space="preserve"> </w:t>
      </w:r>
      <w:r>
        <w:t xml:space="preserve">[-@fig:008]</w:t>
      </w:r>
      <w:r>
        <w:t xml:space="preserve">).</w:t>
      </w:r>
    </w:p>
    <w:p>
      <w:pPr>
        <w:pStyle w:val="BodyText"/>
      </w:pPr>
      <w:r>
        <w:t xml:space="preserve">Средняя длина очереди при TCP Vegas остаётся в пределах 2–4, максимальная — 14. Размер окна у Vegas не превышает 20 (у NewReno — 34). TCP Vegas раньше обнаруживает перегрузку и уменьшает окно без потерь пакетов.</w:t>
      </w:r>
    </w:p>
    <w:p>
      <w:pPr>
        <w:pStyle w:val="BodyText"/>
      </w:pPr>
      <w:bookmarkStart w:id="50" w:name="fig:007"/>
      <w:r>
        <w:drawing>
          <wp:inline>
            <wp:extent cx="3733800" cy="3908919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/5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08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BodyText"/>
      </w:pPr>
      <w:bookmarkStart w:id="54" w:name="fig:008"/>
      <w:r>
        <w:drawing>
          <wp:inline>
            <wp:extent cx="3733800" cy="382876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mage/6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8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bookmarkEnd w:id="55"/>
    <w:bookmarkStart w:id="68" w:name="изменение-отображения-окон-с-графиками"/>
    <w:p>
      <w:pPr>
        <w:pStyle w:val="Heading1"/>
      </w:pPr>
      <w:r>
        <w:t xml:space="preserve">Изменение отображения окон с графиками</w:t>
      </w:r>
    </w:p>
    <w:p>
      <w:pPr>
        <w:pStyle w:val="FirstParagraph"/>
      </w:pPr>
      <w:r>
        <w:t xml:space="preserve">Внесём корректировки в отображение графиков: поменяем цвет фона, цвет линий, подписи осей и название траектории в легенде.</w:t>
      </w:r>
      <w:r>
        <w:t xml:space="preserve"> </w:t>
      </w:r>
      <w:r>
        <w:t xml:space="preserve">Для этого обновим код: в процедуре finish изменим цвет линий и подписей, а также с помощью опций -fg и -bg зададим новый цвет текста и фона в xgraph.</w:t>
      </w:r>
    </w:p>
    <w:p>
      <w:pPr>
        <w:pStyle w:val="BodyText"/>
      </w:pPr>
      <w:bookmarkStart w:id="59" w:name="fig:009"/>
      <w:r>
        <w:drawing>
          <wp:inline>
            <wp:extent cx="3733800" cy="2039608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/code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9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BodyText"/>
      </w:pPr>
      <w:r>
        <w:t xml:space="preserve">В результате получим следующие график изменения TCP-окна (рис.</w:t>
      </w:r>
      <w:r>
        <w:t xml:space="preserve"> </w:t>
      </w:r>
      <w:r>
        <w:t xml:space="preserve">[-@fig:011]</w:t>
      </w:r>
      <w:r>
        <w:t xml:space="preserve">), а также график изменения длины очереди и средней длины очереди (рис.</w:t>
      </w:r>
      <w:r>
        <w:t xml:space="preserve"> </w:t>
      </w:r>
      <w:r>
        <w:t xml:space="preserve">[-@fig:010]</w:t>
      </w:r>
      <w:r>
        <w:t xml:space="preserve">).</w:t>
      </w:r>
    </w:p>
    <w:p>
      <w:pPr>
        <w:pStyle w:val="BodyText"/>
      </w:pPr>
      <w:bookmarkStart w:id="63" w:name="fig:010"/>
      <w:r>
        <w:drawing>
          <wp:inline>
            <wp:extent cx="3733800" cy="3832057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/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32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BodyText"/>
      </w:pPr>
      <w:bookmarkStart w:id="67" w:name="fig:011"/>
      <w:r>
        <w:drawing>
          <wp:inline>
            <wp:extent cx="3733800" cy="3845072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/7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45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bookmarkEnd w:id="68"/>
    <w:bookmarkStart w:id="6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исследовала протокол TCP и алгоритм управления очередью RED.</w:t>
      </w:r>
    </w:p>
    <w:bookmarkEnd w:id="69"/>
    <w:bookmarkStart w:id="71" w:name="список-литературы"/>
    <w:p>
      <w:pPr>
        <w:pStyle w:val="Heading1"/>
      </w:pPr>
      <w:r>
        <w:t xml:space="preserve">Список литературы</w:t>
      </w:r>
    </w:p>
    <w:bookmarkStart w:id="70" w:name="refs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64" Target="media/rId64.png" /><Relationship Type="http://schemas.openxmlformats.org/officeDocument/2006/relationships/image" Id="rId60" Target="media/rId60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Эспиноса Василита Кристина Микаела</dc:creator>
  <dc:language>ru-RU</dc:language>
  <cp:keywords/>
  <dcterms:created xsi:type="dcterms:W3CDTF">2025-04-12T10:37:15Z</dcterms:created>
  <dcterms:modified xsi:type="dcterms:W3CDTF">2025-04-12T10:37:15Z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Исследование протокола TCP и алгоритма управления очередью RED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