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Выполнить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Для приведённой схемы разработать имитационную модель в пакете NS-2;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окна TCP (в Xgraph и в GNUPlot);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длины очереди и средней длины очереди на первом маршрутизаторе;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о выполненной работе.</w:t>
      </w:r>
    </w:p>
    <w:bookmarkEnd w:id="21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Описание моделируемой сети:</w:t>
      </w:r>
    </w:p>
    <w:p>
      <w:pPr>
        <w:pStyle w:val="Compact"/>
        <w:numPr>
          <w:ilvl w:val="0"/>
          <w:numId w:val="1002"/>
        </w:numPr>
      </w:pPr>
      <w:r>
        <w:t xml:space="preserve">сеть состоит из N TCP-источников, N TCP-приёмников, двух маршрутизаторов R1 и R2 между источниками и приёмниками (N — не менее 20);</w:t>
      </w:r>
    </w:p>
    <w:p>
      <w:pPr>
        <w:pStyle w:val="Compact"/>
        <w:numPr>
          <w:ilvl w:val="0"/>
          <w:numId w:val="1002"/>
        </w:numPr>
      </w:pPr>
      <w:r>
        <w:t xml:space="preserve">между TCP-источниками и первым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TCP-приёмниками и вторым маршрутизатором установлены дуплексные соединения с пропускной способностью 100 Мбит/с и задержкой 20 мс очередью 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маршрутизаторами установлено симплексное соединение (R1–R2) с про-пускной способностью 20 Мбит/с и задержкой 15 мс очередью типа RED,</w:t>
      </w:r>
      <w:r>
        <w:t xml:space="preserve"> </w:t>
      </w:r>
      <w:r>
        <w:t xml:space="preserve">размером буфера 300 пакетов; в обратную сторону — симплексное соедине-</w:t>
      </w:r>
      <w:r>
        <w:t xml:space="preserve"> </w:t>
      </w:r>
      <w:r>
        <w:t xml:space="preserve">ние (R2–R1) с пропускной способностью 15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данные передаются по протоколу FTP поверх TCPReno;</w:t>
      </w:r>
    </w:p>
    <w:p>
      <w:pPr>
        <w:pStyle w:val="Compact"/>
        <w:numPr>
          <w:ilvl w:val="0"/>
          <w:numId w:val="1002"/>
        </w:numPr>
      </w:pPr>
      <w:r>
        <w:t xml:space="preserve">параметры алгоритма RED: qmin = 75, qmax = 150, qw = 0; 002, pmax = 0:1;</w:t>
      </w:r>
    </w:p>
    <w:p>
      <w:pPr>
        <w:pStyle w:val="Compact"/>
        <w:numPr>
          <w:ilvl w:val="0"/>
          <w:numId w:val="1002"/>
        </w:numPr>
      </w:pPr>
      <w:r>
        <w:t xml:space="preserve">максимальный размер TCP-окна 32; размер передаваемого пакета 500 байт; время моделирования — не менее 20 единиц модельного времени</w:t>
      </w:r>
    </w:p>
    <w:p>
      <w:pPr>
        <w:pStyle w:val="FirstParagraph"/>
      </w:pPr>
      <w:r>
        <w:t xml:space="preserve">В файле .tcl строится сеть с 30 TCP-источниками и 30 TCP-приёмниками, соединёнными через два маршрутизатора r1 и r2.</w:t>
      </w:r>
      <w:r>
        <w:t xml:space="preserve"> </w:t>
      </w:r>
      <w:r>
        <w:t xml:space="preserve">Между источниками и r1, а также между приёмниками и r2 устанавливаются дуплексные соединения (100 Мбит/с, 20 мс, DropTail).</w:t>
      </w:r>
      <w:r>
        <w:t xml:space="preserve"> </w:t>
      </w:r>
      <w:r>
        <w:t xml:space="preserve">Между маршрутизаторами — симплексное соединение: от r1 к r2 — 20 Мбит/с, 15 мс, RED (буфер 300 пакетов); от r2 к r1 — 15 Мбит/с, 20 мс, DropTail.</w:t>
      </w:r>
      <w:r>
        <w:t xml:space="preserve"> </w:t>
      </w:r>
      <w:r>
        <w:t xml:space="preserve">Передача данных осуществляется по FTP через TCP Reno. Настраиваются параметры RED: qmin = 75, qmax = 150, qw = 0.002, pmax = 0.1. Выполняется мониторинг окна TCP и очереди.</w:t>
      </w:r>
    </w:p>
    <w:p>
      <w:pPr>
        <w:pStyle w:val="BodyText"/>
      </w:pPr>
      <w:bookmarkStart w:id="25" w:name="fig:001"/>
      <w:r>
        <w:drawing>
          <wp:inline>
            <wp:extent cx="3733800" cy="450998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cod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bookmarkStart w:id="29" w:name="fig:002"/>
      <w:r>
        <w:drawing>
          <wp:inline>
            <wp:extent cx="3733800" cy="50052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cod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bookmarkStart w:id="33" w:name="fig:003"/>
      <w:r>
        <w:drawing>
          <wp:inline>
            <wp:extent cx="3733800" cy="492117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cod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После запуска созданной программы будет сгенерирован NAM-файл с отображением схемы моделируемой сети (см. рисунок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bookmarkStart w:id="37" w:name="fig:004"/>
      <w:r>
        <w:drawing>
          <wp:inline>
            <wp:extent cx="3733800" cy="286664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Также будут построены графики изменения размера окна TCP для соединения от первого источника (см. рисунок</w:t>
      </w:r>
      <w:r>
        <w:t xml:space="preserve"> </w:t>
      </w:r>
      <w:r>
        <w:t xml:space="preserve">[-@fig:005]</w:t>
      </w:r>
      <w:r>
        <w:t xml:space="preserve">) и для всех источников (см. рисунок</w:t>
      </w:r>
      <w:r>
        <w:t xml:space="preserve"> </w:t>
      </w:r>
      <w:r>
        <w:t xml:space="preserve">[-@fig:006]</w:t>
      </w:r>
      <w:r>
        <w:t xml:space="preserve">). Построение графиков выполнено с помощью xgraph.</w:t>
      </w:r>
      <w:r>
        <w:t xml:space="preserve"> </w:t>
      </w:r>
      <w:r>
        <w:t xml:space="preserve">изменения размера длины очереди (рис.</w:t>
      </w:r>
      <w:r>
        <w:t xml:space="preserve"> </w:t>
      </w:r>
      <w:r>
        <w:t xml:space="preserve">[-@fig:007]</w:t>
      </w:r>
      <w:r>
        <w:t xml:space="preserve">) и размера средней длины очереди (рис.</w:t>
      </w:r>
      <w:r>
        <w:t xml:space="preserve"> </w:t>
      </w:r>
      <w:r>
        <w:t xml:space="preserve">[-@fig:008]</w:t>
      </w:r>
      <w:r>
        <w:t xml:space="preserve">).</w:t>
      </w:r>
    </w:p>
    <w:p>
      <w:pPr>
        <w:pStyle w:val="BodyText"/>
      </w:pPr>
      <w:bookmarkStart w:id="41" w:name="fig:005"/>
      <w:r>
        <w:drawing>
          <wp:inline>
            <wp:extent cx="3733800" cy="389723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bookmarkStart w:id="45" w:name="fig:006"/>
      <w:r>
        <w:drawing>
          <wp:inline>
            <wp:extent cx="3733800" cy="388415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bookmarkStart w:id="49" w:name="fig:007"/>
      <w:r>
        <w:drawing>
          <wp:inline>
            <wp:extent cx="3733800" cy="3733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bookmarkStart w:id="53" w:name="fig:008"/>
      <w:r>
        <w:drawing>
          <wp:inline>
            <wp:extent cx="3733800" cy="375259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Напишем программу для построения графиков в GNUPlot:</w:t>
      </w:r>
    </w:p>
    <w:p>
      <w:pPr>
        <w:pStyle w:val="BodyText"/>
      </w:pPr>
      <w:bookmarkStart w:id="57" w:name="fig:009"/>
      <w:r>
        <w:drawing>
          <wp:inline>
            <wp:extent cx="3733800" cy="451488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code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bookmarkStart w:id="61" w:name="fig:010"/>
      <w:r>
        <w:drawing>
          <wp:inline>
            <wp:extent cx="3733800" cy="277368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code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Сделаем исполняемым и запустим его. Получим 4 графика.</w:t>
      </w:r>
    </w:p>
    <w:p>
      <w:pPr>
        <w:pStyle w:val="BodyText"/>
      </w:pPr>
      <w:bookmarkStart w:id="65" w:name="fig:011"/>
      <w:r>
        <w:drawing>
          <wp:inline>
            <wp:extent cx="3733800" cy="281051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BodyText"/>
      </w:pPr>
      <w:bookmarkStart w:id="69" w:name="fig:012"/>
      <w:r>
        <w:drawing>
          <wp:inline>
            <wp:extent cx="3733800" cy="279889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/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bookmarkStart w:id="73" w:name="fig:013"/>
      <w:r>
        <w:drawing>
          <wp:inline>
            <wp:extent cx="3733800" cy="27773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bookmarkStart w:id="77" w:name="fig:0014"/>
      <w:r>
        <w:drawing>
          <wp:inline>
            <wp:extent cx="3733800" cy="277877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/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была разработана имитационная модель в пакете NS-2, построены графики изменения размера окна TCP, изменения длины очереди и средней длины очереди.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Эспиноса Василита Кристина Микаела</dc:creator>
  <dc:language>ru-RU</dc:language>
  <cp:keywords/>
  <dcterms:created xsi:type="dcterms:W3CDTF">2025-04-12T10:23:11Z</dcterms:created>
  <dcterms:modified xsi:type="dcterms:W3CDTF">2025-04-12T10:23:11Z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Задание для самостоятельного выполнения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