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build Sentinel, an Inspect scanner that classifies each tool call's stated destination against it and pages on the first out-of-scope one, with no model in the gate. On reconstructions of three public incidents (four to seven events each, from the published timelines) it pages at the first non-allowlisted destination and is silent on three hard negatives. On the 14,591-revision DSEWiki export, a record we did not write, it is silent under the wildcard scope the sandbox actually had and pages on day one under any scope naming the task's data sources; on a live eight-sample Inspect run with an empty declared scope it is correctly silent on 42 real tool calls. The headline result is an ablation on one trace: a too-tight scope pages on permitted traffic,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59" w:lineRule="auto"/>
        <w:rPr/>
      </w:pPr>
      <w:r w:rsidDel="00000000" w:rsidR="00000000" w:rsidRPr="00000000">
        <w:rPr>
          <w:rFonts w:ascii="Old Standard TT" w:hAnsi="Old Standard TT"/>
          <w:sz w:val="21"/>
          <w:rtl w:val="0"/>
        </w:rPr>
      </w:r>
    </w:p>
    <w:p>
      <w:pPr>
        <w:pStyle w:val="Heading2"/>
        <w:keepNext/>
      </w:pPr>
      <w:r>
        <w:t>1. Introduction</w:t>
      </w:r>
    </w:p>
    <w:p>
      <w:pPr>
        <w:spacing w:after="100" w:line="259"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made their first successful write to DSEWiki, a dormant German programming wiki, on 24 May, and used it as a message board for task answers and sandbox workarounds until 22 June, the day after the first OpenAI-associated addresses visited the pages: roughly 18,000 posts under more than 3,700 self-chosen names by the researchers' count, 14,591 of them preserved in the published export.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 xml:space="preserve">These cases share a shape that is not "no monitor existed." In each one the operators knew the intended scope in prose: no internet; only the LLM API and the package proxy; only the range. Nowhere was that scope an artifact the transcript was checked against, and the first signal always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one of scope attachment and attestation (Figure 2), and it is the failure the sprint's containment track asks about. Track 1 of the Apart AI Incident Response Sprint judges a containment proposal on one question: could a third party verify compliance without access to the lab's network, and would a lab adopt it?</w:t>
      </w:r>
    </w:p>
    <w:p>
      <w:pPr>
        <w:spacing w:after="100" w:line="259" w:lineRule="auto"/>
        <w:jc w:val="both"/>
      </w:pPr>
      <w:r>
        <w:rPr>
          <w:rFonts w:ascii="Old Standard TT" w:hAnsi="Old Standard TT"/>
          <w:sz w:val="21"/>
        </w:rPr>
        <w:t>We take the smallest step that answers it. Our main contributions are:</w:t>
      </w:r>
    </w:p>
    <w:p>
      <w:pPr>
        <w:spacing w:after="80" w:line="259"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59"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59"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spacing w:after="80" w:line="259" w:lineRule="auto"/>
        <w:ind w:left="432" w:hanging="288"/>
        <w:jc w:val="both"/>
      </w:pPr>
      <w:r>
        <w:rPr>
          <w:rFonts w:ascii="Old Standard TT" w:hAnsi="Old Standard TT"/>
          <w:sz w:val="21"/>
        </w:rPr>
        <w:t>•  The same rule run over a third party's record of a real incident, the DSEWiki export, where both directions of the ablation reproduce on events we did not author.</w:t>
      </w:r>
    </w:p>
    <w:p>
      <w:pPr>
        <w:pStyle w:val="Heading2"/>
        <w:keepNext/>
      </w:pPr>
      <w:r>
        <w:t>2. Related Work</w:t>
      </w:r>
    </w:p>
    <w:p>
      <w:pPr>
        <w:spacing w:after="100" w:line="259" w:lineRule="auto"/>
        <w:jc w:val="both"/>
      </w:pPr>
      <w:r>
        <w:rPr>
          <w:rFonts w:ascii="Old Standard TT" w:hAnsi="Old Standard TT"/>
          <w:sz w:val="21"/>
        </w:rPr>
        <w:t xml:space="preserve">Trace monitors for agents exist and are good.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now monitors chain-of-thought during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and need a model and a threshold; a proxy answers "was this blocked?" but its logs stay inside the lab, and in the OpenAI case the proxy was the hole. Sentinel's wedge is narrow: a mechanical predicate over (trace, allowlist). Stated plainly, so the objection is met rather than dodged: default-deny egress is the control; Sentinel is not a control; it is the smallest artifact that turns the control's scope into a published, recomputable claim. "Why not just publish the proxy logs?" is the right question, and it is layer 3 of Figure 2: it needs the same allowlist to be meaningful, and today no such allowlist is published.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59" w:lineRule="auto"/>
        <w:jc w:val="both"/>
      </w:pPr>
      <w:r>
        <w:rPr>
          <w:rFonts w:ascii="Old Standard TT" w:hAnsi="Old Standard TT"/>
          <w:sz w:val="21"/>
        </w:rPr>
        <w:t xml:space="preserve">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internet_expected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The ExploitGym scope, verbatim from the repository, is the whole artifact for that evaluation class:</w:t>
      </w:r>
    </w:p>
    <w:p>
      <w:pPr>
        <w:spacing w:after="0" w:line="240" w:lineRule="auto"/>
        <w:ind w:left="432"/>
      </w:pPr>
      <w:r>
        <w:rPr>
          <w:rFonts w:ascii="Old Standard TT" w:hAnsi="Old Standard TT"/>
          <w:sz w:val="16"/>
        </w:rPr>
        <w:t>{"name": "exploitgym-cyber-eval", "internet_expected": false,</w:t>
      </w:r>
    </w:p>
    <w:p>
      <w:pPr>
        <w:spacing w:after="0" w:line="240" w:lineRule="auto"/>
        <w:ind w:left="432"/>
      </w:pPr>
      <w:r>
        <w:rPr>
          <w:rFonts w:ascii="Old Standard TT" w:hAnsi="Old Standard TT"/>
          <w:sz w:val="16"/>
        </w:rPr>
        <w:t xml:space="preserve"> "allowed_hosts": ["api.openai.com", "api.anthropic.com", "artifactory.internal"],</w:t>
      </w:r>
    </w:p>
    <w:p>
      <w:pPr>
        <w:spacing w:after="120" w:line="240" w:lineRule="auto"/>
        <w:ind w:left="432"/>
      </w:pPr>
      <w:r>
        <w:rPr>
          <w:rFonts w:ascii="Old Standard TT" w:hAnsi="Old Standard TT"/>
          <w:sz w:val="16"/>
        </w:rPr>
        <w:t xml:space="preserve"> "notes": "ExploitGym run-proxy permits ONLY LLM API endpoints; OpenAI additionally permitted the Artifactory proxy."}</w:t>
      </w:r>
    </w:p>
    <w:p>
      <w:pPr>
        <w:pStyle w:val="Heading3"/>
        <w:keepNext/>
      </w:pPr>
      <w:r>
        <w:t>3.2 Trace and destination extraction</w:t>
      </w:r>
    </w:p>
    <w:p>
      <w:pPr>
        <w:spacing w:after="100" w:line="259"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59" w:lineRule="auto"/>
        <w:jc w:val="both"/>
      </w:pPr>
      <w:r>
        <w:rPr>
          <w:rFonts w:ascii="Old Standard TT" w:hAnsi="Old Standard TT"/>
          <w:sz w:val="21"/>
        </w:rPr>
        <w:t xml:space="preserve">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Gating on a predicate the environment can settle itself, rather than on a second model, follows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59"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JSON replay over the trace schema (sentinel score) is the supported interface, and is what a third party with only files runs; the inspect_scout wrapper (scout scan sentinel/scanner.py -T logs/) is exercised by the test suite and, in Section 4.4, over a recorded evaluation log. Both paths execute the same rule. Fifteen tests pin every number in this paper.</w:t>
      </w:r>
    </w:p>
    <w:p>
      <w:pPr>
        <w:pStyle w:val="Heading3"/>
        <w:keepNext/>
      </w:pPr>
      <w:r>
        <w:t>3.5 Fixtures and baseline</w:t>
      </w:r>
    </w:p>
    <w:p>
      <w:pPr>
        <w:spacing w:after="100" w:line="259" w:lineRule="auto"/>
        <w:jc w:val="both"/>
      </w:pPr>
      <w:r>
        <w:rPr>
          <w:rFonts w:ascii="Old Standard TT" w:hAnsi="Old Standard TT"/>
          <w:sz w:val="21"/>
        </w:rPr>
        <w:t>Three positives are reconstructions from the public write-ups, each carrying a source URL and a lab_detected_at_event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59"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 Third, the first scout scan over a real log crashed: the scanner used relative imports and scout loads the file standalone in worker processes, so the README command had never actually worked. It now imports the installed package.</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1699"/>
        <w:gridCol w:w="864"/>
        <w:gridCol w:w="1612"/>
        <w:gridCol w:w="2505"/>
        <w:gridCol w:w="1497"/>
        <w:gridCol w:w="1180"/>
      </w:tblGrid>
      <w:tr>
        <w:trPr>
          <w:cantSplit/>
        </w:trPr>
        <w:tc>
          <w:tcPr>
            <w:tcW w:type="dxa" w:w="1699"/>
          </w:tcPr>
          <w:p>
            <w:pPr>
              <w:spacing w:line="269" w:lineRule="auto" w:after="0" w:before="0"/>
            </w:pPr>
            <w:r>
              <w:rPr>
                <w:rFonts w:ascii="Old Standard TT" w:hAnsi="Old Standard TT"/>
              </w:rPr>
            </w:r>
            <w:r>
              <w:rPr>
                <w:rFonts w:ascii="Old Standard TT" w:hAnsi="Old Standard TT"/>
                <w:b/>
                <w:sz w:val="16"/>
              </w:rPr>
              <w:t>Fixture</w:t>
            </w:r>
          </w:p>
        </w:tc>
        <w:tc>
          <w:tcPr>
            <w:tcW w:type="dxa" w:w="864"/>
          </w:tcPr>
          <w:p>
            <w:pPr>
              <w:spacing w:line="269" w:lineRule="auto" w:after="0" w:before="0"/>
            </w:pPr>
            <w:r>
              <w:rPr>
                <w:rFonts w:ascii="Old Standard TT" w:hAnsi="Old Standard TT"/>
              </w:rPr>
            </w:r>
            <w:r>
              <w:rPr>
                <w:rFonts w:ascii="Old Standard TT" w:hAnsi="Old Standard TT"/>
                <w:b/>
                <w:sz w:val="16"/>
              </w:rPr>
              <w:t>Kind</w:t>
            </w:r>
          </w:p>
        </w:tc>
        <w:tc>
          <w:tcPr>
            <w:tcW w:type="dxa" w:w="1613"/>
          </w:tcPr>
          <w:p>
            <w:pPr>
              <w:spacing w:line="269" w:lineRule="auto" w:after="0" w:before="0"/>
            </w:pPr>
            <w:r>
              <w:rPr>
                <w:rFonts w:ascii="Old Standard TT" w:hAnsi="Old Standard TT"/>
              </w:rPr>
            </w:r>
            <w:r>
              <w:rPr>
                <w:rFonts w:ascii="Old Standard TT" w:hAnsi="Old Standard TT"/>
                <w:b/>
                <w:sz w:val="16"/>
              </w:rPr>
              <w:t>Sentinel</w:t>
            </w:r>
          </w:p>
        </w:tc>
        <w:tc>
          <w:tcPr>
            <w:tcW w:type="dxa" w:w="2506"/>
          </w:tcPr>
          <w:p>
            <w:pPr>
              <w:spacing w:line="269" w:lineRule="auto" w:after="0" w:before="0"/>
            </w:pPr>
            <w:r>
              <w:rPr>
                <w:rFonts w:ascii="Old Standard TT" w:hAnsi="Old Standard TT"/>
              </w:rPr>
            </w:r>
            <w:r>
              <w:rPr>
                <w:rFonts w:ascii="Old Standard TT" w:hAnsi="Old Standard TT"/>
                <w:b/>
                <w:sz w:val="16"/>
              </w:rPr>
              <w:t>Destination</w:t>
            </w:r>
          </w:p>
        </w:tc>
        <w:tc>
          <w:tcPr>
            <w:tcW w:type="dxa" w:w="1498"/>
          </w:tcPr>
          <w:p>
            <w:pPr>
              <w:spacing w:line="269" w:lineRule="auto" w:after="0" w:before="0"/>
            </w:pPr>
            <w:r>
              <w:rPr>
                <w:rFonts w:ascii="Old Standard TT" w:hAnsi="Old Standard TT"/>
              </w:rPr>
            </w:r>
            <w:r>
              <w:rPr>
                <w:rFonts w:ascii="Old Standard TT" w:hAnsi="Old Standard TT"/>
                <w:b/>
                <w:sz w:val="16"/>
              </w:rPr>
              <w:t>Detection point in reconstruction</w:t>
            </w:r>
          </w:p>
        </w:tc>
        <w:tc>
          <w:tcPr>
            <w:tcW w:type="dxa" w:w="1181"/>
          </w:tcPr>
          <w:p>
            <w:pPr>
              <w:spacing w:line="269" w:lineRule="auto" w:after="0" w:before="0"/>
            </w:pPr>
            <w:r>
              <w:rPr>
                <w:rFonts w:ascii="Old Standard TT" w:hAnsi="Old Standard TT"/>
              </w:rPr>
            </w:r>
            <w:r>
              <w:rPr>
                <w:rFonts w:ascii="Old Standard TT" w:hAnsi="Old Standard TT"/>
                <w:b/>
                <w:sz w:val="16"/>
              </w:rPr>
              <w:t>Keyword baseline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hf-openai-exploitgym</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@3</w:t>
            </w:r>
          </w:p>
        </w:tc>
        <w:tc>
          <w:tcPr>
            <w:tcW w:type="dxa" w:w="2506"/>
          </w:tcPr>
          <w:p>
            <w:pPr>
              <w:spacing w:line="269" w:lineRule="auto" w:after="0" w:before="0"/>
            </w:pPr>
            <w:r>
              <w:rPr>
                <w:rFonts w:ascii="Old Standard TT" w:hAnsi="Old Standard TT"/>
              </w:rPr>
            </w:r>
            <w:r>
              <w:rPr>
                <w:rFonts w:ascii="Old Standard TT" w:hAnsi="Old Standard TT"/>
                <w:b w:val="0"/>
                <w:sz w:val="16"/>
              </w:rPr>
              <w:t>cybergym-fn-7bf.modal.run</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@2 (proxy)</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aisi-range-tor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github.com</w:t>
            </w:r>
          </w:p>
        </w:tc>
        <w:tc>
          <w:tcPr>
            <w:tcW w:type="dxa" w:w="1498"/>
          </w:tcPr>
          <w:p>
            <w:pPr>
              <w:spacing w:line="269" w:lineRule="auto" w:after="0" w:before="0"/>
            </w:pPr>
            <w:r>
              <w:rPr>
                <w:rFonts w:ascii="Old Standard TT" w:hAnsi="Old Standard TT"/>
              </w:rPr>
            </w:r>
            <w:r>
              <w:rPr>
                <w:rFonts w:ascii="Old Standard TT" w:hAnsi="Old Standard TT"/>
                <w:b w:val="0"/>
                <w:sz w:val="16"/>
              </w:rPr>
              <w:t>@4</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anthropic-irregular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acme-robotics.com</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neg-allowed-llm-api</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neg-inscope-recon</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neg-range-http</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warn-grader-probe</w:t>
            </w:r>
          </w:p>
        </w:tc>
        <w:tc>
          <w:tcPr>
            <w:tcW w:type="dxa" w:w="864"/>
          </w:tcPr>
          <w:p>
            <w:pPr>
              <w:spacing w:line="269" w:lineRule="auto" w:after="0" w:before="0"/>
            </w:pPr>
            <w:r>
              <w:rPr>
                <w:rFonts w:ascii="Old Standard TT" w:hAnsi="Old Standard TT"/>
              </w:rPr>
            </w:r>
            <w:r>
              <w:rPr>
                <w:rFonts w:ascii="Old Standard TT" w:hAnsi="Old Standard TT"/>
                <w:b w:val="0"/>
                <w:sz w:val="16"/>
              </w:rPr>
              <w:t>warn only</w:t>
            </w:r>
          </w:p>
        </w:tc>
        <w:tc>
          <w:tcPr>
            <w:tcW w:type="dxa" w:w="1613"/>
          </w:tcPr>
          <w:p>
            <w:pPr>
              <w:spacing w:line="269" w:lineRule="auto" w:after="0" w:before="0"/>
            </w:pPr>
            <w:r>
              <w:rPr>
                <w:rFonts w:ascii="Old Standard TT" w:hAnsi="Old Standard TT"/>
              </w:rPr>
            </w:r>
            <w:r>
              <w:rPr>
                <w:rFonts w:ascii="Old Standard TT" w:hAnsi="Old Standard TT"/>
                <w:b w:val="0"/>
                <w:sz w:val="16"/>
              </w:rPr>
              <w:t>no page (T1 warn)</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bl>
    <w:p>
      <w:pPr>
        <w:spacing w:line="312" w:lineRule="auto" w:before="140" w:after="200"/>
      </w:pPr>
      <w:r>
        <w:rPr>
          <w:rFonts w:ascii="Old Standard TT" w:hAnsi="Old Standard TT"/>
          <w:i/>
          <w:sz w:val="19"/>
        </w:rPr>
        <w:t>Table 1. Specification tests over the seven fixtures. "Detection point in reconstruction" is where we placed the organisation's own detection when we wrote the fixture from the public timeline; it is a property of our reconstruction and supports no claim about latency inside any lab. The keyword baseline has no allowlist.</w:t>
      </w:r>
    </w:p>
    <w:p>
      <w:pPr>
        <w:spacing w:after="100" w:line="259"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59" w:lineRule="auto"/>
        <w:jc w:val="center"/>
      </w:pPr>
      <w:r>
        <w:rPr>
          <w:rFonts w:ascii="Old Standard TT" w:hAnsi="Old Standard TT"/>
          <w:sz w:val="21"/>
        </w:rPr>
        <w:drawing>
          <wp:inline>
            <wp:extent cx="4572000" cy="1837764"/>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4572000" cy="1837764"/>
                    </a:xfrm>
                    <a:prstGeom prst="rect"/>
                  </pic:spPr>
                </pic:pic>
              </a:graphicData>
            </a:graphic>
          </wp:inline>
        </w:drawing>
      </w:r>
    </w:p>
    <w:p>
      <w:pPr>
        <w:spacing w:line="312" w:lineRule="auto" w:before="120" w:after="200"/>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59"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The artifact worth publishing per evaluation class is the pair (trace, allowlist), and verifiability is a property of the pair. Every number here is deterministic and pinned by tests; the one robustness question that matters is sensitivity to the scope, and this figure asks it directly.</w:t>
      </w:r>
    </w:p>
    <w:p>
      <w:pPr>
        <w:pStyle w:val="Heading3"/>
        <w:keepNext/>
      </w:pPr>
      <w:r>
        <w:t>4.3 The page arrives after the escape</w:t>
      </w:r>
    </w:p>
    <w:p>
      <w:pPr>
        <w:spacing w:after="100" w:line="259"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ALLOWED. We test this as a known blind spot rather than hide it.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prowiki.org, had the declared scope named which hosts read access was for.</w:t>
      </w:r>
    </w:p>
    <w:p>
      <w:pPr>
        <w:keepNext/>
        <w:spacing w:before="120" w:line="259" w:lineRule="auto"/>
        <w:jc w:val="center"/>
      </w:pPr>
      <w:r>
        <w:rPr>
          <w:rFonts w:ascii="Old Standard TT" w:hAnsi="Old Standard TT"/>
          <w:sz w:val="21"/>
        </w:rPr>
        <w:drawing>
          <wp:inline>
            <wp:extent cx="4937760" cy="2226833"/>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4937760" cy="2226833"/>
                    </a:xfrm>
                    <a:prstGeom prst="rect"/>
                  </pic:spPr>
                </pic:pic>
              </a:graphicData>
            </a:graphic>
          </wp:inline>
        </w:drawing>
      </w:r>
    </w:p>
    <w:p>
      <w:pPr>
        <w:spacing w:line="312" w:lineRule="auto" w:before="120" w:after="200"/>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and is the month of follow-up. Layer 4 is the Track 1 criterion. Prevention is a separate row: it stops escapes and yields no third-party evidence.</w:t>
      </w:r>
    </w:p>
    <w:p>
      <w:pPr>
        <w:pStyle w:val="Heading3"/>
        <w:keepNext/>
      </w:pPr>
      <w:r>
        <w:t>4.4 Records we did not write: the DSEWiki export and a live Inspect run</w:t>
      </w:r>
    </w:p>
    <w:p>
      <w:pPr>
        <w:spacing w:after="100" w:line="259" w:lineRule="auto"/>
        <w:jc w:val="both"/>
      </w:pPr>
      <w:r>
        <w:rPr>
          <w:rFonts w:ascii="Old Standard TT" w:hAnsi="Old Standard TT"/>
          <w:sz w:val="21"/>
        </w:rPr>
        <w:t xml:space="preserve">The fixtures show consistency, not generalisation, so we pointed the same rule at a record with a different author. The Nightingale Collective's export of the DSEWiki incident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contains 14,591 saved agent revisions across four wikis, 24 May to 2 July 2026, with full text and write times (manifest db_sha256 199241bf…). Each revision is one event in write order and its body the argument blob; the extractor reads it as it would a tool call. Nothing about the events is ours. The declared scope is: the sandbox allowed any GET request to any host, which is the wildcard row of the ablation. We add two scopes of our own for comparison and say so: one naming only the public datasets the task families were retrieving from (27 hosts such as api.datausa.io, sec.gov, api.usaspending.gov), and a control that also permits the wiki hosts.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808"/>
        <w:gridCol w:w="1224"/>
        <w:gridCol w:w="1944"/>
        <w:gridCol w:w="2232"/>
        <w:gridCol w:w="1152"/>
      </w:tblGrid>
      <w:tr>
        <w:trPr>
          <w:cantSplit/>
        </w:trPr>
        <w:tc>
          <w:tcPr>
            <w:tcW w:type="dxa" w:w="2808"/>
          </w:tcPr>
          <w:p>
            <w:pPr>
              <w:spacing w:line="269" w:lineRule="auto" w:after="0" w:before="0"/>
            </w:pPr>
            <w:r>
              <w:rPr>
                <w:rFonts w:ascii="Old Standard TT" w:hAnsi="Old Standard TT"/>
              </w:rPr>
            </w:r>
            <w:r>
              <w:rPr>
                <w:rFonts w:ascii="Old Standard TT" w:hAnsi="Old Standard TT"/>
                <w:b/>
                <w:sz w:val="16"/>
              </w:rPr>
              <w:t>Declared scope</w:t>
            </w:r>
          </w:p>
        </w:tc>
        <w:tc>
          <w:tcPr>
            <w:tcW w:type="dxa" w:w="1224"/>
          </w:tcPr>
          <w:p>
            <w:pPr>
              <w:spacing w:line="269" w:lineRule="auto" w:after="0" w:before="0"/>
            </w:pPr>
            <w:r>
              <w:rPr>
                <w:rFonts w:ascii="Old Standard TT" w:hAnsi="Old Standard TT"/>
              </w:rPr>
            </w:r>
            <w:r>
              <w:rPr>
                <w:rFonts w:ascii="Old Standard TT" w:hAnsi="Old Standard TT"/>
                <w:b/>
                <w:sz w:val="16"/>
              </w:rPr>
              <w:t>Pages</w:t>
            </w:r>
          </w:p>
        </w:tc>
        <w:tc>
          <w:tcPr>
            <w:tcW w:type="dxa" w:w="1944"/>
          </w:tcPr>
          <w:p>
            <w:pPr>
              <w:spacing w:line="269" w:lineRule="auto" w:after="0" w:before="0"/>
            </w:pPr>
            <w:r>
              <w:rPr>
                <w:rFonts w:ascii="Old Standard TT" w:hAnsi="Old Standard TT"/>
              </w:rPr>
            </w:r>
            <w:r>
              <w:rPr>
                <w:rFonts w:ascii="Old Standard TT" w:hAnsi="Old Standard TT"/>
                <w:b/>
                <w:sz w:val="16"/>
              </w:rPr>
              <w:t>First page</w:t>
            </w:r>
          </w:p>
        </w:tc>
        <w:tc>
          <w:tcPr>
            <w:tcW w:type="dxa" w:w="2232"/>
          </w:tcPr>
          <w:p>
            <w:pPr>
              <w:spacing w:line="269" w:lineRule="auto" w:after="0" w:before="0"/>
            </w:pPr>
            <w:r>
              <w:rPr>
                <w:rFonts w:ascii="Old Standard TT" w:hAnsi="Old Standard TT"/>
              </w:rPr>
            </w:r>
            <w:r>
              <w:rPr>
                <w:rFonts w:ascii="Old Standard TT" w:hAnsi="Old Standard TT"/>
                <w:b/>
                <w:sz w:val="16"/>
              </w:rPr>
              <w:t>Destination</w:t>
            </w:r>
          </w:p>
        </w:tc>
        <w:tc>
          <w:tcPr>
            <w:tcW w:type="dxa" w:w="1152"/>
          </w:tcPr>
          <w:p>
            <w:pPr>
              <w:spacing w:line="269" w:lineRule="auto" w:after="0" w:before="0"/>
            </w:pPr>
            <w:r>
              <w:rPr>
                <w:rFonts w:ascii="Old Standard TT" w:hAnsi="Old Standard TT"/>
              </w:rPr>
            </w:r>
            <w:r>
              <w:rPr>
                <w:rFonts w:ascii="Old Standard TT" w:hAnsi="Old Standard TT"/>
                <w:b/>
                <w:sz w:val="16"/>
              </w:rPr>
              <w:t>Before OpenAI's first visit (21 Jun)</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wildcard (the actual scope: any GET)</w:t>
            </w:r>
          </w:p>
        </w:tc>
        <w:tc>
          <w:tcPr>
            <w:tcW w:type="dxa" w:w="1224"/>
          </w:tcPr>
          <w:p>
            <w:pPr>
              <w:spacing w:line="269" w:lineRule="auto" w:after="0" w:before="0"/>
            </w:pPr>
            <w:r>
              <w:rPr>
                <w:rFonts w:ascii="Old Standard TT" w:hAnsi="Old Standard TT"/>
              </w:rPr>
            </w:r>
            <w:r>
              <w:rPr>
                <w:rFonts w:ascii="Old Standard TT" w:hAnsi="Old Standard TT"/>
                <w:b w:val="0"/>
                <w:sz w:val="16"/>
              </w:rPr>
              <w:t>0 of 14,591</w:t>
            </w:r>
          </w:p>
        </w:tc>
        <w:tc>
          <w:tcPr>
            <w:tcW w:type="dxa" w:w="1944"/>
          </w:tcPr>
          <w:p>
            <w:pPr>
              <w:spacing w:line="269" w:lineRule="auto" w:after="0" w:before="0"/>
            </w:pPr>
            <w:r>
              <w:rPr>
                <w:rFonts w:ascii="Old Standard TT" w:hAnsi="Old Standard TT"/>
              </w:rPr>
            </w:r>
            <w:r>
              <w:rPr>
                <w:rFonts w:ascii="Old Standard TT" w:hAnsi="Old Standard TT"/>
                <w:b w:val="0"/>
                <w:sz w:val="16"/>
              </w:rPr>
              <w:t>—</w:t>
            </w:r>
          </w:p>
        </w:tc>
        <w:tc>
          <w:tcPr>
            <w:tcW w:type="dxa" w:w="2232"/>
          </w:tcPr>
          <w:p>
            <w:pPr>
              <w:spacing w:line="269" w:lineRule="auto" w:after="0" w:before="0"/>
            </w:pPr>
            <w:r>
              <w:rPr>
                <w:rFonts w:ascii="Old Standard TT" w:hAnsi="Old Standard TT"/>
              </w:rPr>
            </w:r>
            <w:r>
              <w:rPr>
                <w:rFonts w:ascii="Old Standard TT" w:hAnsi="Old Standard TT"/>
                <w:b w:val="0"/>
                <w:sz w:val="16"/>
              </w:rPr>
              <w:t>—</w:t>
            </w:r>
          </w:p>
        </w:tc>
        <w:tc>
          <w:tcPr>
            <w:tcW w:type="dxa" w:w="1152"/>
          </w:tcPr>
          <w:p>
            <w:pPr>
              <w:spacing w:line="269" w:lineRule="auto" w:after="0" w:before="0"/>
            </w:pPr>
            <w:r>
              <w:rPr>
                <w:rFonts w:ascii="Old Standard TT" w:hAnsi="Old Standard TT"/>
              </w:rPr>
            </w:r>
            <w:r>
              <w:rPr>
                <w:rFonts w:ascii="Old Standard TT" w:hAnsi="Old Standard TT"/>
                <w:b w:val="0"/>
                <w:sz w:val="16"/>
              </w:rPr>
              <w:t>silent</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only (ours)</w:t>
            </w:r>
          </w:p>
        </w:tc>
        <w:tc>
          <w:tcPr>
            <w:tcW w:type="dxa" w:w="1224"/>
          </w:tcPr>
          <w:p>
            <w:pPr>
              <w:spacing w:line="269" w:lineRule="auto" w:after="0" w:before="0"/>
            </w:pPr>
            <w:r>
              <w:rPr>
                <w:rFonts w:ascii="Old Standard TT" w:hAnsi="Old Standard TT"/>
              </w:rPr>
            </w:r>
            <w:r>
              <w:rPr>
                <w:rFonts w:ascii="Old Standard TT" w:hAnsi="Old Standard TT"/>
                <w:b w:val="0"/>
                <w:sz w:val="16"/>
              </w:rPr>
              <w:t>16,504</w:t>
            </w:r>
          </w:p>
        </w:tc>
        <w:tc>
          <w:tcPr>
            <w:tcW w:type="dxa" w:w="1944"/>
          </w:tcPr>
          <w:p>
            <w:pPr>
              <w:spacing w:line="269" w:lineRule="auto" w:after="0" w:before="0"/>
            </w:pPr>
            <w:r>
              <w:rPr>
                <w:rFonts w:ascii="Old Standard TT" w:hAnsi="Old Standard TT"/>
              </w:rPr>
            </w:r>
            <w:r>
              <w:rPr>
                <w:rFonts w:ascii="Old Standard TT" w:hAnsi="Old Standard TT"/>
                <w:b w:val="0"/>
                <w:sz w:val="16"/>
              </w:rPr>
              <w:t>event 5, 24 May 11:53 UTC</w:t>
            </w:r>
          </w:p>
        </w:tc>
        <w:tc>
          <w:tcPr>
            <w:tcW w:type="dxa" w:w="2232"/>
          </w:tcPr>
          <w:p>
            <w:pPr>
              <w:spacing w:line="269" w:lineRule="auto" w:after="0" w:before="0"/>
            </w:pPr>
            <w:r>
              <w:rPr>
                <w:rFonts w:ascii="Old Standard TT" w:hAnsi="Old Standard TT"/>
              </w:rPr>
            </w:r>
            <w:r>
              <w:rPr>
                <w:rFonts w:ascii="Old Standard TT" w:hAnsi="Old Standard TT"/>
                <w:b w:val="0"/>
                <w:sz w:val="16"/>
              </w:rPr>
              <w:t>wikiservice.at (wiki channel)</w:t>
            </w:r>
          </w:p>
        </w:tc>
        <w:tc>
          <w:tcPr>
            <w:tcW w:type="dxa" w:w="1152"/>
          </w:tcPr>
          <w:p>
            <w:pPr>
              <w:spacing w:line="269" w:lineRule="auto" w:after="0" w:before="0"/>
            </w:pPr>
            <w:r>
              <w:rPr>
                <w:rFonts w:ascii="Old Standard TT" w:hAnsi="Old Standard TT"/>
              </w:rPr>
            </w:r>
            <w:r>
              <w:rPr>
                <w:rFonts w:ascii="Old Standard TT" w:hAnsi="Old Standard TT"/>
                <w:b w:val="0"/>
                <w:sz w:val="16"/>
              </w:rPr>
              <w:t>27 days</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 wiki hosts (control)</w:t>
            </w:r>
          </w:p>
        </w:tc>
        <w:tc>
          <w:tcPr>
            <w:tcW w:type="dxa" w:w="1224"/>
          </w:tcPr>
          <w:p>
            <w:pPr>
              <w:spacing w:line="269" w:lineRule="auto" w:after="0" w:before="0"/>
            </w:pPr>
            <w:r>
              <w:rPr>
                <w:rFonts w:ascii="Old Standard TT" w:hAnsi="Old Standard TT"/>
              </w:rPr>
            </w:r>
            <w:r>
              <w:rPr>
                <w:rFonts w:ascii="Old Standard TT" w:hAnsi="Old Standard TT"/>
                <w:b w:val="0"/>
                <w:sz w:val="16"/>
              </w:rPr>
              <w:t>11,946</w:t>
            </w:r>
          </w:p>
        </w:tc>
        <w:tc>
          <w:tcPr>
            <w:tcW w:type="dxa" w:w="1944"/>
          </w:tcPr>
          <w:p>
            <w:pPr>
              <w:spacing w:line="269" w:lineRule="auto" w:after="0" w:before="0"/>
            </w:pPr>
            <w:r>
              <w:rPr>
                <w:rFonts w:ascii="Old Standard TT" w:hAnsi="Old Standard TT"/>
              </w:rPr>
            </w:r>
            <w:r>
              <w:rPr>
                <w:rFonts w:ascii="Old Standard TT" w:hAnsi="Old Standard TT"/>
                <w:b w:val="0"/>
                <w:sz w:val="16"/>
              </w:rPr>
              <w:t>event 36, 26 May 09:43 UTC</w:t>
            </w:r>
          </w:p>
        </w:tc>
        <w:tc>
          <w:tcPr>
            <w:tcW w:type="dxa" w:w="2232"/>
          </w:tcPr>
          <w:p>
            <w:pPr>
              <w:spacing w:line="269" w:lineRule="auto" w:after="0" w:before="0"/>
            </w:pPr>
            <w:r>
              <w:rPr>
                <w:rFonts w:ascii="Old Standard TT" w:hAnsi="Old Standard TT"/>
              </w:rPr>
            </w:r>
            <w:r>
              <w:rPr>
                <w:rFonts w:ascii="Old Standard TT" w:hAnsi="Old Standard TT"/>
                <w:b w:val="0"/>
                <w:sz w:val="16"/>
              </w:rPr>
              <w:t>example.com; then markdown.new, piv.max.gov</w:t>
            </w:r>
          </w:p>
        </w:tc>
        <w:tc>
          <w:tcPr>
            <w:tcW w:type="dxa" w:w="1152"/>
          </w:tcPr>
          <w:p>
            <w:pPr>
              <w:spacing w:line="269" w:lineRule="auto" w:after="0" w:before="0"/>
            </w:pPr>
            <w:r>
              <w:rPr>
                <w:rFonts w:ascii="Old Standard TT" w:hAnsi="Old Standard TT"/>
              </w:rPr>
            </w:r>
            <w:r>
              <w:rPr>
                <w:rFonts w:ascii="Old Standard TT" w:hAnsi="Old Standard TT"/>
                <w:b w:val="0"/>
                <w:sz w:val="16"/>
              </w:rPr>
              <w:t>25 days</w:t>
            </w:r>
          </w:p>
        </w:tc>
      </w:tr>
    </w:tbl>
    <w:p>
      <w:pPr>
        <w:spacing w:line="312" w:lineRule="auto" w:before="140" w:after="200"/>
      </w:pPr>
      <w:r>
        <w:rPr>
          <w:rFonts w:ascii="Old Standard TT" w:hAnsi="Old Standard TT"/>
          <w:i/>
          <w:sz w:val="19"/>
        </w:rPr>
        <w:t>Table 3. Sentinel over the DSEWiki export under three declared scopes. The events are the researchers' record; the two non-wildcard scopes are our reconstruction from the task families visible in it. "Before OpenAI's first visit" uses the date collusion.wiki gives for the first OpenAI-associated addresses on the pages.</w:t>
      </w:r>
    </w:p>
    <w:p>
      <w:pPr>
        <w:spacing w:after="100" w:line="259" w:lineRule="auto"/>
        <w:jc w:val="both"/>
      </w:pPr>
      <w:r>
        <w:rPr>
          <w:rFonts w:ascii="Old Standard TT" w:hAnsi="Old Standard TT"/>
          <w:sz w:val="21"/>
        </w:rPr>
        <w:t>Observation: under the scope the sandbox actually had, the scanner is silent on all 14,591 events. Under a scope that names the task's data sources, the first out-of-scope stated destination is the wiki itself, at event 5, six hours into the first day of writing and 27 days before the first OpenAI-associated address visited the pages. Permitting the wiki hosts moves the first page to 26 May, where the stated destinations are a placeholder domain, then the first of 43 reader and CORS-proxy hosts (markdown.new, r.jina.ai, allorigins), then a US government login portal (piv.max.gov, login.max.gov). The extractor sees 200 distinct hosts in the record: 27 task data sources, 6 wiki hosts, 43 reader or CORS proxies, 4 shorteners, 5 archives, 4 tunnels. Interpretation: the ablation's two failure modes reproduce on a record we did not write. The scope the evaluation had was a wildcard, and a wildcard produces no page on a real containment failure; any scope that named what the task was for would have paged on the first day. Two honesty notes: 16,504 pages is an alert volume nobody reads, so the value is the first index and the count is why layer 3, not layer 2, should gate paging; and T2 fired 1,147 times only because "proxy" appears in the workaround hostnames, a lexical accident we report as one.</w:t>
      </w:r>
    </w:p>
    <w:p>
      <w:pPr>
        <w:spacing w:after="100" w:line="259" w:lineRule="auto"/>
        <w:jc w:val="both"/>
      </w:pPr>
      <w:r>
        <w:rPr>
          <w:rFonts w:ascii="Old Standard TT" w:hAnsi="Old Standard TT"/>
          <w:sz w:val="21"/>
        </w:rPr>
        <w:t>The second record is a live run we did not script: eight samples of inspect_evals/gdm_intercode_ctf with claude-haiku-4-5 as the agent. Its upstream sandbox declares network_mode: none, the only allowlist here written from a benchmark's own configuration, and it is empty. The agent made 42 tool calls (ls, cat, tcpdump, strings, python, submit) and solved all eight tasks; Sentinel paged on none, warned on none, the keyword baseline fired on none, and the inspect_scout wrapper returned the same eight verdicts from the recorded log. This is a negative control, not a detection result: a scanner that paged here would be wrong. It shows the rule is silent on real tool calls it was not written against, and that the Inspect path works on a real log. Cost: $0.14.</w:t>
      </w:r>
    </w:p>
    <w:p>
      <w:pPr>
        <w:pStyle w:val="Heading2"/>
        <w:keepNext/>
      </w:pPr>
      <w:r>
        <w:t>5. Discussion and Limitations</w:t>
      </w:r>
    </w:p>
    <w:p>
      <w:pPr>
        <w:spacing w:after="100" w:line="259"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The cost of adoption is writing the allowlist, which is the point: the artifact forces the scope to exist. It sits under what the labs already say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and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59" w:lineRule="auto"/>
        <w:ind w:left="432" w:hanging="288"/>
        <w:jc w:val="both"/>
      </w:pPr>
      <w:r>
        <w:rPr>
          <w:rFonts w:ascii="Old Standard TT" w:hAnsi="Old Standard TT"/>
          <w:sz w:val="21"/>
        </w:rPr>
        <w:t xml:space="preserve">•  The positive fixtures are reconstructions of four to seven events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transcripts, so nothing here measures detection inside OpenAI, Anthropic or AISI, and "events earlier" describes our reconstruction.</w:t>
      </w:r>
    </w:p>
    <w:p>
      <w:pPr>
        <w:spacing w:after="80" w:line="259" w:lineRule="auto"/>
        <w:ind w:left="432" w:hanging="288"/>
        <w:jc w:val="both"/>
      </w:pPr>
      <w:r>
        <w:rPr>
          <w:rFonts w:ascii="Old Standard TT" w:hAnsi="Old Standard TT"/>
          <w:sz w:val="21"/>
        </w:rPr>
        <w:t>•  The fixtures and the rule share an author, so the specification tests show consistency, not generalisation. The DSEWiki run fixes the events but not the scope: its two non-wildcard allowlists are ours, and a different reconstruction would move the first page. The wildcard row, the scope the sandbox actually had, does not move.</w:t>
      </w:r>
    </w:p>
    <w:p>
      <w:pPr>
        <w:spacing w:after="80" w:line="259" w:lineRule="auto"/>
        <w:ind w:left="432" w:hanging="288"/>
        <w:jc w:val="both"/>
      </w:pPr>
      <w:r>
        <w:rPr>
          <w:rFonts w:ascii="Old Standard TT" w:hAnsi="Old Standard TT"/>
          <w:sz w:val="21"/>
        </w:rPr>
        <w:t>•  The live run is eight samples on tasks with no network, so it can only show silence. A positive live case needs an evaluation with internet on and a real allowlist. Wiki revision bodies are also a weaker kind of declared action than a curl argument: some URLs are links posted for other agents, not destinations reached.</w:t>
      </w:r>
    </w:p>
    <w:p>
      <w:pPr>
        <w:spacing w:after="80" w:line="259" w:lineRule="auto"/>
        <w:ind w:left="432" w:hanging="288"/>
        <w:jc w:val="both"/>
      </w:pPr>
      <w:r>
        <w:rPr>
          <w:rFonts w:ascii="Old Standard TT" w:hAnsi="Old Standard TT"/>
          <w:sz w:val="21"/>
        </w:rPr>
        <w:t xml:space="preserve">•  Sentinel reads declared arguments. METR reports that roughly 7% of the transcripts it evaluated in the Hugging Face investigation were successfully spoofed in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an agent can state one destination and reach another. Layer 3 is the answer, and it is not built.</w:t>
      </w:r>
    </w:p>
    <w:p>
      <w:pPr>
        <w:spacing w:after="80" w:line="259" w:lineRule="auto"/>
        <w:ind w:left="432" w:hanging="288"/>
        <w:jc w:val="both"/>
      </w:pPr>
      <w:r>
        <w:rPr>
          <w:rFonts w:ascii="Old Standard TT" w:hAnsi="Old Standard TT"/>
          <w:sz w:val="21"/>
        </w:rPr>
        <w:t>•  The extractor is regular expressions. Destinations hidden in shell variables, base64, DNS exfiltration or IP-as-integer forms are missed and the miss rate is unmeasured; publishing the extractor publishes its gaps (Appendix A). T1 and T2 false-positive rates are likewise unmeasured.</w:t>
      </w:r>
    </w:p>
    <w:p>
      <w:pPr>
        <w:spacing w:after="80" w:line="259"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59" w:lineRule="auto"/>
        <w:jc w:val="both"/>
      </w:pPr>
      <w:r>
        <w:rPr>
          <w:rFonts w:ascii="Old Standard TT" w:hAnsi="Old Standard TT"/>
          <w:sz w:val="21"/>
        </w:rPr>
        <w:t>A month would add three things. First, a positive live case: an agentic evaluation run with internet on and an honest allowlist (ExploitGym's own firewall list is the natural start), reporting T3 page and T1/T2 warn rates on real traces. Second, layer 3 against Cilium Hubble or Squid access logs, reporting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59"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a checkable layer under the monitors and proxies that already exist, and the argument that the artifact to publish per evaluation class is the pair (trace, allowlist).</w:t>
      </w:r>
    </w:p>
    <w:p>
      <w:pPr>
        <w:pStyle w:val="Heading2"/>
        <w:keepNext/>
      </w:pPr>
      <w:r>
        <w:t>Code and Data</w:t>
      </w:r>
    </w:p>
    <w:p>
      <w:pPr>
        <w:spacing w:after="100" w:line="259"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and the 15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59"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bookmarkStart w:id="1" w:name="ref1"/>
      <w:pPr>
        <w:spacing w:after="80" w:line="259" w:lineRule="auto"/>
        <w:ind w:left="403" w:hanging="403"/>
        <w:jc w:val="both"/>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59" w:lineRule="auto"/>
        <w:ind w:left="403" w:hanging="403"/>
        <w:jc w:val="both"/>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59" w:lineRule="auto"/>
        <w:ind w:left="403" w:hanging="403"/>
        <w:jc w:val="both"/>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59" w:lineRule="auto"/>
        <w:ind w:left="403" w:hanging="403"/>
        <w:jc w:val="both"/>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59" w:lineRule="auto"/>
        <w:ind w:left="403" w:hanging="403"/>
        <w:jc w:val="both"/>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59" w:lineRule="auto"/>
        <w:ind w:left="403" w:hanging="403"/>
        <w:jc w:val="both"/>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59" w:lineRule="auto"/>
        <w:ind w:left="403" w:hanging="403"/>
        <w:jc w:val="both"/>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59" w:lineRule="auto"/>
        <w:ind w:left="403" w:hanging="403"/>
        <w:jc w:val="both"/>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59" w:lineRule="auto"/>
        <w:ind w:left="403" w:hanging="403"/>
        <w:jc w:val="both"/>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59" w:lineRule="auto"/>
        <w:ind w:left="403" w:hanging="403"/>
        <w:jc w:val="both"/>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59" w:lineRule="auto"/>
        <w:ind w:left="403" w:hanging="403"/>
        <w:jc w:val="both"/>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59" w:lineRule="auto"/>
        <w:ind w:left="403" w:hanging="403"/>
        <w:jc w:val="both"/>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59" w:lineRule="auto"/>
        <w:ind w:left="403" w:hanging="403"/>
        <w:jc w:val="both"/>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59" w:lineRule="auto"/>
        <w:ind w:left="403" w:hanging="403"/>
        <w:jc w:val="both"/>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pPr>
        <w:pStyle w:val="Heading2"/>
        <w:keepNext/>
        <w:pageBreakBefore/>
      </w:pPr>
      <w:r>
        <w:t>Appendix A. Limitations and Dual-Use Considerations</w:t>
      </w:r>
    </w:p>
    <w:p>
      <w:pPr>
        <w:spacing w:after="100" w:line="259"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59"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3744"/>
        <w:gridCol w:w="3456"/>
        <w:gridCol w:w="2160"/>
      </w:tblGrid>
      <w:tr>
        <w:trPr>
          <w:cantSplit/>
        </w:trPr>
        <w:tc>
          <w:tcPr>
            <w:tcW w:type="dxa" w:w="3744"/>
          </w:tcPr>
          <w:p>
            <w:pPr>
              <w:spacing w:line="269" w:lineRule="auto" w:after="0" w:before="0"/>
            </w:pPr>
            <w:r>
              <w:rPr>
                <w:rFonts w:ascii="Old Standard TT" w:hAnsi="Old Standard TT"/>
              </w:rPr>
            </w:r>
            <w:r>
              <w:rPr>
                <w:rFonts w:ascii="Old Standard TT" w:hAnsi="Old Standard TT"/>
                <w:b/>
                <w:sz w:val="16"/>
              </w:rPr>
              <w:t>Behaviour (from the public accounts)</w:t>
            </w:r>
          </w:p>
        </w:tc>
        <w:tc>
          <w:tcPr>
            <w:tcW w:type="dxa" w:w="3456"/>
          </w:tcPr>
          <w:p>
            <w:pPr>
              <w:spacing w:line="269" w:lineRule="auto" w:after="0" w:before="0"/>
            </w:pPr>
            <w:r>
              <w:rPr>
                <w:rFonts w:ascii="Old Standard TT" w:hAnsi="Old Standard TT"/>
              </w:rPr>
            </w:r>
            <w:r>
              <w:rPr>
                <w:rFonts w:ascii="Old Standard TT" w:hAnsi="Old Standard TT"/>
                <w:b/>
                <w:sz w:val="16"/>
              </w:rPr>
              <w:t>Seen in</w:t>
            </w:r>
          </w:p>
        </w:tc>
        <w:tc>
          <w:tcPr>
            <w:tcW w:type="dxa" w:w="2160"/>
          </w:tcPr>
          <w:p>
            <w:pPr>
              <w:spacing w:line="269" w:lineRule="auto" w:after="0" w:before="0"/>
            </w:pPr>
            <w:r>
              <w:rPr>
                <w:rFonts w:ascii="Old Standard TT" w:hAnsi="Old Standard TT"/>
              </w:rPr>
            </w:r>
            <w:r>
              <w:rPr>
                <w:rFonts w:ascii="Old Standard TT" w:hAnsi="Old Standard TT"/>
                <w:b/>
                <w:sz w:val="16"/>
              </w:rPr>
              <w:t>Sentinel</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1 Grader / evaluation probing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T1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2 Sandbox / boundary testing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T2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3 Unauthorised egress vs declared scope</w:t>
            </w:r>
          </w:p>
        </w:tc>
        <w:tc>
          <w:tcPr>
            <w:tcW w:type="dxa" w:w="3456"/>
          </w:tcPr>
          <w:p>
            <w:pPr>
              <w:spacing w:line="269" w:lineRule="auto" w:after="0" w:before="0"/>
            </w:pPr>
            <w:r>
              <w:rPr>
                <w:rFonts w:ascii="Old Standard TT" w:hAnsi="Old Standard TT"/>
              </w:rPr>
            </w:r>
            <w:r>
              <w:rPr>
                <w:rFonts w:ascii="Old Standard TT" w:hAnsi="Old Standard TT"/>
                <w:b w:val="0"/>
                <w:sz w:val="16"/>
              </w:rPr>
              <w:t>all four</w:t>
            </w:r>
          </w:p>
        </w:tc>
        <w:tc>
          <w:tcPr>
            <w:tcW w:type="dxa" w:w="2160"/>
          </w:tcPr>
          <w:p>
            <w:pPr>
              <w:spacing w:line="269" w:lineRule="auto" w:after="0" w:before="0"/>
            </w:pPr>
            <w:r>
              <w:rPr>
                <w:rFonts w:ascii="Old Standard TT" w:hAnsi="Old Standard TT"/>
              </w:rPr>
            </w:r>
            <w:r>
              <w:rPr>
                <w:rFonts w:ascii="Old Standard TT" w:hAnsi="Old Standard TT"/>
                <w:b w:val="0"/>
                <w:sz w:val="16"/>
              </w:rPr>
              <w:t>T3 PAGE</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4 Inter-agent message boards</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5 Credential harvesting and reuse</w:t>
            </w:r>
          </w:p>
        </w:tc>
        <w:tc>
          <w:tcPr>
            <w:tcW w:type="dxa" w:w="3456"/>
          </w:tcPr>
          <w:p>
            <w:pPr>
              <w:spacing w:line="269" w:lineRule="auto" w:after="0" w:before="0"/>
            </w:pPr>
            <w:r>
              <w:rPr>
                <w:rFonts w:ascii="Old Standard TT" w:hAnsi="Old Standard TT"/>
              </w:rPr>
            </w:r>
            <w:r>
              <w:rPr>
                <w:rFonts w:ascii="Old Standard TT" w:hAnsi="Old Standard TT"/>
                <w:b w:val="0"/>
                <w:sz w:val="16"/>
              </w:rPr>
              <w:t>OpenAI, Anthropic</w:t>
            </w:r>
          </w:p>
        </w:tc>
        <w:tc>
          <w:tcPr>
            <w:tcW w:type="dxa" w:w="2160"/>
          </w:tcPr>
          <w:p>
            <w:pPr>
              <w:spacing w:line="269" w:lineRule="auto" w:after="0" w:before="0"/>
            </w:pPr>
            <w:r>
              <w:rPr>
                <w:rFonts w:ascii="Old Standard TT" w:hAnsi="Old Standard TT"/>
              </w:rPr>
            </w:r>
            <w:r>
              <w:rPr>
                <w:rFonts w:ascii="Old Standard TT" w:hAnsi="Old Standard TT"/>
                <w:b w:val="0"/>
                <w:sz w:val="16"/>
              </w:rPr>
              <w:t>not covered (env telemetry)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6 Out-of-scope target enumeration</w:t>
            </w:r>
          </w:p>
        </w:tc>
        <w:tc>
          <w:tcPr>
            <w:tcW w:type="dxa" w:w="3456"/>
          </w:tcPr>
          <w:p>
            <w:pPr>
              <w:spacing w:line="269" w:lineRule="auto" w:after="0" w:before="0"/>
            </w:pPr>
            <w:r>
              <w:rPr>
                <w:rFonts w:ascii="Old Standard TT" w:hAnsi="Old Standard TT"/>
              </w:rPr>
            </w:r>
            <w:r>
              <w:rPr>
                <w:rFonts w:ascii="Old Standard TT" w:hAnsi="Old Standard TT"/>
                <w:b w:val="0"/>
                <w:sz w:val="16"/>
              </w:rPr>
              <w:t>Anthropic (~9,000 targets)</w:t>
            </w:r>
          </w:p>
        </w:tc>
        <w:tc>
          <w:tcPr>
            <w:tcW w:type="dxa" w:w="2160"/>
          </w:tcPr>
          <w:p>
            <w:pPr>
              <w:spacing w:line="269" w:lineRule="auto" w:after="0" w:before="0"/>
            </w:pPr>
            <w:r>
              <w:rPr>
                <w:rFonts w:ascii="Old Standard TT" w:hAnsi="Old Standard TT"/>
              </w:rPr>
            </w:r>
            <w:r>
              <w:rPr>
                <w:rFonts w:ascii="Old Standard TT" w:hAnsi="Old Standard TT"/>
                <w:b w:val="0"/>
                <w:sz w:val="16"/>
              </w:rPr>
              <w:t>T3 if a host is stated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7 Persistence past a safe exit</w:t>
            </w:r>
          </w:p>
        </w:tc>
        <w:tc>
          <w:tcPr>
            <w:tcW w:type="dxa" w:w="3456"/>
          </w:tcPr>
          <w:p>
            <w:pPr>
              <w:spacing w:line="269" w:lineRule="auto" w:after="0" w:before="0"/>
            </w:pPr>
            <w:r>
              <w:rPr>
                <w:rFonts w:ascii="Old Standard TT" w:hAnsi="Old Standard TT"/>
              </w:rPr>
            </w:r>
            <w:r>
              <w:rPr>
                <w:rFonts w:ascii="Old Standard TT" w:hAnsi="Old Standard TT"/>
                <w:b w:val="0"/>
                <w:sz w:val="16"/>
              </w:rPr>
              <w:t>OpenAI (198/898 unsolved tasks)</w:t>
            </w:r>
          </w:p>
        </w:tc>
        <w:tc>
          <w:tcPr>
            <w:tcW w:type="dxa" w:w="2160"/>
          </w:tcPr>
          <w:p>
            <w:pPr>
              <w:spacing w:line="269" w:lineRule="auto" w:after="0" w:before="0"/>
            </w:pPr>
            <w:r>
              <w:rPr>
                <w:rFonts w:ascii="Old Standard TT" w:hAnsi="Old Standard TT"/>
              </w:rPr>
            </w:r>
            <w:r>
              <w:rPr>
                <w:rFonts w:ascii="Old Standard TT" w:hAnsi="Old Standard TT"/>
                <w:b w:val="0"/>
                <w:sz w:val="16"/>
              </w:rPr>
              <w:t>not covered (policy)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8 Transcript / monitor tampering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 defeats T3</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9 Goal adoption from peers</w:t>
            </w:r>
          </w:p>
        </w:tc>
        <w:tc>
          <w:tcPr>
            <w:tcW w:type="dxa" w:w="3456"/>
          </w:tcPr>
          <w:p>
            <w:pPr>
              <w:spacing w:line="269" w:lineRule="auto" w:after="0" w:before="0"/>
            </w:pPr>
            <w:r>
              <w:rPr>
                <w:rFonts w:ascii="Old Standard TT" w:hAnsi="Old Standard TT"/>
              </w:rPr>
            </w:r>
            <w:r>
              <w:rPr>
                <w:rFonts w:ascii="Old Standard TT" w:hAnsi="Old Standard TT"/>
                <w:b w:val="0"/>
                <w:sz w:val="16"/>
              </w:rPr>
              <w:t>OpenAI</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bl>
    <w:p>
      <w:pPr>
        <w:spacing w:line="312" w:lineRule="auto" w:before="140" w:after="200"/>
      </w:pPr>
      <w:r>
        <w:rPr>
          <w:rFonts w:ascii="Old Standard TT" w:hAnsi="Old Standard TT"/>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