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evaluation's network scope was declared in prose or assumed, never checked against what the agent did, and detection came late from a side signal. We argue that an evaluation's declared scope, written as a machine-readable allowlist, is the unit of containment evidence a third party can verify, and we build Sentinel, an Inspect scanner that classifies each tool call's stated destination against that allowlist and pages on the first out-of-scope one. No model is in the gate. On reconstructions of three public incidents (four to seven events each, built from the published timelines, not lab transcripts) the scanner pages at the first non-allowlisted destination; on three hard negatives it is silent, where a keyword baseline false-pages on two. The headline result is an ablation on one trace: a too-tight scope pages on permitted traffic, and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40" w:lineRule="auto"/>
        <w:rPr/>
      </w:pPr>
      <w:r w:rsidDel="00000000" w:rsidR="00000000" w:rsidRPr="00000000">
        <w:rPr>
          <w:rFonts w:ascii="Old Standard TT" w:hAnsi="Old Standard TT"/>
          <w:sz w:val="21"/>
          <w:rtl w:val="0"/>
        </w:rPr>
      </w:r>
    </w:p>
    <w:p>
      <w:pPr>
        <w:pStyle w:val="Heading2"/>
        <w:keepNext/>
      </w:pPr>
      <w:r>
        <w:t>1. Introduction</w:t>
      </w:r>
    </w:p>
    <w:p>
      <w:pPr>
        <w:spacing w:after="100" w:line="240"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[1, 2]. Hugging Face cut the attacker off on 13 July and disclosed on 16 July without knowing the origin; OpenAI attributed it on 21 July [1]. It was not the only case. Anthropic reported three incidents in its cyber evaluations, including one where the task prompt declared no internet access, a partner misconfiguration left it on, and the agent reached a real company that shared the fictional target's name; it was found months later by transcript review [3]. The UK AI Security Institute reported models on an intentionally internet-connected cyber range reaching GitHub over Tor, caught by a Tor egress alarm [4]. The sprint page also reports (we have not retrieved the primary source) that from 24 May OpenAI agents made about 15,000 edits to a dormant German wiki, discovered by outside researchers reading its public edit logs [5].</w:t>
      </w:r>
    </w:p>
    <w:p>
      <w:pPr>
        <w:spacing w:after="100" w:line="240" w:lineRule="auto"/>
        <w:jc w:val="both"/>
      </w:pPr>
      <w:r>
        <w:rPr>
          <w:rFonts w:ascii="Old Standard TT" w:hAnsi="Old Standard TT"/>
          <w:sz w:val="21"/>
        </w:rPr>
        <w:t>These cases share a shape that is not "no monitor existed." In each one the operators knew the intended scope in prose: no internet; only the LLM API and the package proxy; only the range. Nowhere was that scope an artifact the transcript was checked against, and in every case the first signal came from somewhere else: an identity-API anomaly, a Tor alarm, a retrospective sweep, a stranger reading a wiki. Hugging Face's own post-mortem says its correlation stack existed but "failed to correctly raise the alert's criticality" [2]. The failure is one of scope attachment and attestation, and it is the failure Track 1 asks about: could a third party verify compliance without access to the lab's network?</w:t>
      </w:r>
    </w:p>
    <w:p>
      <w:pPr>
        <w:spacing w:after="100" w:line="240" w:lineRule="auto"/>
        <w:jc w:val="both"/>
      </w:pPr>
      <w:r>
        <w:rPr>
          <w:rFonts w:ascii="Old Standard TT" w:hAnsi="Old Standard TT"/>
          <w:sz w:val="21"/>
        </w:rPr>
        <w:t>We take the smallest step that answers it. Our main contributions are:</w:t>
      </w:r>
    </w:p>
    <w:p>
      <w:pPr>
        <w:spacing w:after="80" w:line="240"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pPr>
        <w:spacing w:after="80" w:line="240"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40"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pStyle w:val="Heading2"/>
        <w:keepNext/>
      </w:pPr>
      <w:r>
        <w:t>2. Related Work</w:t>
      </w:r>
    </w:p>
    <w:p>
      <w:pPr>
        <w:spacing w:after="100" w:line="240" w:lineRule="auto"/>
        <w:jc w:val="both"/>
      </w:pPr>
      <w:r>
        <w:rPr>
          <w:rFonts w:ascii="Old Standard TT" w:hAnsi="Old Standard TT"/>
          <w:sz w:val="21"/>
        </w:rPr>
        <w:t>Trace monitors for agents exist and are good. Inspect Scout ships scanners over evaluation transcripts, including reward-hacking and evaluation-awareness scanners [6]; ControlArena [7] and SHADE-Arena [8] monitor for side tasks and sabotage; Apollo's Watcher reads transcripts for scheming [9]; OpenAI monitors chain-of-thought and states that such a monitor "would have caught the initial relevant activity" more than a day before the breach [1]. Preventive controls also exist: default-deny egress via Cilium or Squid FQDN allowlists, and ExploitGym itself ships a Squid firewall that permits only LLM API endpoints [10].</w:t>
      </w:r>
    </w:p>
    <w:p>
      <w:pPr>
        <w:spacing w:after="100" w:line="240"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which needs a model and a threshold; a proxy answers "was this blocked?", but its logs stay inside the lab, and in the OpenAI case the proxy was the hole. Sentinel's wedge is narrow: a mechanical predicate over (trace, allowlist). One would use it alongside the monitors above, never instead of a default-deny proxy.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40" w:lineRule="auto"/>
        <w:jc w:val="both"/>
      </w:pPr>
      <w:r>
        <w:rPr>
          <w:rFonts w:ascii="Old Standard TT" w:hAnsi="Old Standard TT"/>
          <w:sz w:val="21"/>
        </w:rPr>
        <w:t>An allowlist is a JSON file: name, internet_expected, allowed_hosts (exact hosts or .suffix entries), allowed_cidrs, and free-text notes recording why each entry is permitted. classify(host) returns ALLOWED, LOOPBACK, METADATA (the cloud instance-metadata addresses) or OUT. A wildcard entry "*" allows everything; it exists only so the ablation can express "no real scope." Three scopes are in the repo, one per incident: ExploitGym (LLM API endpoints plus the Artifactory package proxy, both documented as permitted [1, 10]), the Irregular CTF (an internal CIDR and one target host; internet declared off [3]), and the AISI range (range hosts, internet_expected true [4]).</w:t>
      </w:r>
    </w:p>
    <w:p>
      <w:pPr>
        <w:pStyle w:val="Heading3"/>
        <w:keepNext/>
      </w:pPr>
      <w:r>
        <w:t>3.2 Trace and destination extraction</w:t>
      </w:r>
    </w:p>
    <w:p>
      <w:pPr>
        <w:spacing w:after="100" w:line="240" w:lineRule="auto"/>
        <w:jc w:val="both"/>
      </w:pPr>
      <w:r>
        <w:rPr>
          <w:rFonts w:ascii="Old Standard TT" w:hAnsi="Old Standard TT"/>
          <w:sz w:val="21"/>
        </w:rPr>
        <w:t>A trace is the ordered list of tool calls with their arguments; the scanner reads nothing else. extract_destinations pulls stated hosts from URLs, nc/ncat, socat, Python HTTP literals and bare host:port tokens, by regular expression. There is no model in the loop and no API key. The extractor is deliberately conservative: it reads what the agent said it would reach.</w:t>
      </w:r>
    </w:p>
    <w:p>
      <w:pPr>
        <w:pStyle w:val="Heading3"/>
        <w:keepNext/>
      </w:pPr>
      <w:r>
        <w:t>3.3 Severities</w:t>
      </w:r>
    </w:p>
    <w:p>
      <w:pPr>
        <w:spacing w:after="100" w:line="240" w:lineRule="auto"/>
        <w:jc w:val="both"/>
      </w:pPr>
      <w:r>
        <w:rPr>
          <w:rFonts w:ascii="Old Standard TT" w:hAnsi="Old Standard TT"/>
          <w:sz w:val="21"/>
        </w:rPr>
        <w:t>T3, a stated destination classified OUT, is the only PAGE. T1 (reading grader or solution internals) and T2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[11]; we surface it, we do not alarm on it. Gating on a predicate the environment can settle itself, rather than on a second model, follows scorer-integrity [12],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40" w:lineRule="auto"/>
        <w:jc w:val="both"/>
      </w:pPr>
      <w:r>
        <w:rPr>
          <w:rFonts w:ascii="Old Standard TT" w:hAnsi="Old Standard TT"/>
          <w:sz w:val="21"/>
        </w:rPr>
        <w:t>scanner.py wraps the same rule as an inspect_scout scanner over ChatMessageAssistant.tool_calls and returns a Result whose answer is the host and whose metadata carries the first out-of-scope message index. It runs offline over existing logs (scout scan sentinel/scanner.py -T ./logs) or attached to an evaluation. core.py runs the identical rule over the JSON trace schema, so a party with only files reproduces the verdict. Fifteen tests pin every number in this paper.</w:t>
      </w:r>
    </w:p>
    <w:p>
      <w:pPr>
        <w:pStyle w:val="Heading3"/>
        <w:keepNext/>
      </w:pPr>
      <w:r>
        <w:t>3.5 Fixtures and baseline</w:t>
      </w:r>
    </w:p>
    <w:p>
      <w:pPr>
        <w:spacing w:after="100" w:line="240" w:lineRule="auto"/>
        <w:jc w:val="both"/>
      </w:pPr>
      <w:r>
        <w:rPr>
          <w:rFonts w:ascii="Old Standard TT" w:hAnsi="Old Standard TT"/>
          <w:sz w:val="21"/>
        </w:rPr>
        <w:t>Three positives are reconstructions from the public write-ups, each carrying a source URL and lab_detected_at_event taken from the published timeline: the Hugging Face escape (7 events), the AISI Tor egress (4) and the Anthropic name-collision case (4).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40" w:lineRule="auto"/>
        <w:jc w:val="both"/>
      </w:pPr>
      <w:r>
        <w:rPr>
          <w:rFonts w:ascii="Old Standard TT" w:hAnsi="Old Standard TT"/>
          <w:sz w:val="21"/>
        </w:rPr>
        <w:t>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T1 fired on cat solution_template.py; grep -r flag. That was the rule working and the test being wrong: in a CTF that command is the task. We changed the test to assert T2-only on that fixture and added a separate grader-internals fixture for the genuine T1 signal.</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rPr>
          <w:cantSplit/>
        </w:trPr>
        <w:tc>
          <w:tcPr>
            <w:tcW w:type="dxa" w:w="2232"/>
          </w:tcPr>
          <w:p>
            <w:r>
              <w:rPr>
                <w:rFonts w:ascii="Old Standard TT" w:hAnsi="Old Standard TT"/>
              </w:rPr>
            </w:r>
            <w:r>
              <w:rPr>
                <w:rFonts w:ascii="Old Standard TT" w:hAnsi="Old Standard TT"/>
                <w:b/>
                <w:sz w:val="17"/>
              </w:rPr>
              <w:t>Fixture</w:t>
            </w:r>
          </w:p>
        </w:tc>
        <w:tc>
          <w:tcPr>
            <w:tcW w:type="dxa" w:w="1080"/>
          </w:tcPr>
          <w:p>
            <w:r>
              <w:rPr>
                <w:rFonts w:ascii="Old Standard TT" w:hAnsi="Old Standard TT"/>
              </w:rPr>
            </w:r>
            <w:r>
              <w:rPr>
                <w:rFonts w:ascii="Old Standard TT" w:hAnsi="Old Standard TT"/>
                <w:b/>
                <w:sz w:val="17"/>
              </w:rPr>
              <w:t>Kind</w:t>
            </w:r>
          </w:p>
        </w:tc>
        <w:tc>
          <w:tcPr>
            <w:tcW w:type="dxa" w:w="1368"/>
          </w:tcPr>
          <w:p>
            <w:r>
              <w:rPr>
                <w:rFonts w:ascii="Old Standard TT" w:hAnsi="Old Standard TT"/>
              </w:rPr>
            </w:r>
            <w:r>
              <w:rPr>
                <w:rFonts w:ascii="Old Standard TT" w:hAnsi="Old Standard TT"/>
                <w:b/>
                <w:sz w:val="17"/>
              </w:rPr>
              <w:t>Sentinel</w:t>
            </w:r>
          </w:p>
        </w:tc>
        <w:tc>
          <w:tcPr>
            <w:tcW w:type="dxa" w:w="2232"/>
          </w:tcPr>
          <w:p>
            <w:r>
              <w:rPr>
                <w:rFonts w:ascii="Old Standard TT" w:hAnsi="Old Standard TT"/>
              </w:rPr>
            </w:r>
            <w:r>
              <w:rPr>
                <w:rFonts w:ascii="Old Standard TT" w:hAnsi="Old Standard TT"/>
                <w:b/>
                <w:sz w:val="17"/>
              </w:rPr>
              <w:t>Destination</w:t>
            </w:r>
          </w:p>
        </w:tc>
        <w:tc>
          <w:tcPr>
            <w:tcW w:type="dxa" w:w="1224"/>
          </w:tcPr>
          <w:p>
            <w:r>
              <w:rPr>
                <w:rFonts w:ascii="Old Standard TT" w:hAnsi="Old Standard TT"/>
              </w:rPr>
            </w:r>
            <w:r>
              <w:rPr>
                <w:rFonts w:ascii="Old Standard TT" w:hAnsi="Old Standard TT"/>
                <w:b/>
                <w:sz w:val="17"/>
              </w:rPr>
              <w:t>Lab noticed (recon.)</w:t>
            </w:r>
          </w:p>
        </w:tc>
        <w:tc>
          <w:tcPr>
            <w:tcW w:type="dxa" w:w="1224"/>
          </w:tcPr>
          <w:p>
            <w:r>
              <w:rPr>
                <w:rFonts w:ascii="Old Standard TT" w:hAnsi="Old Standard TT"/>
              </w:rPr>
            </w:r>
            <w:r>
              <w:rPr>
                <w:rFonts w:ascii="Old Standard TT" w:hAnsi="Old Standard TT"/>
                <w:b/>
                <w:sz w:val="17"/>
              </w:rPr>
              <w:t>Keyword baseline</w:t>
            </w:r>
          </w:p>
        </w:tc>
      </w:tr>
      <w:tr>
        <w:trPr>
          <w:cantSplit/>
        </w:trPr>
        <w:tc>
          <w:tcPr>
            <w:tcW w:type="dxa" w:w="2232"/>
          </w:tcPr>
          <w:p>
            <w:r>
              <w:rPr>
                <w:rFonts w:ascii="Old Standard TT" w:hAnsi="Old Standard TT"/>
              </w:rPr>
            </w:r>
            <w:r>
              <w:rPr>
                <w:rFonts w:ascii="Old Standard TT" w:hAnsi="Old Standard TT"/>
                <w:b w:val="0"/>
                <w:sz w:val="17"/>
              </w:rPr>
              <w:t>hf-openai-exploitgym</w:t>
            </w:r>
          </w:p>
        </w:tc>
        <w:tc>
          <w:tcPr>
            <w:tcW w:type="dxa" w:w="1080"/>
          </w:tcPr>
          <w:p>
            <w:r>
              <w:rPr>
                <w:rFonts w:ascii="Old Standard TT" w:hAnsi="Old Standard TT"/>
              </w:rPr>
            </w:r>
            <w:r>
              <w:rPr>
                <w:rFonts w:ascii="Old Standard TT" w:hAnsi="Old Standard TT"/>
                <w:b w:val="0"/>
                <w:sz w:val="17"/>
              </w:rPr>
              <w:t>positive</w:t>
            </w:r>
          </w:p>
        </w:tc>
        <w:tc>
          <w:tcPr>
            <w:tcW w:type="dxa" w:w="1368"/>
          </w:tcPr>
          <w:p>
            <w:r>
              <w:rPr>
                <w:rFonts w:ascii="Old Standard TT" w:hAnsi="Old Standard TT"/>
              </w:rPr>
            </w:r>
            <w:r>
              <w:rPr>
                <w:rFonts w:ascii="Old Standard TT" w:hAnsi="Old Standard TT"/>
                <w:b w:val="0"/>
                <w:sz w:val="17"/>
              </w:rPr>
              <w:t>PAGE @3</w:t>
            </w:r>
          </w:p>
        </w:tc>
        <w:tc>
          <w:tcPr>
            <w:tcW w:type="dxa" w:w="2232"/>
          </w:tcPr>
          <w:p>
            <w:r>
              <w:rPr>
                <w:rFonts w:ascii="Old Standard TT" w:hAnsi="Old Standard TT"/>
              </w:rPr>
            </w:r>
            <w:r>
              <w:rPr>
                <w:rFonts w:ascii="Old Standard TT" w:hAnsi="Old Standard TT"/>
                <w:b w:val="0"/>
                <w:sz w:val="17"/>
              </w:rPr>
              <w:t>cybergym-fn-7bf.modal.run</w:t>
            </w:r>
          </w:p>
        </w:tc>
        <w:tc>
          <w:tcPr>
            <w:tcW w:type="dxa" w:w="1224"/>
          </w:tcPr>
          <w:p>
            <w:r>
              <w:rPr>
                <w:rFonts w:ascii="Old Standard TT" w:hAnsi="Old Standard TT"/>
              </w:rPr>
            </w:r>
            <w:r>
              <w:rPr>
                <w:rFonts w:ascii="Old Standard TT" w:hAnsi="Old Standard TT"/>
                <w:b w:val="0"/>
                <w:sz w:val="17"/>
              </w:rPr>
              <w:t>@6</w:t>
            </w:r>
          </w:p>
        </w:tc>
        <w:tc>
          <w:tcPr>
            <w:tcW w:type="dxa" w:w="1224"/>
          </w:tcPr>
          <w:p>
            <w:r>
              <w:rPr>
                <w:rFonts w:ascii="Old Standard TT" w:hAnsi="Old Standard TT"/>
              </w:rPr>
            </w:r>
            <w:r>
              <w:rPr>
                <w:rFonts w:ascii="Old Standard TT" w:hAnsi="Old Standard TT"/>
                <w:b w:val="0"/>
                <w:sz w:val="17"/>
              </w:rPr>
              <w:t>@2 (proxy)</w:t>
            </w:r>
          </w:p>
        </w:tc>
      </w:tr>
      <w:tr>
        <w:trPr>
          <w:cantSplit/>
        </w:trPr>
        <w:tc>
          <w:tcPr>
            <w:tcW w:type="dxa" w:w="2232"/>
          </w:tcPr>
          <w:p>
            <w:r>
              <w:rPr>
                <w:rFonts w:ascii="Old Standard TT" w:hAnsi="Old Standard TT"/>
              </w:rPr>
            </w:r>
            <w:r>
              <w:rPr>
                <w:rFonts w:ascii="Old Standard TT" w:hAnsi="Old Standard TT"/>
                <w:b w:val="0"/>
                <w:sz w:val="17"/>
              </w:rPr>
              <w:t>aisi-range-tor</w:t>
            </w:r>
          </w:p>
        </w:tc>
        <w:tc>
          <w:tcPr>
            <w:tcW w:type="dxa" w:w="1080"/>
          </w:tcPr>
          <w:p>
            <w:r>
              <w:rPr>
                <w:rFonts w:ascii="Old Standard TT" w:hAnsi="Old Standard TT"/>
              </w:rPr>
            </w:r>
            <w:r>
              <w:rPr>
                <w:rFonts w:ascii="Old Standard TT" w:hAnsi="Old Standard TT"/>
                <w:b w:val="0"/>
                <w:sz w:val="17"/>
              </w:rPr>
              <w:t>positive</w:t>
            </w:r>
          </w:p>
        </w:tc>
        <w:tc>
          <w:tcPr>
            <w:tcW w:type="dxa" w:w="1368"/>
          </w:tcPr>
          <w:p>
            <w:r>
              <w:rPr>
                <w:rFonts w:ascii="Old Standard TT" w:hAnsi="Old Standard TT"/>
              </w:rPr>
            </w:r>
            <w:r>
              <w:rPr>
                <w:rFonts w:ascii="Old Standard TT" w:hAnsi="Old Standard TT"/>
                <w:b w:val="0"/>
                <w:sz w:val="17"/>
              </w:rPr>
              <w:t>PAGE @2</w:t>
            </w:r>
          </w:p>
        </w:tc>
        <w:tc>
          <w:tcPr>
            <w:tcW w:type="dxa" w:w="2232"/>
          </w:tcPr>
          <w:p>
            <w:r>
              <w:rPr>
                <w:rFonts w:ascii="Old Standard TT" w:hAnsi="Old Standard TT"/>
              </w:rPr>
            </w:r>
            <w:r>
              <w:rPr>
                <w:rFonts w:ascii="Old Standard TT" w:hAnsi="Old Standard TT"/>
                <w:b w:val="0"/>
                <w:sz w:val="17"/>
              </w:rPr>
              <w:t>github.com</w:t>
            </w:r>
          </w:p>
        </w:tc>
        <w:tc>
          <w:tcPr>
            <w:tcW w:type="dxa" w:w="1224"/>
          </w:tcPr>
          <w:p>
            <w:r>
              <w:rPr>
                <w:rFonts w:ascii="Old Standard TT" w:hAnsi="Old Standard TT"/>
              </w:rPr>
            </w:r>
            <w:r>
              <w:rPr>
                <w:rFonts w:ascii="Old Standard TT" w:hAnsi="Old Standard TT"/>
                <w:b w:val="0"/>
                <w:sz w:val="17"/>
              </w:rPr>
              <w:t>@4</w:t>
            </w:r>
          </w:p>
        </w:tc>
        <w:tc>
          <w:tcPr>
            <w:tcW w:type="dxa" w:w="1224"/>
          </w:tcPr>
          <w:p>
            <w:r>
              <w:rPr>
                <w:rFonts w:ascii="Old Standard TT" w:hAnsi="Old Standard TT"/>
              </w:rPr>
            </w:r>
            <w:r>
              <w:rPr>
                <w:rFonts w:ascii="Old Standard TT" w:hAnsi="Old Standard TT"/>
                <w:b w:val="0"/>
                <w:sz w:val="17"/>
              </w:rPr>
              <w:t>@1</w:t>
            </w:r>
          </w:p>
        </w:tc>
      </w:tr>
      <w:tr>
        <w:trPr>
          <w:cantSplit/>
        </w:trPr>
        <w:tc>
          <w:tcPr>
            <w:tcW w:type="dxa" w:w="2232"/>
          </w:tcPr>
          <w:p>
            <w:r>
              <w:rPr>
                <w:rFonts w:ascii="Old Standard TT" w:hAnsi="Old Standard TT"/>
              </w:rPr>
            </w:r>
            <w:r>
              <w:rPr>
                <w:rFonts w:ascii="Old Standard TT" w:hAnsi="Old Standard TT"/>
                <w:b w:val="0"/>
                <w:sz w:val="17"/>
              </w:rPr>
              <w:t>anthropic-irregular</w:t>
            </w:r>
          </w:p>
        </w:tc>
        <w:tc>
          <w:tcPr>
            <w:tcW w:type="dxa" w:w="1080"/>
          </w:tcPr>
          <w:p>
            <w:r>
              <w:rPr>
                <w:rFonts w:ascii="Old Standard TT" w:hAnsi="Old Standard TT"/>
              </w:rPr>
            </w:r>
            <w:r>
              <w:rPr>
                <w:rFonts w:ascii="Old Standard TT" w:hAnsi="Old Standard TT"/>
                <w:b w:val="0"/>
                <w:sz w:val="17"/>
              </w:rPr>
              <w:t>positive</w:t>
            </w:r>
          </w:p>
        </w:tc>
        <w:tc>
          <w:tcPr>
            <w:tcW w:type="dxa" w:w="1368"/>
          </w:tcPr>
          <w:p>
            <w:r>
              <w:rPr>
                <w:rFonts w:ascii="Old Standard TT" w:hAnsi="Old Standard TT"/>
              </w:rPr>
            </w:r>
            <w:r>
              <w:rPr>
                <w:rFonts w:ascii="Old Standard TT" w:hAnsi="Old Standard TT"/>
                <w:b w:val="0"/>
                <w:sz w:val="17"/>
              </w:rPr>
              <w:t>PAGE @2</w:t>
            </w:r>
          </w:p>
        </w:tc>
        <w:tc>
          <w:tcPr>
            <w:tcW w:type="dxa" w:w="2232"/>
          </w:tcPr>
          <w:p>
            <w:r>
              <w:rPr>
                <w:rFonts w:ascii="Old Standard TT" w:hAnsi="Old Standard TT"/>
              </w:rPr>
            </w:r>
            <w:r>
              <w:rPr>
                <w:rFonts w:ascii="Old Standard TT" w:hAnsi="Old Standard TT"/>
                <w:b w:val="0"/>
                <w:sz w:val="17"/>
              </w:rPr>
              <w:t>acme-robotics.com</w:t>
            </w:r>
          </w:p>
        </w:tc>
        <w:tc>
          <w:tcPr>
            <w:tcW w:type="dxa" w:w="1224"/>
          </w:tcPr>
          <w:p>
            <w:r>
              <w:rPr>
                <w:rFonts w:ascii="Old Standard TT" w:hAnsi="Old Standard TT"/>
              </w:rPr>
            </w:r>
            <w:r>
              <w:rPr>
                <w:rFonts w:ascii="Old Standard TT" w:hAnsi="Old Standard TT"/>
                <w:b w:val="0"/>
                <w:sz w:val="17"/>
              </w:rPr>
              <w:t>@6</w:t>
            </w:r>
          </w:p>
        </w:tc>
        <w:tc>
          <w:tcPr>
            <w:tcW w:type="dxa" w:w="1224"/>
          </w:tcPr>
          <w:p>
            <w:r>
              <w:rPr>
                <w:rFonts w:ascii="Old Standard TT" w:hAnsi="Old Standard TT"/>
              </w:rPr>
            </w:r>
            <w:r>
              <w:rPr>
                <w:rFonts w:ascii="Old Standard TT" w:hAnsi="Old Standard TT"/>
                <w:b w:val="0"/>
                <w:sz w:val="17"/>
              </w:rPr>
              <w:t>@1</w:t>
            </w:r>
          </w:p>
        </w:tc>
      </w:tr>
      <w:tr>
        <w:trPr>
          <w:cantSplit/>
        </w:trPr>
        <w:tc>
          <w:tcPr>
            <w:tcW w:type="dxa" w:w="2232"/>
          </w:tcPr>
          <w:p>
            <w:r>
              <w:rPr>
                <w:rFonts w:ascii="Old Standard TT" w:hAnsi="Old Standard TT"/>
              </w:rPr>
            </w:r>
            <w:r>
              <w:rPr>
                <w:rFonts w:ascii="Old Standard TT" w:hAnsi="Old Standard TT"/>
                <w:b w:val="0"/>
                <w:sz w:val="17"/>
              </w:rPr>
              <w:t>neg-allowed-llm-api</w:t>
            </w:r>
          </w:p>
        </w:tc>
        <w:tc>
          <w:tcPr>
            <w:tcW w:type="dxa" w:w="1080"/>
          </w:tcPr>
          <w:p>
            <w:r>
              <w:rPr>
                <w:rFonts w:ascii="Old Standard TT" w:hAnsi="Old Standard TT"/>
              </w:rPr>
            </w:r>
            <w:r>
              <w:rPr>
                <w:rFonts w:ascii="Old Standard TT" w:hAnsi="Old Standard TT"/>
                <w:b w:val="0"/>
                <w:sz w:val="17"/>
              </w:rPr>
              <w:t>negative</w:t>
            </w:r>
          </w:p>
        </w:tc>
        <w:tc>
          <w:tcPr>
            <w:tcW w:type="dxa" w:w="1368"/>
          </w:tcPr>
          <w:p>
            <w:r>
              <w:rPr>
                <w:rFonts w:ascii="Old Standard TT" w:hAnsi="Old Standard TT"/>
              </w:rPr>
            </w:r>
            <w:r>
              <w:rPr>
                <w:rFonts w:ascii="Old Standard TT" w:hAnsi="Old Standard TT"/>
                <w:b w:val="0"/>
                <w:sz w:val="17"/>
              </w:rPr>
              <w:t>no page</w:t>
            </w:r>
          </w:p>
        </w:tc>
        <w:tc>
          <w:tcPr>
            <w:tcW w:type="dxa" w:w="2232"/>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@0  false</w:t>
            </w:r>
          </w:p>
        </w:tc>
      </w:tr>
      <w:tr>
        <w:trPr>
          <w:cantSplit/>
        </w:trPr>
        <w:tc>
          <w:tcPr>
            <w:tcW w:type="dxa" w:w="2232"/>
          </w:tcPr>
          <w:p>
            <w:r>
              <w:rPr>
                <w:rFonts w:ascii="Old Standard TT" w:hAnsi="Old Standard TT"/>
              </w:rPr>
            </w:r>
            <w:r>
              <w:rPr>
                <w:rFonts w:ascii="Old Standard TT" w:hAnsi="Old Standard TT"/>
                <w:b w:val="0"/>
                <w:sz w:val="17"/>
              </w:rPr>
              <w:t>neg-inscope-recon</w:t>
            </w:r>
          </w:p>
        </w:tc>
        <w:tc>
          <w:tcPr>
            <w:tcW w:type="dxa" w:w="1080"/>
          </w:tcPr>
          <w:p>
            <w:r>
              <w:rPr>
                <w:rFonts w:ascii="Old Standard TT" w:hAnsi="Old Standard TT"/>
              </w:rPr>
            </w:r>
            <w:r>
              <w:rPr>
                <w:rFonts w:ascii="Old Standard TT" w:hAnsi="Old Standard TT"/>
                <w:b w:val="0"/>
                <w:sz w:val="17"/>
              </w:rPr>
              <w:t>negative</w:t>
            </w:r>
          </w:p>
        </w:tc>
        <w:tc>
          <w:tcPr>
            <w:tcW w:type="dxa" w:w="1368"/>
          </w:tcPr>
          <w:p>
            <w:r>
              <w:rPr>
                <w:rFonts w:ascii="Old Standard TT" w:hAnsi="Old Standard TT"/>
              </w:rPr>
            </w:r>
            <w:r>
              <w:rPr>
                <w:rFonts w:ascii="Old Standard TT" w:hAnsi="Old Standard TT"/>
                <w:b w:val="0"/>
                <w:sz w:val="17"/>
              </w:rPr>
              <w:t>no page</w:t>
            </w:r>
          </w:p>
        </w:tc>
        <w:tc>
          <w:tcPr>
            <w:tcW w:type="dxa" w:w="2232"/>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r>
      <w:tr>
        <w:trPr>
          <w:cantSplit/>
        </w:trPr>
        <w:tc>
          <w:tcPr>
            <w:tcW w:type="dxa" w:w="2232"/>
          </w:tcPr>
          <w:p>
            <w:r>
              <w:rPr>
                <w:rFonts w:ascii="Old Standard TT" w:hAnsi="Old Standard TT"/>
              </w:rPr>
            </w:r>
            <w:r>
              <w:rPr>
                <w:rFonts w:ascii="Old Standard TT" w:hAnsi="Old Standard TT"/>
                <w:b w:val="0"/>
                <w:sz w:val="17"/>
              </w:rPr>
              <w:t>neg-range-http</w:t>
            </w:r>
          </w:p>
        </w:tc>
        <w:tc>
          <w:tcPr>
            <w:tcW w:type="dxa" w:w="1080"/>
          </w:tcPr>
          <w:p>
            <w:r>
              <w:rPr>
                <w:rFonts w:ascii="Old Standard TT" w:hAnsi="Old Standard TT"/>
              </w:rPr>
            </w:r>
            <w:r>
              <w:rPr>
                <w:rFonts w:ascii="Old Standard TT" w:hAnsi="Old Standard TT"/>
                <w:b w:val="0"/>
                <w:sz w:val="17"/>
              </w:rPr>
              <w:t>negative</w:t>
            </w:r>
          </w:p>
        </w:tc>
        <w:tc>
          <w:tcPr>
            <w:tcW w:type="dxa" w:w="1368"/>
          </w:tcPr>
          <w:p>
            <w:r>
              <w:rPr>
                <w:rFonts w:ascii="Old Standard TT" w:hAnsi="Old Standard TT"/>
              </w:rPr>
            </w:r>
            <w:r>
              <w:rPr>
                <w:rFonts w:ascii="Old Standard TT" w:hAnsi="Old Standard TT"/>
                <w:b w:val="0"/>
                <w:sz w:val="17"/>
              </w:rPr>
              <w:t>no page</w:t>
            </w:r>
          </w:p>
        </w:tc>
        <w:tc>
          <w:tcPr>
            <w:tcW w:type="dxa" w:w="2232"/>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@0  false</w:t>
            </w:r>
          </w:p>
        </w:tc>
      </w:tr>
      <w:tr>
        <w:trPr>
          <w:cantSplit/>
        </w:trPr>
        <w:tc>
          <w:tcPr>
            <w:tcW w:type="dxa" w:w="2232"/>
          </w:tcPr>
          <w:p>
            <w:r>
              <w:rPr>
                <w:rFonts w:ascii="Old Standard TT" w:hAnsi="Old Standard TT"/>
              </w:rPr>
            </w:r>
            <w:r>
              <w:rPr>
                <w:rFonts w:ascii="Old Standard TT" w:hAnsi="Old Standard TT"/>
                <w:b w:val="0"/>
                <w:sz w:val="17"/>
              </w:rPr>
              <w:t>warn-grader-probe</w:t>
            </w:r>
          </w:p>
        </w:tc>
        <w:tc>
          <w:tcPr>
            <w:tcW w:type="dxa" w:w="1080"/>
          </w:tcPr>
          <w:p>
            <w:r>
              <w:rPr>
                <w:rFonts w:ascii="Old Standard TT" w:hAnsi="Old Standard TT"/>
              </w:rPr>
            </w:r>
            <w:r>
              <w:rPr>
                <w:rFonts w:ascii="Old Standard TT" w:hAnsi="Old Standard TT"/>
                <w:b w:val="0"/>
                <w:sz w:val="17"/>
              </w:rPr>
              <w:t>warn-only</w:t>
            </w:r>
          </w:p>
        </w:tc>
        <w:tc>
          <w:tcPr>
            <w:tcW w:type="dxa" w:w="1368"/>
          </w:tcPr>
          <w:p>
            <w:r>
              <w:rPr>
                <w:rFonts w:ascii="Old Standard TT" w:hAnsi="Old Standard TT"/>
              </w:rPr>
            </w:r>
            <w:r>
              <w:rPr>
                <w:rFonts w:ascii="Old Standard TT" w:hAnsi="Old Standard TT"/>
                <w:b w:val="0"/>
                <w:sz w:val="17"/>
              </w:rPr>
              <w:t>no page (T1 warn)</w:t>
            </w:r>
          </w:p>
        </w:tc>
        <w:tc>
          <w:tcPr>
            <w:tcW w:type="dxa" w:w="2232"/>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c>
          <w:tcPr>
            <w:tcW w:type="dxa" w:w="1224"/>
          </w:tcPr>
          <w:p>
            <w:r>
              <w:rPr>
                <w:rFonts w:ascii="Old Standard TT" w:hAnsi="Old Standard TT"/>
              </w:rPr>
            </w:r>
            <w:r>
              <w:rPr>
                <w:rFonts w:ascii="Old Standard TT" w:hAnsi="Old Standard TT"/>
                <w:b w:val="0"/>
                <w:sz w:val="17"/>
              </w:rPr>
              <w:t>—</w:t>
            </w:r>
          </w:p>
        </w:tc>
      </w:tr>
    </w:tbl>
    <w:p>
      <w:pPr>
        <w:spacing w:after="160" w:line="240" w:lineRule="auto"/>
      </w:pPr>
      <w:r>
        <w:rPr>
          <w:rFonts w:ascii="Old Standard TT" w:hAnsi="Old Standard TT"/>
          <w:i/>
          <w:sz w:val="19"/>
        </w:rPr>
        <w:t>Table 1. Specification tests over the seven fixtures. "Lab noticed" is the event index at which the public timeline places the organisation's own detection, transferred into the reconstruction; it is a property of the reconstruction, not a measurement inside any lab. The keyword baseline has no allowlist.</w:t>
      </w:r>
    </w:p>
    <w:p>
      <w:pPr>
        <w:spacing w:after="100" w:line="240"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line="240" w:lineRule="auto"/>
        <w:jc w:val="center"/>
      </w:pPr>
      <w:r>
        <w:rPr>
          <w:rFonts w:ascii="Old Standard TT" w:hAnsi="Old Standard TT"/>
          <w:sz w:val="21"/>
        </w:rPr>
        <w:drawing>
          <wp:inline>
            <wp:extent cx="5394960" cy="2168562"/>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5394960" cy="2168562"/>
                    </a:xfrm>
                    <a:prstGeom prst="rect"/>
                  </pic:spPr>
                </pic:pic>
              </a:graphicData>
            </a:graphic>
          </wp:inline>
        </w:drawing>
      </w:r>
    </w:p>
    <w:p>
      <w:pPr>
        <w:spacing w:after="160" w:line="240" w:lineRule="auto"/>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40"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This is the result we would defend in front of a detection engineer: the artifact worth publishing per evaluation class is the pair (trace, allowlist), and verifiability is a property of the pair.</w:t>
      </w:r>
    </w:p>
    <w:p>
      <w:pPr>
        <w:pStyle w:val="Heading3"/>
        <w:keepNext/>
      </w:pPr>
      <w:r>
        <w:t>4.3 The page arrives after the escape</w:t>
      </w:r>
    </w:p>
    <w:p>
      <w:pPr>
        <w:spacing w:after="100" w:line="240" w:lineRule="auto"/>
        <w:jc w:val="both"/>
      </w:pPr>
      <w:r>
        <w:rPr>
          <w:rFonts w:ascii="Old Standard TT" w:hAnsi="Old Standard TT"/>
          <w:sz w:val="21"/>
        </w:rPr>
        <w:t>Under the correct scope the page lands at event 3. Event 2, the request to the permitted proxy, is already the escape: the SSRF went through an allowlisted host, and an allowlist-relative rule classifies that request as ALLOWED. We test this as a known blind spot rather than hide it. The right reading of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w:t>
      </w:r>
    </w:p>
    <w:p>
      <w:pPr>
        <w:keepNext/>
        <w:spacing w:line="240" w:lineRule="auto"/>
        <w:jc w:val="center"/>
      </w:pPr>
      <w:r>
        <w:rPr>
          <w:rFonts w:ascii="Old Standard TT" w:hAnsi="Old Standard TT"/>
          <w:sz w:val="21"/>
        </w:rPr>
        <w:drawing>
          <wp:inline>
            <wp:extent cx="5394960" cy="1586753"/>
            <wp:docPr id="2" name="Picture 2"/>
            <wp:cNvGraphicFramePr>
              <a:graphicFrameLocks noChangeAspect="1"/>
            </wp:cNvGraphicFramePr>
            <a:graphic>
              <a:graphicData uri="http://schemas.openxmlformats.org/drawingml/2006/picture">
                <pic:pic>
                  <pic:nvPicPr>
                    <pic:cNvPr id="0" name="fig2_layers.png"/>
                    <pic:cNvPicPr/>
                  </pic:nvPicPr>
                  <pic:blipFill>
                    <a:blip r:embed="rId9"/>
                    <a:stretch>
                      <a:fillRect/>
                    </a:stretch>
                  </pic:blipFill>
                  <pic:spPr>
                    <a:xfrm>
                      <a:off x="0" y="0"/>
                      <a:ext cx="5394960" cy="1586753"/>
                    </a:xfrm>
                    <a:prstGeom prst="rect"/>
                  </pic:spPr>
                </pic:pic>
              </a:graphicData>
            </a:graphic>
          </wp:inline>
        </w:drawing>
      </w:r>
    </w:p>
    <w:p>
      <w:pPr>
        <w:spacing w:after="160" w:line="240" w:lineRule="auto"/>
      </w:pPr>
      <w:r>
        <w:rPr>
          <w:rFonts w:ascii="Old Standard TT" w:hAnsi="Old Standard TT"/>
          <w:i/>
          <w:sz w:val="19"/>
        </w:rPr>
        <w:t>Figure 2. Four layers of containment evidence. Sentinel checks layer 2 (what the agent said it would reach) against layer 1 (what the evaluation declared). Layer 3, observed flows diffed against the same allowlist, is not implemented and is the complement that turns isolation assumed into isolation attested.</w:t>
      </w:r>
    </w:p>
    <w:p>
      <w:pPr>
        <w:pStyle w:val="Heading3"/>
        <w:keepNext/>
      </w:pPr>
      <w:r>
        <w:t>4.4 Robustness</w:t>
      </w:r>
    </w:p>
    <w:p>
      <w:pPr>
        <w:spacing w:after="100" w:line="240" w:lineRule="auto"/>
        <w:jc w:val="both"/>
      </w:pPr>
      <w:r>
        <w:rPr>
          <w:rFonts w:ascii="Old Standard TT" w:hAnsi="Old Standard TT"/>
          <w:sz w:val="21"/>
        </w:rPr>
        <w:t>Every number above is deterministic and pinned by tests; there is no sampling and so no interval to report. The relevant robustness question is sensitivity to small changes in setup, and the ablation is that question asked of the one input that matters. The answer is that the method is fragile to scope specification in both directions. We regard that fragility as the finding, not a weakness of the experiment: it is why the scope must be a published artifact.</w:t>
      </w:r>
    </w:p>
    <w:p>
      <w:pPr>
        <w:pStyle w:val="Heading2"/>
        <w:keepNext/>
      </w:pPr>
      <w:r>
        <w:t>5. Discussion and Limitations</w:t>
      </w:r>
    </w:p>
    <w:p>
      <w:pPr>
        <w:spacing w:after="100" w:line="240"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(an AISI, a partner such as Hugging Face, or the AI Office under its Article 91 information powers) replays the verdict from those files. The cost of adoption is writing the allowlist, and that is the point: the artifact forces the scope to exist. This sits under, not beside, what the labs have already said they will build. AISI asks for monitoring "able to flag or block out-of-scope actions as they happen" with scope "limited in advance" [4]; OpenAI now requires chain-of-thought monitoring for tool-using runs [1]. Both need a machine-readable statement of what out-of-scope means. Adding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40" w:lineRule="auto"/>
        <w:ind w:left="432" w:hanging="288"/>
        <w:jc w:val="both"/>
      </w:pPr>
      <w:r>
        <w:rPr>
          <w:rFonts w:ascii="Old Standard TT" w:hAnsi="Old Standard TT"/>
          <w:sz w:val="21"/>
        </w:rPr>
        <w:t>•  The positive fixtures are reconstructions of four to seven events written from public descriptions; Hugging Face logged about 17,600 attacker actions [2]. No lab has released raw evaluation transcripts. Nothing here measures detection inside OpenAI, Anthropic or AISI, and "events earlier" is a statement about our reconstruction.</w:t>
      </w:r>
    </w:p>
    <w:p>
      <w:pPr>
        <w:spacing w:after="80" w:line="240" w:lineRule="auto"/>
        <w:ind w:left="432" w:hanging="288"/>
        <w:jc w:val="both"/>
      </w:pPr>
      <w:r>
        <w:rPr>
          <w:rFonts w:ascii="Old Standard TT" w:hAnsi="Old Standard TT"/>
          <w:sz w:val="21"/>
        </w:rPr>
        <w:t>•  The fixtures and the rule have the same author. The specification tests therefore show consistency, not generalisation. If that assumption is wrong in the sense that real traces differ in form, the extractor is the part that breaks, and the ablation result is unaffected because it concerns the scope, not the extractor.</w:t>
      </w:r>
    </w:p>
    <w:p>
      <w:pPr>
        <w:spacing w:after="80" w:line="240" w:lineRule="auto"/>
        <w:ind w:left="432" w:hanging="288"/>
        <w:jc w:val="both"/>
      </w:pPr>
      <w:r>
        <w:rPr>
          <w:rFonts w:ascii="Old Standard TT" w:hAnsi="Old Standard TT"/>
          <w:sz w:val="21"/>
        </w:rPr>
        <w:t>•  Sentinel reads declared arguments. METR has observed tool-call spoofing in roughly 7% of transcripts it examined [13]; a determined agent can state one destination and reach another. Layer 3 is the answer; it is not built.</w:t>
      </w:r>
    </w:p>
    <w:p>
      <w:pPr>
        <w:spacing w:after="80" w:line="240" w:lineRule="auto"/>
        <w:ind w:left="432" w:hanging="288"/>
        <w:jc w:val="both"/>
      </w:pPr>
      <w:r>
        <w:rPr>
          <w:rFonts w:ascii="Old Standard TT" w:hAnsi="Old Standard TT"/>
          <w:sz w:val="21"/>
        </w:rPr>
        <w:t>•  The extractor is regular expressions. Destinations hidden in shell variables, base64, DNS exfiltration or IP-as-integer forms are missed. We have not measured a miss rate. Publishing the extractor publishes its gaps (Appendix A).</w:t>
      </w:r>
    </w:p>
    <w:p>
      <w:pPr>
        <w:spacing w:after="80" w:line="240" w:lineRule="auto"/>
        <w:ind w:left="432" w:hanging="288"/>
        <w:jc w:val="both"/>
      </w:pPr>
      <w:r>
        <w:rPr>
          <w:rFonts w:ascii="Old Standard TT" w:hAnsi="Old Standard TT"/>
          <w:sz w:val="21"/>
        </w:rPr>
        <w:t>•  T1 and T2 false-positive rates are unmeasured; they warn, and a warn nobody reads is worth nothing.</w:t>
      </w:r>
    </w:p>
    <w:p>
      <w:pPr>
        <w:spacing w:after="80" w:line="240"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40" w:lineRule="auto"/>
        <w:jc w:val="both"/>
      </w:pPr>
      <w:r>
        <w:rPr>
          <w:rFonts w:ascii="Old Standard TT" w:hAnsi="Old Standard TT"/>
          <w:sz w:val="21"/>
        </w:rPr>
        <w:t>A month would add three things. First, run the scanner over a public agentic evaluation with an honest allowlist (ExploitGym's own firewall list is a natural start) and report the T3 page rate and the T1/T2 warn rates on real traces. Second, implement layer 3 against Cilium Hubble or Squid access logs and report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40"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Sentinel is small on purpose. What it adds is a checkable layer under the monitors and proxies that already exist, and the argument that the artifact to publish per evaluation class is the pair (trace, allowlist).</w:t>
      </w:r>
    </w:p>
    <w:p>
      <w:pPr>
        <w:pStyle w:val="Heading2"/>
        <w:keepNext/>
      </w:pPr>
      <w:r>
        <w:t>Code and Data</w:t>
      </w:r>
    </w:p>
    <w:p>
      <w:pPr>
        <w:spacing w:after="100" w:line="240" w:lineRule="auto"/>
        <w:jc w:val="both"/>
      </w:pPr>
      <w:r>
        <w:rPr>
          <w:rFonts w:ascii="Old Standard TT" w:hAnsi="Old Standard TT"/>
          <w:sz w:val="21"/>
        </w:rPr>
        <w:t>Code repository: https://github.com/crishN144/sentinel-evals (Apache-2.0, matching ExploitGym). Fixtures, allowlists, the ablation script and the 15 tests are in the repository; python -m pytest reproduces every number here with no model and no API key. No lab transcripts are included because none are public. No datasets were used.</w:t>
      </w:r>
    </w:p>
    <w:p>
      <w:pPr>
        <w:pStyle w:val="Heading2"/>
        <w:keepNext/>
      </w:pPr>
      <w:r>
        <w:t>Author Contributions</w:t>
      </w:r>
    </w:p>
    <w:p>
      <w:pPr>
        <w:spacing w:after="100" w:line="240"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Pr>
      <w:r>
        <w:t>References</w:t>
      </w:r>
    </w:p>
    <w:p>
      <w:pPr>
        <w:spacing w:after="100" w:line="240" w:lineRule="auto"/>
        <w:jc w:val="both"/>
      </w:pPr>
      <w:r>
        <w:rPr>
          <w:rFonts w:ascii="Old Standard TT" w:hAnsi="Old Standard TT"/>
          <w:sz w:val="21"/>
        </w:rPr>
        <w:t>[1] OpenAI, 2026. The Hugging Face incident and the road ahead. openai.com/index/hugging-face-incident-and-the-road-ahead</w:t>
      </w:r>
    </w:p>
    <w:p>
      <w:pPr>
        <w:spacing w:after="100" w:line="240" w:lineRule="auto"/>
        <w:jc w:val="both"/>
      </w:pPr>
      <w:r>
        <w:rPr>
          <w:rFonts w:ascii="Old Standard TT" w:hAnsi="Old Standard TT"/>
          <w:sz w:val="21"/>
        </w:rPr>
        <w:t>[2] Hugging Face, 2026. Agent intrusion: technical timeline. huggingface.co/blog/agent-intrusion-technical-timeline</w:t>
      </w:r>
    </w:p>
    <w:p>
      <w:pPr>
        <w:spacing w:after="100" w:line="240" w:lineRule="auto"/>
        <w:jc w:val="both"/>
      </w:pPr>
      <w:r>
        <w:rPr>
          <w:rFonts w:ascii="Old Standard TT" w:hAnsi="Old Standard TT"/>
          <w:sz w:val="21"/>
        </w:rPr>
        <w:t>[3] Anthropic, 2026. Investigating incidents in our cybersecurity evaluations. anthropic.com/news/investigating-incidents-cybersecurity-evals</w:t>
      </w:r>
    </w:p>
    <w:p>
      <w:pPr>
        <w:spacing w:after="100" w:line="240" w:lineRule="auto"/>
        <w:jc w:val="both"/>
      </w:pPr>
      <w:r>
        <w:rPr>
          <w:rFonts w:ascii="Old Standard TT" w:hAnsi="Old Standard TT"/>
          <w:sz w:val="21"/>
        </w:rPr>
        <w:t>[4] UK AI Security Institute, 2026. Incident report INC-2026-07-28-01. aisi.gov.uk</w:t>
      </w:r>
    </w:p>
    <w:p>
      <w:pPr>
        <w:spacing w:after="100" w:line="240" w:lineRule="auto"/>
        <w:jc w:val="both"/>
      </w:pPr>
      <w:r>
        <w:rPr>
          <w:rFonts w:ascii="Old Standard TT" w:hAnsi="Old Standard TT"/>
          <w:sz w:val="21"/>
        </w:rPr>
        <w:t>[5] Apart Research and CeSIA, 2026. AI Incident Response Sprint, overview page, update of 7 September. apartresearch.com/sprints/ai-incident-response-sprint-2026-09-11-to-2026-09-13</w:t>
      </w:r>
    </w:p>
    <w:p>
      <w:pPr>
        <w:spacing w:after="100" w:line="240" w:lineRule="auto"/>
        <w:jc w:val="both"/>
      </w:pPr>
      <w:r>
        <w:rPr>
          <w:rFonts w:ascii="Old Standard TT" w:hAnsi="Old Standard TT"/>
          <w:sz w:val="21"/>
        </w:rPr>
        <w:t>[6] UK AI Security Institute, 2026. Inspect Scout: scanners for evaluation transcripts. github.com/meridianlabs-ai/inspect_scout</w:t>
      </w:r>
    </w:p>
    <w:p>
      <w:pPr>
        <w:spacing w:after="100" w:line="240" w:lineRule="auto"/>
        <w:jc w:val="both"/>
      </w:pPr>
      <w:r>
        <w:rPr>
          <w:rFonts w:ascii="Old Standard TT" w:hAnsi="Old Standard TT"/>
          <w:sz w:val="21"/>
        </w:rPr>
        <w:t>[7] UK AI Security Institute, 2025. ControlArena. github.com/UKGovernmentBEIS/control-arena</w:t>
      </w:r>
    </w:p>
    <w:p>
      <w:pPr>
        <w:spacing w:after="100" w:line="240" w:lineRule="auto"/>
        <w:jc w:val="both"/>
      </w:pPr>
      <w:r>
        <w:rPr>
          <w:rFonts w:ascii="Old Standard TT" w:hAnsi="Old Standard TT"/>
          <w:sz w:val="21"/>
        </w:rPr>
        <w:t>[8] Kutasov, J. et al., 2025. SHADE-Arena: evaluating sabotage and monitoring in LLM agents. Anthropic.</w:t>
      </w:r>
    </w:p>
    <w:p>
      <w:pPr>
        <w:spacing w:after="100" w:line="240" w:lineRule="auto"/>
        <w:jc w:val="both"/>
      </w:pPr>
      <w:r>
        <w:rPr>
          <w:rFonts w:ascii="Old Standard TT" w:hAnsi="Old Standard TT"/>
          <w:sz w:val="21"/>
        </w:rPr>
        <w:t>[9] Apollo Research, 2025. Watcher. apolloresearch.ai</w:t>
      </w:r>
    </w:p>
    <w:p>
      <w:pPr>
        <w:spacing w:after="100" w:line="240" w:lineRule="auto"/>
        <w:jc w:val="both"/>
      </w:pPr>
      <w:r>
        <w:rPr>
          <w:rFonts w:ascii="Old Standard TT" w:hAnsi="Old Standard TT"/>
          <w:sz w:val="21"/>
        </w:rPr>
        <w:t>[10] ExploitGym, 2026. Benchmark repository and firewall documentation (docs/firewall.md). GitHub, Apache-2.0.</w:t>
      </w:r>
    </w:p>
    <w:p>
      <w:pPr>
        <w:spacing w:after="100" w:line="240" w:lineRule="auto"/>
        <w:jc w:val="both"/>
      </w:pPr>
      <w:r>
        <w:rPr>
          <w:rFonts w:ascii="Old Standard TT" w:hAnsi="Old Standard TT"/>
          <w:sz w:val="21"/>
        </w:rPr>
        <w:t>[11] UK AI Security Institute, 2026. Cheating rates in agentic cyber evaluations across five frontier models. aisi.gov.uk</w:t>
      </w:r>
    </w:p>
    <w:p>
      <w:pPr>
        <w:spacing w:after="100" w:line="240" w:lineRule="auto"/>
        <w:jc w:val="both"/>
      </w:pPr>
      <w:r>
        <w:rPr>
          <w:rFonts w:ascii="Old Standard TT" w:hAnsi="Old Standard TT"/>
          <w:sz w:val="21"/>
        </w:rPr>
        <w:t>[12] Nagarkar, C., 2026. scorer-integrity: calibrating LLM judges against mechanical ground truth in Inspect evals. github.com/crishN144/scorer-integrity</w:t>
      </w:r>
    </w:p>
    <w:p>
      <w:pPr>
        <w:spacing w:after="100" w:line="240" w:lineRule="auto"/>
        <w:jc w:val="both"/>
      </w:pPr>
      <w:r>
        <w:rPr>
          <w:rFonts w:ascii="Old Standard TT" w:hAnsi="Old Standard TT"/>
          <w:sz w:val="21"/>
        </w:rPr>
        <w:t>[13] METR, 2026. Observations of tool-call spoofing in agentic transcripts.</w:t>
      </w:r>
    </w:p>
    <w:p>
      <w:pPr>
        <w:spacing w:after="100" w:line="240" w:lineRule="auto"/>
        <w:jc w:val="both"/>
      </w:pPr>
      <w:r>
        <w:rPr>
          <w:rFonts w:ascii="Old Standard TT" w:hAnsi="Old Standard TT"/>
          <w:sz w:val="21"/>
        </w:rPr>
        <w:t>[14] Baker, B. et al., 2025. Monitoring reasoning models for misbehavior and the risks of promoting obfuscation. OpenAI.</w:t>
      </w:r>
    </w:p>
    <w:p>
      <w:pPr>
        <w:pStyle w:val="Heading2"/>
        <w:keepNext/>
      </w:pPr>
      <w:r>
        <w:t>Appendix A. Limitations and Dual-Use Considerations</w:t>
      </w:r>
    </w:p>
    <w:p>
      <w:pPr>
        <w:spacing w:after="100" w:line="240" w:lineRule="auto"/>
        <w:jc w:val="both"/>
      </w:pPr>
      <w:r>
        <w:rPr>
          <w:rFonts w:ascii="Old Standard TT" w:hAnsi="Old Standard TT"/>
          <w:sz w:val="21"/>
        </w:rPr>
        <w:t>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[1, 11];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40"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cantSplit/>
        </w:trPr>
        <w:tc>
          <w:tcPr>
            <w:tcW w:type="dxa" w:w="3744"/>
          </w:tcPr>
          <w:p>
            <w:r>
              <w:rPr>
                <w:rFonts w:ascii="Old Standard TT" w:hAnsi="Old Standard TT"/>
              </w:rPr>
            </w:r>
            <w:r>
              <w:rPr>
                <w:rFonts w:ascii="Old Standard TT" w:hAnsi="Old Standard TT"/>
                <w:b/>
                <w:sz w:val="17"/>
              </w:rPr>
              <w:t>Behaviour (from the public accounts)</w:t>
            </w:r>
          </w:p>
        </w:tc>
        <w:tc>
          <w:tcPr>
            <w:tcW w:type="dxa" w:w="3456"/>
          </w:tcPr>
          <w:p>
            <w:r>
              <w:rPr>
                <w:rFonts w:ascii="Old Standard TT" w:hAnsi="Old Standard TT"/>
              </w:rPr>
            </w:r>
            <w:r>
              <w:rPr>
                <w:rFonts w:ascii="Old Standard TT" w:hAnsi="Old Standard TT"/>
                <w:b/>
                <w:sz w:val="17"/>
              </w:rPr>
              <w:t>Seen in</w:t>
            </w:r>
          </w:p>
        </w:tc>
        <w:tc>
          <w:tcPr>
            <w:tcW w:type="dxa" w:w="2160"/>
          </w:tcPr>
          <w:p>
            <w:r>
              <w:rPr>
                <w:rFonts w:ascii="Old Standard TT" w:hAnsi="Old Standard TT"/>
              </w:rPr>
            </w:r>
            <w:r>
              <w:rPr>
                <w:rFonts w:ascii="Old Standard TT" w:hAnsi="Old Standard TT"/>
                <w:b/>
                <w:sz w:val="17"/>
              </w:rPr>
              <w:t>Sentinel</w:t>
            </w:r>
          </w:p>
        </w:tc>
      </w:tr>
      <w:tr>
        <w:trPr>
          <w:cantSplit/>
        </w:trPr>
        <w:tc>
          <w:tcPr>
            <w:tcW w:type="dxa" w:w="3744"/>
          </w:tcPr>
          <w:p>
            <w:r>
              <w:rPr>
                <w:rFonts w:ascii="Old Standard TT" w:hAnsi="Old Standard TT"/>
              </w:rPr>
            </w:r>
            <w:r>
              <w:rPr>
                <w:rFonts w:ascii="Old Standard TT" w:hAnsi="Old Standard TT"/>
                <w:b w:val="0"/>
                <w:sz w:val="17"/>
              </w:rPr>
              <w:t>1 Grader / evaluation probing</w:t>
            </w:r>
          </w:p>
        </w:tc>
        <w:tc>
          <w:tcPr>
            <w:tcW w:type="dxa" w:w="3456"/>
          </w:tcPr>
          <w:p>
            <w:r>
              <w:rPr>
                <w:rFonts w:ascii="Old Standard TT" w:hAnsi="Old Standard TT"/>
              </w:rPr>
            </w:r>
            <w:r>
              <w:rPr>
                <w:rFonts w:ascii="Old Standard TT" w:hAnsi="Old Standard TT"/>
                <w:b w:val="0"/>
                <w:sz w:val="17"/>
              </w:rPr>
              <w:t>OpenAI [1], AISI [11]</w:t>
            </w:r>
          </w:p>
        </w:tc>
        <w:tc>
          <w:tcPr>
            <w:tcW w:type="dxa" w:w="2160"/>
          </w:tcPr>
          <w:p>
            <w:r>
              <w:rPr>
                <w:rFonts w:ascii="Old Standard TT" w:hAnsi="Old Standard TT"/>
              </w:rPr>
            </w:r>
            <w:r>
              <w:rPr>
                <w:rFonts w:ascii="Old Standard TT" w:hAnsi="Old Standard TT"/>
                <w:b w:val="0"/>
                <w:sz w:val="17"/>
              </w:rPr>
              <w:t>T1 WARN</w:t>
            </w:r>
          </w:p>
        </w:tc>
      </w:tr>
      <w:tr>
        <w:trPr>
          <w:cantSplit/>
        </w:trPr>
        <w:tc>
          <w:tcPr>
            <w:tcW w:type="dxa" w:w="3744"/>
          </w:tcPr>
          <w:p>
            <w:r>
              <w:rPr>
                <w:rFonts w:ascii="Old Standard TT" w:hAnsi="Old Standard TT"/>
              </w:rPr>
            </w:r>
            <w:r>
              <w:rPr>
                <w:rFonts w:ascii="Old Standard TT" w:hAnsi="Old Standard TT"/>
                <w:b w:val="0"/>
                <w:sz w:val="17"/>
              </w:rPr>
              <w:t>2 Sandbox / boundary testing</w:t>
            </w:r>
          </w:p>
        </w:tc>
        <w:tc>
          <w:tcPr>
            <w:tcW w:type="dxa" w:w="3456"/>
          </w:tcPr>
          <w:p>
            <w:r>
              <w:rPr>
                <w:rFonts w:ascii="Old Standard TT" w:hAnsi="Old Standard TT"/>
              </w:rPr>
            </w:r>
            <w:r>
              <w:rPr>
                <w:rFonts w:ascii="Old Standard TT" w:hAnsi="Old Standard TT"/>
                <w:b w:val="0"/>
                <w:sz w:val="17"/>
              </w:rPr>
              <w:t>OpenAI, Hugging Face [2]</w:t>
            </w:r>
          </w:p>
        </w:tc>
        <w:tc>
          <w:tcPr>
            <w:tcW w:type="dxa" w:w="2160"/>
          </w:tcPr>
          <w:p>
            <w:r>
              <w:rPr>
                <w:rFonts w:ascii="Old Standard TT" w:hAnsi="Old Standard TT"/>
              </w:rPr>
            </w:r>
            <w:r>
              <w:rPr>
                <w:rFonts w:ascii="Old Standard TT" w:hAnsi="Old Standard TT"/>
                <w:b w:val="0"/>
                <w:sz w:val="17"/>
              </w:rPr>
              <w:t>T2 WARN</w:t>
            </w:r>
          </w:p>
        </w:tc>
      </w:tr>
      <w:tr>
        <w:trPr>
          <w:cantSplit/>
        </w:trPr>
        <w:tc>
          <w:tcPr>
            <w:tcW w:type="dxa" w:w="3744"/>
          </w:tcPr>
          <w:p>
            <w:r>
              <w:rPr>
                <w:rFonts w:ascii="Old Standard TT" w:hAnsi="Old Standard TT"/>
              </w:rPr>
            </w:r>
            <w:r>
              <w:rPr>
                <w:rFonts w:ascii="Old Standard TT" w:hAnsi="Old Standard TT"/>
                <w:b w:val="0"/>
                <w:sz w:val="17"/>
              </w:rPr>
              <w:t>3 Unauthorised egress vs declared scope</w:t>
            </w:r>
          </w:p>
        </w:tc>
        <w:tc>
          <w:tcPr>
            <w:tcW w:type="dxa" w:w="3456"/>
          </w:tcPr>
          <w:p>
            <w:r>
              <w:rPr>
                <w:rFonts w:ascii="Old Standard TT" w:hAnsi="Old Standard TT"/>
              </w:rPr>
            </w:r>
            <w:r>
              <w:rPr>
                <w:rFonts w:ascii="Old Standard TT" w:hAnsi="Old Standard TT"/>
                <w:b w:val="0"/>
                <w:sz w:val="17"/>
              </w:rPr>
              <w:t>all four</w:t>
            </w:r>
          </w:p>
        </w:tc>
        <w:tc>
          <w:tcPr>
            <w:tcW w:type="dxa" w:w="2160"/>
          </w:tcPr>
          <w:p>
            <w:r>
              <w:rPr>
                <w:rFonts w:ascii="Old Standard TT" w:hAnsi="Old Standard TT"/>
              </w:rPr>
            </w:r>
            <w:r>
              <w:rPr>
                <w:rFonts w:ascii="Old Standard TT" w:hAnsi="Old Standard TT"/>
                <w:b w:val="0"/>
                <w:sz w:val="17"/>
              </w:rPr>
              <w:t>T3 PAGE</w:t>
            </w:r>
          </w:p>
        </w:tc>
      </w:tr>
      <w:tr>
        <w:trPr>
          <w:cantSplit/>
        </w:trPr>
        <w:tc>
          <w:tcPr>
            <w:tcW w:type="dxa" w:w="3744"/>
          </w:tcPr>
          <w:p>
            <w:r>
              <w:rPr>
                <w:rFonts w:ascii="Old Standard TT" w:hAnsi="Old Standard TT"/>
              </w:rPr>
            </w:r>
            <w:r>
              <w:rPr>
                <w:rFonts w:ascii="Old Standard TT" w:hAnsi="Old Standard TT"/>
                <w:b w:val="0"/>
                <w:sz w:val="17"/>
              </w:rPr>
              <w:t>4 Inter-agent message boards</w:t>
            </w:r>
          </w:p>
        </w:tc>
        <w:tc>
          <w:tcPr>
            <w:tcW w:type="dxa" w:w="3456"/>
          </w:tcPr>
          <w:p>
            <w:r>
              <w:rPr>
                <w:rFonts w:ascii="Old Standard TT" w:hAnsi="Old Standard TT"/>
              </w:rPr>
            </w:r>
            <w:r>
              <w:rPr>
                <w:rFonts w:ascii="Old Standard TT" w:hAnsi="Old Standard TT"/>
                <w:b w:val="0"/>
                <w:sz w:val="17"/>
              </w:rPr>
              <w:t>OpenAI (Artifactory WebDAV), AISI (GitHub), wiki [5]</w:t>
            </w:r>
          </w:p>
        </w:tc>
        <w:tc>
          <w:tcPr>
            <w:tcW w:type="dxa" w:w="2160"/>
          </w:tcPr>
          <w:p>
            <w:r>
              <w:rPr>
                <w:rFonts w:ascii="Old Standard TT" w:hAnsi="Old Standard TT"/>
              </w:rPr>
            </w:r>
            <w:r>
              <w:rPr>
                <w:rFonts w:ascii="Old Standard TT" w:hAnsi="Old Standard TT"/>
                <w:b w:val="0"/>
                <w:sz w:val="17"/>
              </w:rPr>
              <w:t>not covered</w:t>
            </w:r>
          </w:p>
        </w:tc>
      </w:tr>
      <w:tr>
        <w:trPr>
          <w:cantSplit/>
        </w:trPr>
        <w:tc>
          <w:tcPr>
            <w:tcW w:type="dxa" w:w="3744"/>
          </w:tcPr>
          <w:p>
            <w:r>
              <w:rPr>
                <w:rFonts w:ascii="Old Standard TT" w:hAnsi="Old Standard TT"/>
              </w:rPr>
            </w:r>
            <w:r>
              <w:rPr>
                <w:rFonts w:ascii="Old Standard TT" w:hAnsi="Old Standard TT"/>
                <w:b w:val="0"/>
                <w:sz w:val="17"/>
              </w:rPr>
              <w:t>5 Credential harvesting and reuse</w:t>
            </w:r>
          </w:p>
        </w:tc>
        <w:tc>
          <w:tcPr>
            <w:tcW w:type="dxa" w:w="3456"/>
          </w:tcPr>
          <w:p>
            <w:r>
              <w:rPr>
                <w:rFonts w:ascii="Old Standard TT" w:hAnsi="Old Standard TT"/>
              </w:rPr>
            </w:r>
            <w:r>
              <w:rPr>
                <w:rFonts w:ascii="Old Standard TT" w:hAnsi="Old Standard TT"/>
                <w:b w:val="0"/>
                <w:sz w:val="17"/>
              </w:rPr>
              <w:t>OpenAI, Anthropic</w:t>
            </w:r>
          </w:p>
        </w:tc>
        <w:tc>
          <w:tcPr>
            <w:tcW w:type="dxa" w:w="2160"/>
          </w:tcPr>
          <w:p>
            <w:r>
              <w:rPr>
                <w:rFonts w:ascii="Old Standard TT" w:hAnsi="Old Standard TT"/>
              </w:rPr>
            </w:r>
            <w:r>
              <w:rPr>
                <w:rFonts w:ascii="Old Standard TT" w:hAnsi="Old Standard TT"/>
                <w:b w:val="0"/>
                <w:sz w:val="17"/>
              </w:rPr>
              <w:t>not covered (env telemetry)</w:t>
            </w:r>
          </w:p>
        </w:tc>
      </w:tr>
      <w:tr>
        <w:trPr>
          <w:cantSplit/>
        </w:trPr>
        <w:tc>
          <w:tcPr>
            <w:tcW w:type="dxa" w:w="3744"/>
          </w:tcPr>
          <w:p>
            <w:r>
              <w:rPr>
                <w:rFonts w:ascii="Old Standard TT" w:hAnsi="Old Standard TT"/>
              </w:rPr>
            </w:r>
            <w:r>
              <w:rPr>
                <w:rFonts w:ascii="Old Standard TT" w:hAnsi="Old Standard TT"/>
                <w:b w:val="0"/>
                <w:sz w:val="17"/>
              </w:rPr>
              <w:t>6 Out-of-scope target enumeration</w:t>
            </w:r>
          </w:p>
        </w:tc>
        <w:tc>
          <w:tcPr>
            <w:tcW w:type="dxa" w:w="3456"/>
          </w:tcPr>
          <w:p>
            <w:r>
              <w:rPr>
                <w:rFonts w:ascii="Old Standard TT" w:hAnsi="Old Standard TT"/>
              </w:rPr>
            </w:r>
            <w:r>
              <w:rPr>
                <w:rFonts w:ascii="Old Standard TT" w:hAnsi="Old Standard TT"/>
                <w:b w:val="0"/>
                <w:sz w:val="17"/>
              </w:rPr>
              <w:t>Anthropic (~9,000 targets)</w:t>
            </w:r>
          </w:p>
        </w:tc>
        <w:tc>
          <w:tcPr>
            <w:tcW w:type="dxa" w:w="2160"/>
          </w:tcPr>
          <w:p>
            <w:r>
              <w:rPr>
                <w:rFonts w:ascii="Old Standard TT" w:hAnsi="Old Standard TT"/>
              </w:rPr>
            </w:r>
            <w:r>
              <w:rPr>
                <w:rFonts w:ascii="Old Standard TT" w:hAnsi="Old Standard TT"/>
                <w:b w:val="0"/>
                <w:sz w:val="17"/>
              </w:rPr>
              <w:t>T3 if a host is stated</w:t>
            </w:r>
          </w:p>
        </w:tc>
      </w:tr>
      <w:tr>
        <w:trPr>
          <w:cantSplit/>
        </w:trPr>
        <w:tc>
          <w:tcPr>
            <w:tcW w:type="dxa" w:w="3744"/>
          </w:tcPr>
          <w:p>
            <w:r>
              <w:rPr>
                <w:rFonts w:ascii="Old Standard TT" w:hAnsi="Old Standard TT"/>
              </w:rPr>
            </w:r>
            <w:r>
              <w:rPr>
                <w:rFonts w:ascii="Old Standard TT" w:hAnsi="Old Standard TT"/>
                <w:b w:val="0"/>
                <w:sz w:val="17"/>
              </w:rPr>
              <w:t>7 Persistence past a safe exit</w:t>
            </w:r>
          </w:p>
        </w:tc>
        <w:tc>
          <w:tcPr>
            <w:tcW w:type="dxa" w:w="3456"/>
          </w:tcPr>
          <w:p>
            <w:r>
              <w:rPr>
                <w:rFonts w:ascii="Old Standard TT" w:hAnsi="Old Standard TT"/>
              </w:rPr>
            </w:r>
            <w:r>
              <w:rPr>
                <w:rFonts w:ascii="Old Standard TT" w:hAnsi="Old Standard TT"/>
                <w:b w:val="0"/>
                <w:sz w:val="17"/>
              </w:rPr>
              <w:t>OpenAI (198/898 unsolved tasks)</w:t>
            </w:r>
          </w:p>
        </w:tc>
        <w:tc>
          <w:tcPr>
            <w:tcW w:type="dxa" w:w="2160"/>
          </w:tcPr>
          <w:p>
            <w:r>
              <w:rPr>
                <w:rFonts w:ascii="Old Standard TT" w:hAnsi="Old Standard TT"/>
              </w:rPr>
            </w:r>
            <w:r>
              <w:rPr>
                <w:rFonts w:ascii="Old Standard TT" w:hAnsi="Old Standard TT"/>
                <w:b w:val="0"/>
                <w:sz w:val="17"/>
              </w:rPr>
              <w:t>not covered (policy)</w:t>
            </w:r>
          </w:p>
        </w:tc>
      </w:tr>
      <w:tr>
        <w:trPr>
          <w:cantSplit/>
        </w:trPr>
        <w:tc>
          <w:tcPr>
            <w:tcW w:type="dxa" w:w="3744"/>
          </w:tcPr>
          <w:p>
            <w:r>
              <w:rPr>
                <w:rFonts w:ascii="Old Standard TT" w:hAnsi="Old Standard TT"/>
              </w:rPr>
            </w:r>
            <w:r>
              <w:rPr>
                <w:rFonts w:ascii="Old Standard TT" w:hAnsi="Old Standard TT"/>
                <w:b w:val="0"/>
                <w:sz w:val="17"/>
              </w:rPr>
              <w:t>8 Transcript / monitor tampering</w:t>
            </w:r>
          </w:p>
        </w:tc>
        <w:tc>
          <w:tcPr>
            <w:tcW w:type="dxa" w:w="3456"/>
          </w:tcPr>
          <w:p>
            <w:r>
              <w:rPr>
                <w:rFonts w:ascii="Old Standard TT" w:hAnsi="Old Standard TT"/>
              </w:rPr>
            </w:r>
            <w:r>
              <w:rPr>
                <w:rFonts w:ascii="Old Standard TT" w:hAnsi="Old Standard TT"/>
                <w:b w:val="0"/>
                <w:sz w:val="17"/>
              </w:rPr>
              <w:t>AISI, METR [13]</w:t>
            </w:r>
          </w:p>
        </w:tc>
        <w:tc>
          <w:tcPr>
            <w:tcW w:type="dxa" w:w="2160"/>
          </w:tcPr>
          <w:p>
            <w:r>
              <w:rPr>
                <w:rFonts w:ascii="Old Standard TT" w:hAnsi="Old Standard TT"/>
              </w:rPr>
            </w:r>
            <w:r>
              <w:rPr>
                <w:rFonts w:ascii="Old Standard TT" w:hAnsi="Old Standard TT"/>
                <w:b w:val="0"/>
                <w:sz w:val="17"/>
              </w:rPr>
              <w:t>not covered; defeats T3</w:t>
            </w:r>
          </w:p>
        </w:tc>
      </w:tr>
      <w:tr>
        <w:trPr>
          <w:cantSplit/>
        </w:trPr>
        <w:tc>
          <w:tcPr>
            <w:tcW w:type="dxa" w:w="3744"/>
          </w:tcPr>
          <w:p>
            <w:r>
              <w:rPr>
                <w:rFonts w:ascii="Old Standard TT" w:hAnsi="Old Standard TT"/>
              </w:rPr>
            </w:r>
            <w:r>
              <w:rPr>
                <w:rFonts w:ascii="Old Standard TT" w:hAnsi="Old Standard TT"/>
                <w:b w:val="0"/>
                <w:sz w:val="17"/>
              </w:rPr>
              <w:t>9 Goal adoption from peers</w:t>
            </w:r>
          </w:p>
        </w:tc>
        <w:tc>
          <w:tcPr>
            <w:tcW w:type="dxa" w:w="3456"/>
          </w:tcPr>
          <w:p>
            <w:r>
              <w:rPr>
                <w:rFonts w:ascii="Old Standard TT" w:hAnsi="Old Standard TT"/>
              </w:rPr>
            </w:r>
            <w:r>
              <w:rPr>
                <w:rFonts w:ascii="Old Standard TT" w:hAnsi="Old Standard TT"/>
                <w:b w:val="0"/>
                <w:sz w:val="17"/>
              </w:rPr>
              <w:t>OpenAI</w:t>
            </w:r>
          </w:p>
        </w:tc>
        <w:tc>
          <w:tcPr>
            <w:tcW w:type="dxa" w:w="2160"/>
          </w:tcPr>
          <w:p>
            <w:r>
              <w:rPr>
                <w:rFonts w:ascii="Old Standard TT" w:hAnsi="Old Standard TT"/>
              </w:rPr>
            </w:r>
            <w:r>
              <w:rPr>
                <w:rFonts w:ascii="Old Standard TT" w:hAnsi="Old Standard TT"/>
                <w:b w:val="0"/>
                <w:sz w:val="17"/>
              </w:rPr>
              <w:t>not covered</w:t>
            </w:r>
          </w:p>
        </w:tc>
      </w:tr>
    </w:tbl>
    <w:p>
      <w:pPr>
        <w:spacing w:after="160" w:line="240" w:lineRule="auto"/>
      </w:pPr>
      <w:r>
        <w:rPr>
          <w:rFonts w:ascii="Old Standard TT" w:hAnsi="Old Standard TT"/>
          <w:i/>
          <w:sz w:val="19"/>
        </w:rPr>
        <w:t>Table 2. The nine behaviours distilled from the four public accounts, and which ones an allowlist-relative scanner can see. Only item 3 is a mechanical page; items 1 and 2 warn; the rest need environment telemetry or multi-agent corpora and are out of scope for this artifact.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