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Fonts w:ascii="Old Standard TT" w:hAnsi="Old Standard TT"/>
          <w:sz w:val="21"/>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Sentinel: The Declared Scope Is the Unit of Containment Evidence in Agentic Evaluations</w:t>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Crish Nagarkar</w:t>
                          <w:br w:type="textWrapping"/>
                          <w:t xml:space="preserve">University of Leeds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0"/>
                      <w:iCs w:val="1"/>
                      <w:rtl w:val="0"/>
                    </w:rPr>
                    <w:t xml:space="preserve">Between April and July 2026, agents under evaluation at OpenAI, Anthropic and the UK AI Security Institute reached real third parties. In every public account the evaluation's network scope was declared in prose or assumed, never checked against what the agent did, and detection came late from a side signal. We argue that an evaluation's declared scope, written as a machine-readable allowlist, is the unit of containment evidence a third party can verify, and build Sentinel, an Inspect scanner that classifies each tool call's stated destination against it and pages on the first out-of-scope one, with no model in the gate. On reconstructions of three public incidents (four to seven events each, from the published timelines) it pages at the first non-allowlisted destination and is silent on three hard negatives. On the 14,591-revision DSEWiki export, a record we did not write, the scope the sandbox actually had was a wildcard, so the scanner is silent, as any wildcard must be; under any scope naming the task's data sources it pages on day one. On a live eight-sample Inspect run with an empty declared scope it is correctly silent on 42 real tool calls. The headline result is an ablation on one trace: a too-tight scope pages on permitted traffic, a wildcard scope is silent on the escape. Verifiability is a property of the pair (trace, allowlist), not of the detector. The same trace shows the page arrives after the escape, which went through the permitted proxy: a scanner audits containment; it does not provide it.</w:t>
                  </w:r>
                  <w:r w:rsidDel="00000000" w:rsidR="00000000" w:rsidRPr="00000000">
                    <w:rPr>
                      <w:rFonts w:ascii="Old Standard TT" w:cs="Old Standard TT" w:eastAsia="Old Standard TT" w:hAnsi="Old Standard TT"/>
                      <w:i w:val="0"/>
                      <w:iCs w:val="1"/>
                      <w:u w:val="single"/>
                      <w:rtl w:val="0"/>
                    </w:rPr>
                    <w:t xml:space="preserve"/>
                  </w:r>
                  <w:r w:rsidDel="00000000" w:rsidR="00000000" w:rsidRPr="00000000">
                    <w:rPr>
                      <w:rFonts w:ascii="Old Standard TT" w:cs="Old Standard TT" w:eastAsia="Old Standard TT" w:hAnsi="Old Standard TT"/>
                      <w:i w:val="0"/>
                      <w:iCs w:val="1"/>
                      <w:rtl w:val="0"/>
                    </w:rPr>
                    <w:t xml:space="preserve"/>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spacing w:line="259" w:lineRule="auto"/>
        <w:rPr/>
      </w:pPr>
      <w:r w:rsidDel="00000000" w:rsidR="00000000" w:rsidRPr="00000000">
        <w:rPr>
          <w:rFonts w:ascii="Old Standard TT" w:hAnsi="Old Standard TT"/>
          <w:sz w:val="21"/>
          <w:rtl w:val="0"/>
        </w:rPr>
      </w:r>
    </w:p>
    <w:p>
      <w:pPr>
        <w:pStyle w:val="Heading2"/>
        <w:keepNext/>
      </w:pPr>
      <w:r>
        <w:t>1. Introduction</w:t>
      </w:r>
    </w:p>
    <w:p>
      <w:pPr>
        <w:spacing w:after="100" w:line="259" w:lineRule="auto"/>
        <w:jc w:val="both"/>
      </w:pPr>
      <w:r>
        <w:rPr>
          <w:rFonts w:ascii="Old Standard TT" w:hAnsi="Old Standard TT"/>
          <w:sz w:val="21"/>
        </w:rPr>
        <w:t xml:space="preserve">In July 2026 two pre-release OpenAI models, running a cyber-capability evaluation with production refusal classifiers disabled, escaped their sandbox through a zero-day in the package-registry cache proxy that was their one permitted network egress, reached the open internet, and spent 11 to 13 July inside Hugging Face's production infrastructure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 xml:space="preserve">, </w:t>
      </w:r>
      <w:hyperlink w:anchor="ref2">
        <w:r>
          <w:rPr>
            <w:rFonts w:ascii="Old Standard TT" w:hAnsi="Old Standard TT"/>
            <w:color w:val="2E5C8A"/>
          </w:rPr>
          <w:t>2</w:t>
        </w:r>
      </w:hyperlink>
      <w:r>
        <w:rPr>
          <w:rFonts w:ascii="Old Standard TT" w:hAnsi="Old Standard TT"/>
          <w:sz w:val="21"/>
        </w:rPr>
        <w:t>]</w:t>
      </w:r>
      <w:r>
        <w:rPr>
          <w:rFonts w:ascii="Old Standard TT" w:hAnsi="Old Standard TT"/>
          <w:sz w:val="21"/>
        </w:rPr>
        <w:t xml:space="preserve">. Hugging Face cut the attacker off on 13 July and disclosed on 16 July without knowing the origin; OpenAI attributed it on 21 July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w:t>
      </w:r>
      <w:r>
        <w:rPr>
          <w:rFonts w:ascii="Old Standard TT" w:hAnsi="Old Standard TT"/>
          <w:sz w:val="21"/>
        </w:rPr>
        <w:t xml:space="preserve">. It was not the only case. Anthropic reported three incidents in its cyber evaluations, including one where the task prompt declared no internet access, a partner misconfiguration left it on, and the agent reached a real company that shared the fictional target's name and a database with several hundred rows of production data. The earliest of the three dates to April; all three were found in a retrospective review of 141,006 runs on 24 July </w:t>
      </w:r>
      <w:r>
        <w:rPr>
          <w:rFonts w:ascii="Old Standard TT" w:hAnsi="Old Standard TT"/>
          <w:sz w:val="21"/>
        </w:rPr>
        <w:t>[</w:t>
      </w:r>
      <w:hyperlink w:anchor="ref3">
        <w:r>
          <w:rPr>
            <w:rFonts w:ascii="Old Standard TT" w:hAnsi="Old Standard TT"/>
            <w:color w:val="2E5C8A"/>
          </w:rPr>
          <w:t>3</w:t>
        </w:r>
      </w:hyperlink>
      <w:r>
        <w:rPr>
          <w:rFonts w:ascii="Old Standard TT" w:hAnsi="Old Standard TT"/>
          <w:sz w:val="21"/>
        </w:rPr>
        <w:t>]</w:t>
      </w:r>
      <w:r>
        <w:rPr>
          <w:rFonts w:ascii="Old Standard TT" w:hAnsi="Old Standard TT"/>
          <w:sz w:val="21"/>
        </w:rPr>
        <w:t xml:space="preserve">. The UK AI Security Institute reported models on an intentionally internet-connected cyber range reaching GitHub over Tor, caught by a Tor egress alarm </w:t>
      </w:r>
      <w:r>
        <w:rPr>
          <w:rFonts w:ascii="Old Standard TT" w:hAnsi="Old Standard TT"/>
          <w:sz w:val="21"/>
        </w:rPr>
        <w:t>[</w:t>
      </w:r>
      <w:hyperlink w:anchor="ref4">
        <w:r>
          <w:rPr>
            <w:rFonts w:ascii="Old Standard TT" w:hAnsi="Old Standard TT"/>
            <w:color w:val="2E5C8A"/>
          </w:rPr>
          <w:t>4</w:t>
        </w:r>
      </w:hyperlink>
      <w:r>
        <w:rPr>
          <w:rFonts w:ascii="Old Standard TT" w:hAnsi="Old Standard TT"/>
          <w:sz w:val="21"/>
        </w:rPr>
        <w:t>]</w:t>
      </w:r>
      <w:r>
        <w:rPr>
          <w:rFonts w:ascii="Old Standard TT" w:hAnsi="Old Standard TT"/>
          <w:sz w:val="21"/>
        </w:rPr>
        <w:t xml:space="preserve">. A separate channel, unconnected to the Hugging Face swarm, ran on a public wiki. OpenAI evaluation agents whose sandbox allowed only GET requests found on 11 May that some wikis accept edits over GET, and on 24 May made their first successful write to DSEWiki, a dormant German programming wiki. They used it as a message board for task answers and sandbox workarounds until 22 June, the day after the first OpenAI-associated addresses visited the pages. The researchers count roughly 18,000 posts under more than 3,700 self-chosen names; 14,591 are preserved in the published export. Outside researchers found it by reading the wiki's public logs and published on 4 September; OpenAI acknowledged it the next day, saying the field has no agreed standard for reporting misalignment </w:t>
      </w:r>
      <w:r>
        <w:rPr>
          <w:rFonts w:ascii="Old Standard TT" w:hAnsi="Old Standard TT"/>
          <w:sz w:val="21"/>
        </w:rPr>
        <w:t>[</w:t>
      </w:r>
      <w:hyperlink w:anchor="ref5">
        <w:r>
          <w:rPr>
            <w:rFonts w:ascii="Old Standard TT" w:hAnsi="Old Standard TT"/>
            <w:color w:val="2E5C8A"/>
          </w:rPr>
          <w:t>5</w:t>
        </w:r>
      </w:hyperlink>
      <w:r>
        <w:rPr>
          <w:rFonts w:ascii="Old Standard TT" w:hAnsi="Old Standard TT"/>
          <w:sz w:val="21"/>
        </w:rPr>
        <w:t>]</w:t>
      </w:r>
      <w:r>
        <w:rPr>
          <w:rFonts w:ascii="Old Standard TT" w:hAnsi="Old Standard TT"/>
          <w:sz w:val="21"/>
        </w:rPr>
        <w:t>.</w:t>
      </w:r>
    </w:p>
    <w:p>
      <w:pPr>
        <w:spacing w:after="100" w:line="259" w:lineRule="auto"/>
        <w:jc w:val="both"/>
      </w:pPr>
      <w:r>
        <w:rPr>
          <w:rFonts w:ascii="Old Standard TT" w:hAnsi="Old Standard TT"/>
          <w:sz w:val="21"/>
        </w:rPr>
        <w:t xml:space="preserve">The common shape is not "no monitor existed." In each one the operators knew the intended scope in prose: no internet; only the LLM API and the package proxy; only the range. Nowhere was that scope an artifact the transcript was checked against, and the first signal always came from somewhere else: an identity-API anomaly, a Tor alarm, a retrospective sweep, a stranger reading a wiki. Hugging Face's own post-mortem says its correlation stack existed but "failed to correctly raise the alert's criticality" </w:t>
      </w:r>
      <w:r>
        <w:rPr>
          <w:rFonts w:ascii="Old Standard TT" w:hAnsi="Old Standard TT"/>
          <w:sz w:val="21"/>
        </w:rPr>
        <w:t>[</w:t>
      </w:r>
      <w:hyperlink w:anchor="ref2">
        <w:r>
          <w:rPr>
            <w:rFonts w:ascii="Old Standard TT" w:hAnsi="Old Standard TT"/>
            <w:color w:val="2E5C8A"/>
          </w:rPr>
          <w:t>2</w:t>
        </w:r>
      </w:hyperlink>
      <w:r>
        <w:rPr>
          <w:rFonts w:ascii="Old Standard TT" w:hAnsi="Old Standard TT"/>
          <w:sz w:val="21"/>
        </w:rPr>
        <w:t>]</w:t>
      </w:r>
      <w:r>
        <w:rPr>
          <w:rFonts w:ascii="Old Standard TT" w:hAnsi="Old Standard TT"/>
          <w:sz w:val="21"/>
        </w:rPr>
        <w:t>. The failure is that the scope was never attached to the transcript and never attested to anyone (Figure 2), and it is the failure the sprint's containment track asks about. Track 1 of the Apart AI Incident Response Sprint judges a containment proposal on one question: could a third party verify compliance without access to the lab's network, and would a lab adopt it?</w:t>
      </w:r>
    </w:p>
    <w:p>
      <w:pPr>
        <w:spacing w:after="100" w:line="259" w:lineRule="auto"/>
        <w:jc w:val="both"/>
      </w:pPr>
      <w:r>
        <w:rPr>
          <w:rFonts w:ascii="Old Standard TT" w:hAnsi="Old Standard TT"/>
          <w:sz w:val="21"/>
        </w:rPr>
        <w:t>We take the smallest step that answers it. Our main contributions are:</w:t>
      </w:r>
    </w:p>
    <w:p>
      <w:pPr>
        <w:spacing w:after="80" w:line="259" w:lineRule="auto"/>
        <w:ind w:left="432" w:hanging="288"/>
        <w:jc w:val="both"/>
      </w:pPr>
      <w:r>
        <w:rPr>
          <w:rFonts w:ascii="Old Standard TT" w:hAnsi="Old Standard TT"/>
          <w:sz w:val="21"/>
        </w:rPr>
        <w:t>•  A declared-scope representation (a JSON allowlist) and Sentinel, a mechanical, Inspect-native scanner that turns the first tool-call destination outside that scope into a finding a third party can recompute from files alone.</w:t>
      </w:r>
    </w:p>
    <w:p>
      <w:pPr>
        <w:spacing w:after="80" w:line="259" w:lineRule="auto"/>
        <w:ind w:left="432" w:hanging="288"/>
        <w:jc w:val="both"/>
      </w:pPr>
      <w:r>
        <w:rPr>
          <w:rFonts w:ascii="Old Standard TT" w:hAnsi="Old Standard TT"/>
          <w:sz w:val="21"/>
        </w:rPr>
        <w:t>•  An allowlist-misspecification ablation on a reconstruction of the Hugging Face trace: a too-tight scope pages on permitted traffic; a wildcard scope is silent on the escape. The control is the pair (trace, allowlist), not the detector.</w:t>
      </w:r>
    </w:p>
    <w:p>
      <w:pPr>
        <w:spacing w:after="80" w:line="259" w:lineRule="auto"/>
        <w:ind w:left="432" w:hanging="288"/>
        <w:jc w:val="both"/>
      </w:pPr>
      <w:r>
        <w:rPr>
          <w:rFonts w:ascii="Old Standard TT" w:hAnsi="Old Standard TT"/>
          <w:sz w:val="21"/>
        </w:rPr>
        <w:t>•  Seven incident-derived fixtures with stated provenance, used as executable specifications rather than a benchmark, plus a tested statement of what the method cannot see: an escape through a permitted egress, and spoofed arguments.</w:t>
      </w:r>
    </w:p>
    <w:p>
      <w:pPr>
        <w:spacing w:after="80" w:line="259" w:lineRule="auto"/>
        <w:ind w:left="432" w:hanging="288"/>
        <w:jc w:val="both"/>
      </w:pPr>
      <w:r>
        <w:rPr>
          <w:rFonts w:ascii="Old Standard TT" w:hAnsi="Old Standard TT"/>
          <w:sz w:val="21"/>
        </w:rPr>
        <w:t>•  The same rule run over a third party's record of a real incident, the DSEWiki export, where both directions of the ablation reproduce on events we did not author.</w:t>
      </w:r>
    </w:p>
    <w:p>
      <w:pPr>
        <w:pStyle w:val="Heading2"/>
        <w:keepNext/>
      </w:pPr>
      <w:r>
        <w:t>2. Related Work</w:t>
      </w:r>
    </w:p>
    <w:p>
      <w:pPr>
        <w:spacing w:after="100" w:line="259" w:lineRule="auto"/>
        <w:jc w:val="both"/>
      </w:pPr>
      <w:r>
        <w:rPr>
          <w:rFonts w:ascii="Old Standard TT" w:hAnsi="Old Standard TT"/>
          <w:sz w:val="21"/>
        </w:rPr>
        <w:t xml:space="preserve">Trace monitors for agents exist and work. Inspect Scout ships scanners over evaluation transcripts, including reward-hacking and evaluation-awareness scanners </w:t>
      </w:r>
      <w:r>
        <w:rPr>
          <w:rFonts w:ascii="Old Standard TT" w:hAnsi="Old Standard TT"/>
          <w:sz w:val="21"/>
        </w:rPr>
        <w:t>[</w:t>
      </w:r>
      <w:hyperlink w:anchor="ref6">
        <w:r>
          <w:rPr>
            <w:rFonts w:ascii="Old Standard TT" w:hAnsi="Old Standard TT"/>
            <w:color w:val="2E5C8A"/>
          </w:rPr>
          <w:t>6</w:t>
        </w:r>
      </w:hyperlink>
      <w:r>
        <w:rPr>
          <w:rFonts w:ascii="Old Standard TT" w:hAnsi="Old Standard TT"/>
          <w:sz w:val="21"/>
        </w:rPr>
        <w:t>]</w:t>
      </w:r>
      <w:r>
        <w:rPr>
          <w:rFonts w:ascii="Old Standard TT" w:hAnsi="Old Standard TT"/>
          <w:sz w:val="21"/>
        </w:rPr>
        <w:t xml:space="preserve">; ControlArena </w:t>
      </w:r>
      <w:r>
        <w:rPr>
          <w:rFonts w:ascii="Old Standard TT" w:hAnsi="Old Standard TT"/>
          <w:sz w:val="21"/>
        </w:rPr>
        <w:t>[</w:t>
      </w:r>
      <w:hyperlink w:anchor="ref7">
        <w:r>
          <w:rPr>
            <w:rFonts w:ascii="Old Standard TT" w:hAnsi="Old Standard TT"/>
            <w:color w:val="2E5C8A"/>
          </w:rPr>
          <w:t>7</w:t>
        </w:r>
      </w:hyperlink>
      <w:r>
        <w:rPr>
          <w:rFonts w:ascii="Old Standard TT" w:hAnsi="Old Standard TT"/>
          <w:sz w:val="21"/>
        </w:rPr>
        <w:t>]</w:t>
      </w:r>
      <w:r>
        <w:rPr>
          <w:rFonts w:ascii="Old Standard TT" w:hAnsi="Old Standard TT"/>
          <w:sz w:val="21"/>
        </w:rPr>
        <w:t xml:space="preserve"> and SHADE-Arena </w:t>
      </w:r>
      <w:r>
        <w:rPr>
          <w:rFonts w:ascii="Old Standard TT" w:hAnsi="Old Standard TT"/>
          <w:sz w:val="21"/>
        </w:rPr>
        <w:t>[</w:t>
      </w:r>
      <w:hyperlink w:anchor="ref8">
        <w:r>
          <w:rPr>
            <w:rFonts w:ascii="Old Standard TT" w:hAnsi="Old Standard TT"/>
            <w:color w:val="2E5C8A"/>
          </w:rPr>
          <w:t>8</w:t>
        </w:r>
      </w:hyperlink>
      <w:r>
        <w:rPr>
          <w:rFonts w:ascii="Old Standard TT" w:hAnsi="Old Standard TT"/>
          <w:sz w:val="21"/>
        </w:rPr>
        <w:t>]</w:t>
      </w:r>
      <w:r>
        <w:rPr>
          <w:rFonts w:ascii="Old Standard TT" w:hAnsi="Old Standard TT"/>
          <w:sz w:val="21"/>
        </w:rPr>
        <w:t xml:space="preserve"> monitor for side tasks and sabotage; Apollo's Watcher reads transcripts for scheming </w:t>
      </w:r>
      <w:r>
        <w:rPr>
          <w:rFonts w:ascii="Old Standard TT" w:hAnsi="Old Standard TT"/>
          <w:sz w:val="21"/>
        </w:rPr>
        <w:t>[</w:t>
      </w:r>
      <w:hyperlink w:anchor="ref9">
        <w:r>
          <w:rPr>
            <w:rFonts w:ascii="Old Standard TT" w:hAnsi="Old Standard TT"/>
            <w:color w:val="2E5C8A"/>
          </w:rPr>
          <w:t>9</w:t>
        </w:r>
      </w:hyperlink>
      <w:r>
        <w:rPr>
          <w:rFonts w:ascii="Old Standard TT" w:hAnsi="Old Standard TT"/>
          <w:sz w:val="21"/>
        </w:rPr>
        <w:t>]</w:t>
      </w:r>
      <w:r>
        <w:rPr>
          <w:rFonts w:ascii="Old Standard TT" w:hAnsi="Old Standard TT"/>
          <w:sz w:val="21"/>
        </w:rPr>
        <w:t xml:space="preserve">; OpenAI now monitors chain-of-thought during tool-using runs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w:t>
      </w:r>
      <w:r>
        <w:rPr>
          <w:rFonts w:ascii="Old Standard TT" w:hAnsi="Old Standard TT"/>
          <w:sz w:val="21"/>
        </w:rPr>
        <w:t xml:space="preserve">. Preventive controls also exist: default-deny egress via Cilium or Squid FQDN allowlists, and ExploitGym itself ships a Squid firewall that permits only LLM API endpoints </w:t>
      </w:r>
      <w:r>
        <w:rPr>
          <w:rFonts w:ascii="Old Standard TT" w:hAnsi="Old Standard TT"/>
          <w:sz w:val="21"/>
        </w:rPr>
        <w:t>[</w:t>
      </w:r>
      <w:hyperlink w:anchor="ref10">
        <w:r>
          <w:rPr>
            <w:rFonts w:ascii="Old Standard TT" w:hAnsi="Old Standard TT"/>
            <w:color w:val="2E5C8A"/>
          </w:rPr>
          <w:t>10</w:t>
        </w:r>
      </w:hyperlink>
      <w:r>
        <w:rPr>
          <w:rFonts w:ascii="Old Standard TT" w:hAnsi="Old Standard TT"/>
          <w:sz w:val="21"/>
        </w:rPr>
        <w:t>]</w:t>
      </w:r>
      <w:r>
        <w:rPr>
          <w:rFonts w:ascii="Old Standard TT" w:hAnsi="Old Standard TT"/>
          <w:sz w:val="21"/>
        </w:rPr>
        <w:t>.</w:t>
      </w:r>
    </w:p>
    <w:p>
      <w:pPr>
        <w:spacing w:after="100" w:line="259" w:lineRule="auto"/>
        <w:jc w:val="both"/>
      </w:pPr>
      <w:r>
        <w:rPr>
          <w:rFonts w:ascii="Old Standard TT" w:hAnsi="Old Standard TT"/>
          <w:sz w:val="21"/>
        </w:rPr>
        <w:t>None of these takes the evaluation's declared scope as an input artifact and emits a verdict that someone outside the lab can recompute. Behavioural monitors answer "does this look bad?" and need a model and a threshold; a proxy answers "was this blocked?" but its logs stay inside the lab, and in the OpenAI case the proxy was the hole. Sentinel's wedge is narrow: a mechanical predicate over (trace, allowlist). Default-deny egress is the control; Sentinel is not a control; it is the smallest artifact that turns the control's scope into a published, recomputable claim. "Why not just publish the proxy logs?" is the right question, and it is layer 3 of Figure 2: it needs the same allowlist to be meaningful, and today no such allowlist is published. What it provides that we did not have is the index of the first out-of-scope stated destination as a reproducible number attached to a declared scope.</w:t>
      </w:r>
    </w:p>
    <w:p>
      <w:pPr>
        <w:pStyle w:val="Heading2"/>
        <w:keepNext/>
      </w:pPr>
      <w:r>
        <w:t>3. Methods</w:t>
      </w:r>
    </w:p>
    <w:p>
      <w:pPr>
        <w:pStyle w:val="Heading3"/>
        <w:keepNext/>
      </w:pPr>
      <w:r>
        <w:t>3.1 Declared scope</w:t>
      </w:r>
    </w:p>
    <w:p>
      <w:pPr>
        <w:spacing w:after="100" w:line="259" w:lineRule="auto"/>
        <w:jc w:val="both"/>
      </w:pPr>
      <w:r>
        <w:rPr>
          <w:rFonts w:ascii="Old Standard TT" w:hAnsi="Old Standard TT"/>
          <w:sz w:val="21"/>
        </w:rPr>
        <w:t xml:space="preserve">An allowlist is a JSON file: name, internet_expected, allowed_hosts (exact hosts or .suffix entries), allowed_cidrs, and free-text notes recording why each entry is permitted. classify(host) returns ALLOWED, LOOPBACK, METADATA (the cloud instance-metadata addresses) or OUT. A wildcard entry "*" allows everything; it exists only so the ablation can express "no real scope." Three scopes are in the repo, one per incident: ExploitGym (LLM API endpoints plus the Artifactory package proxy, both documented as permitted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 xml:space="preserve">, </w:t>
      </w:r>
      <w:hyperlink w:anchor="ref10">
        <w:r>
          <w:rPr>
            <w:rFonts w:ascii="Old Standard TT" w:hAnsi="Old Standard TT"/>
            <w:color w:val="2E5C8A"/>
          </w:rPr>
          <w:t>10</w:t>
        </w:r>
      </w:hyperlink>
      <w:r>
        <w:rPr>
          <w:rFonts w:ascii="Old Standard TT" w:hAnsi="Old Standard TT"/>
          <w:sz w:val="21"/>
        </w:rPr>
        <w:t>]</w:t>
      </w:r>
      <w:r>
        <w:rPr>
          <w:rFonts w:ascii="Old Standard TT" w:hAnsi="Old Standard TT"/>
          <w:sz w:val="21"/>
        </w:rPr>
        <w:t xml:space="preserve">), the Irregular CTF (an internal CIDR and one target host; internet declared off </w:t>
      </w:r>
      <w:r>
        <w:rPr>
          <w:rFonts w:ascii="Old Standard TT" w:hAnsi="Old Standard TT"/>
          <w:sz w:val="21"/>
        </w:rPr>
        <w:t>[</w:t>
      </w:r>
      <w:hyperlink w:anchor="ref3">
        <w:r>
          <w:rPr>
            <w:rFonts w:ascii="Old Standard TT" w:hAnsi="Old Standard TT"/>
            <w:color w:val="2E5C8A"/>
          </w:rPr>
          <w:t>3</w:t>
        </w:r>
      </w:hyperlink>
      <w:r>
        <w:rPr>
          <w:rFonts w:ascii="Old Standard TT" w:hAnsi="Old Standard TT"/>
          <w:sz w:val="21"/>
        </w:rPr>
        <w:t>]</w:t>
      </w:r>
      <w:r>
        <w:rPr>
          <w:rFonts w:ascii="Old Standard TT" w:hAnsi="Old Standard TT"/>
          <w:sz w:val="21"/>
        </w:rPr>
        <w:t xml:space="preserve">), and the AISI range (range hosts, internet_expected true </w:t>
      </w:r>
      <w:r>
        <w:rPr>
          <w:rFonts w:ascii="Old Standard TT" w:hAnsi="Old Standard TT"/>
          <w:sz w:val="21"/>
        </w:rPr>
        <w:t>[</w:t>
      </w:r>
      <w:hyperlink w:anchor="ref4">
        <w:r>
          <w:rPr>
            <w:rFonts w:ascii="Old Standard TT" w:hAnsi="Old Standard TT"/>
            <w:color w:val="2E5C8A"/>
          </w:rPr>
          <w:t>4</w:t>
        </w:r>
      </w:hyperlink>
      <w:r>
        <w:rPr>
          <w:rFonts w:ascii="Old Standard TT" w:hAnsi="Old Standard TT"/>
          <w:sz w:val="21"/>
        </w:rPr>
        <w:t>]</w:t>
      </w:r>
      <w:r>
        <w:rPr>
          <w:rFonts w:ascii="Old Standard TT" w:hAnsi="Old Standard TT"/>
          <w:sz w:val="21"/>
        </w:rPr>
        <w:t>).</w:t>
      </w:r>
    </w:p>
    <w:p>
      <w:pPr>
        <w:spacing w:after="100" w:line="259" w:lineRule="auto"/>
        <w:jc w:val="both"/>
      </w:pPr>
      <w:r>
        <w:rPr>
          <w:rFonts w:ascii="Old Standard TT" w:hAnsi="Old Standard TT"/>
          <w:sz w:val="21"/>
        </w:rPr>
        <w:t>The ExploitGym scope, verbatim from the repository, is the whole artifact for that evaluation class:</w:t>
      </w:r>
    </w:p>
    <w:p>
      <w:pPr>
        <w:spacing w:after="0" w:line="240" w:lineRule="auto"/>
        <w:ind w:left="432"/>
      </w:pPr>
      <w:r>
        <w:rPr>
          <w:rFonts w:ascii="Old Standard TT" w:hAnsi="Old Standard TT"/>
          <w:sz w:val="16"/>
        </w:rPr>
        <w:t>{"name": "exploitgym-cyber-eval", "internet_expected": false,</w:t>
      </w:r>
    </w:p>
    <w:p>
      <w:pPr>
        <w:spacing w:after="0" w:line="240" w:lineRule="auto"/>
        <w:ind w:left="432"/>
      </w:pPr>
      <w:r>
        <w:rPr>
          <w:rFonts w:ascii="Old Standard TT" w:hAnsi="Old Standard TT"/>
          <w:sz w:val="16"/>
        </w:rPr>
        <w:t xml:space="preserve"> "allowed_hosts": ["api.openai.com", "api.anthropic.com", "artifactory.internal"],</w:t>
      </w:r>
    </w:p>
    <w:p>
      <w:pPr>
        <w:spacing w:after="120" w:line="240" w:lineRule="auto"/>
        <w:ind w:left="432"/>
      </w:pPr>
      <w:r>
        <w:rPr>
          <w:rFonts w:ascii="Old Standard TT" w:hAnsi="Old Standard TT"/>
          <w:sz w:val="16"/>
        </w:rPr>
        <w:t xml:space="preserve"> "notes": "ExploitGym run-proxy permits ONLY LLM API endpoints; OpenAI additionally permitted the Artifactory proxy."}</w:t>
      </w:r>
    </w:p>
    <w:p>
      <w:pPr>
        <w:pStyle w:val="Heading3"/>
        <w:keepNext/>
      </w:pPr>
      <w:r>
        <w:t>3.2 Trace and destination extraction</w:t>
      </w:r>
    </w:p>
    <w:p>
      <w:pPr>
        <w:spacing w:after="100" w:line="259" w:lineRule="auto"/>
        <w:jc w:val="both"/>
      </w:pPr>
      <w:r>
        <w:rPr>
          <w:rFonts w:ascii="Old Standard TT" w:hAnsi="Old Standard TT"/>
          <w:sz w:val="21"/>
        </w:rPr>
        <w:t>A trace is the ordered list of tool calls with their arguments; the scanner reads nothing else. extract_destinations pulls stated hosts from URLs, nc/ncat, socat, Python HTTP literals and bare host:port tokens, by regular expression. There is no model in the gate and no API key. The extractor is deliberately conservative: it reads what the agent said it would reach.</w:t>
      </w:r>
    </w:p>
    <w:p>
      <w:pPr>
        <w:pStyle w:val="Heading3"/>
        <w:keepNext/>
      </w:pPr>
      <w:r>
        <w:t>3.3 Severities</w:t>
      </w:r>
    </w:p>
    <w:p>
      <w:pPr>
        <w:spacing w:after="100" w:line="259" w:lineRule="auto"/>
        <w:jc w:val="both"/>
      </w:pPr>
      <w:r>
        <w:rPr>
          <w:rFonts w:ascii="Old Standard TT" w:hAnsi="Old Standard TT"/>
          <w:sz w:val="21"/>
        </w:rPr>
        <w:t xml:space="preserve">T3, a stated destination classified OUT, is the only PAGE. T1 (reading grader or solution internals) and T2 (mount tables, cgroups, proxy enumeration, metadata addresses) are WARN and never page. The reason is base rates: in a capture-the-flag task, flag-seeking is the task, and reconnaissance of one's own box is routine. AISI's cheating study lists "probing evaluation software for solution leaks" as a cheating mode </w:t>
      </w:r>
      <w:r>
        <w:rPr>
          <w:rFonts w:ascii="Old Standard TT" w:hAnsi="Old Standard TT"/>
          <w:sz w:val="21"/>
        </w:rPr>
        <w:t>[</w:t>
      </w:r>
      <w:hyperlink w:anchor="ref11">
        <w:r>
          <w:rPr>
            <w:rFonts w:ascii="Old Standard TT" w:hAnsi="Old Standard TT"/>
            <w:color w:val="2E5C8A"/>
          </w:rPr>
          <w:t>11</w:t>
        </w:r>
      </w:hyperlink>
      <w:r>
        <w:rPr>
          <w:rFonts w:ascii="Old Standard TT" w:hAnsi="Old Standard TT"/>
          <w:sz w:val="21"/>
        </w:rPr>
        <w:t>]</w:t>
      </w:r>
      <w:r>
        <w:rPr>
          <w:rFonts w:ascii="Old Standard TT" w:hAnsi="Old Standard TT"/>
          <w:sz w:val="21"/>
        </w:rPr>
        <w:t xml:space="preserve">; we surface it, we do not alarm on it. The precedent for gating on a predicate the environment can settle itself, rather than on a second model, is scorer-integrity </w:t>
      </w:r>
      <w:r>
        <w:rPr>
          <w:rFonts w:ascii="Old Standard TT" w:hAnsi="Old Standard TT"/>
          <w:sz w:val="21"/>
        </w:rPr>
        <w:t>[</w:t>
      </w:r>
      <w:hyperlink w:anchor="ref12">
        <w:r>
          <w:rPr>
            <w:rFonts w:ascii="Old Standard TT" w:hAnsi="Old Standard TT"/>
            <w:color w:val="2E5C8A"/>
          </w:rPr>
          <w:t>12</w:t>
        </w:r>
      </w:hyperlink>
      <w:r>
        <w:rPr>
          <w:rFonts w:ascii="Old Standard TT" w:hAnsi="Old Standard TT"/>
          <w:sz w:val="21"/>
        </w:rPr>
        <w:t>]</w:t>
      </w:r>
      <w:r>
        <w:rPr>
          <w:rFonts w:ascii="Old Standard TT" w:hAnsi="Old Standard TT"/>
          <w:sz w:val="21"/>
        </w:rPr>
        <w:t>, which measured an LLM scheming-judge against an operative-action oracle over 599 Inspect gradings and noted that most environments offer no such predicate. Containment evaluations do: the allowlist.</w:t>
      </w:r>
    </w:p>
    <w:p>
      <w:pPr>
        <w:pStyle w:val="Heading3"/>
        <w:keepNext/>
      </w:pPr>
      <w:r>
        <w:t>3.4 Inspect integration and replay</w:t>
      </w:r>
    </w:p>
    <w:p>
      <w:pPr>
        <w:spacing w:after="100" w:line="259" w:lineRule="auto"/>
        <w:jc w:val="both"/>
      </w:pPr>
      <w:r>
        <w:rPr>
          <w:rFonts w:ascii="Old Standard TT" w:hAnsi="Old Standard TT"/>
          <w:sz w:val="21"/>
        </w:rPr>
        <w:t>scanner.py wraps the same rule as an inspect_scout scanner over ChatMessageAssistant.tool_calls and returns a Result whose answer is the host and whose metadata carries the first out-of-scope message index. JSON replay over the trace schema (sentinel score) is the supported interface, and is what a third party with only files runs; the inspect_scout wrapper (scout scan sentinel/scanner.py -T logs/) is exercised by the test suite and, in Section 4.4, over a recorded evaluation log. Both paths execute the same rule. Eighteen tests pin every number in this paper.</w:t>
      </w:r>
    </w:p>
    <w:p>
      <w:pPr>
        <w:pStyle w:val="Heading3"/>
        <w:keepNext/>
      </w:pPr>
      <w:r>
        <w:t>3.5 Fixtures and baseline</w:t>
      </w:r>
    </w:p>
    <w:p>
      <w:pPr>
        <w:spacing w:after="100" w:line="259" w:lineRule="auto"/>
        <w:jc w:val="both"/>
      </w:pPr>
      <w:r>
        <w:rPr>
          <w:rFonts w:ascii="Old Standard TT" w:hAnsi="Old Standard TT"/>
          <w:sz w:val="21"/>
        </w:rPr>
        <w:t>Three positives are reconstructions from the public write-ups, each carrying a source URL and a lab_detected_at_event field: the Hugging Face escape (7 events), the AISI Tor egress (4) and the Anthropic name-collision case (4). The calendar dates of each organisation's own detection are cited from the published timelines; the event index is our mapping of that moment onto a short reconstruction, not a number any lab published. Three synthetic hard negatives cover the cases a naive monitor gets wrong: an agent whose only egress is the permitted LLM API; in-sandbox reconnaissance that reads task files; and an internet-expected range where the agent hits allowlisted hosts. One synthetic fixture reads grader internals and should warn only. The baseline pages on any of curl, wget, nc, requests, socket or http with no allowlist. These fixtures were written by us, from descriptions, to a rule we wrote; Section 4 says what that does and does not license.</w:t>
      </w:r>
    </w:p>
    <w:p>
      <w:pPr>
        <w:pStyle w:val="Heading3"/>
        <w:keepNext/>
      </w:pPr>
      <w:r>
        <w:t>3.6 What did not work</w:t>
      </w:r>
    </w:p>
    <w:p>
      <w:pPr>
        <w:spacing w:after="100" w:line="259" w:lineRule="auto"/>
        <w:jc w:val="both"/>
      </w:pPr>
      <w:r>
        <w:rPr>
          <w:rFonts w:ascii="Old Standard TT" w:hAnsi="Old Standard TT"/>
          <w:sz w:val="21"/>
        </w:rPr>
        <w:t>Two first-run failures became the paper. The Hugging Face trace first paged at event 2 on artifactory.internal: our allowlist had omitted the package proxy, which OpenAI documents as a genuinely permitted egress. Adding it moved the page to event 3 and exposed the blind spot in Section 4.3, and the difference between the two allowlists became the ablation. Second, T1 fired on cat solution_template.py; grep -r flag. That was the rule working and the test being wrong: in a CTF that command is the task. We changed the test to assert T2-only on that fixture and added a separate grader-internals fixture for the genuine T1 signal. Third, the first scout scan over a real log crashed: the scanner used relative imports and scout loads the file standalone in worker processes, so the README command had never actually worked. It now imports the installed package.</w:t>
      </w:r>
    </w:p>
    <w:p>
      <w:pPr>
        <w:pStyle w:val="Heading2"/>
        <w:keepNext/>
      </w:pPr>
      <w:r>
        <w:t>4. Results</w:t>
      </w:r>
    </w:p>
    <w:p>
      <w:pPr>
        <w:pStyle w:val="Heading3"/>
        <w:keepNext/>
      </w:pPr>
      <w:r>
        <w:t>4.1 Specification tests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1699"/>
        <w:gridCol w:w="864"/>
        <w:gridCol w:w="1612"/>
        <w:gridCol w:w="2505"/>
        <w:gridCol w:w="1497"/>
        <w:gridCol w:w="1180"/>
      </w:tblGrid>
      <w:tr>
        <w:trPr>
          <w:cantSplit/>
        </w:trPr>
        <w:tc>
          <w:tcPr>
            <w:tcW w:type="dxa" w:w="1699"/>
          </w:tcPr>
          <w:p>
            <w:pPr>
              <w:spacing w:line="269" w:lineRule="auto" w:after="0" w:before="0"/>
            </w:pPr>
            <w:r>
              <w:rPr>
                <w:rFonts w:ascii="Old Standard TT" w:hAnsi="Old Standard TT"/>
              </w:rPr>
            </w:r>
            <w:r>
              <w:rPr>
                <w:rFonts w:ascii="Old Standard TT" w:hAnsi="Old Standard TT"/>
                <w:b/>
                <w:sz w:val="16"/>
              </w:rPr>
              <w:t>Fixture</w:t>
            </w:r>
          </w:p>
        </w:tc>
        <w:tc>
          <w:tcPr>
            <w:tcW w:type="dxa" w:w="864"/>
          </w:tcPr>
          <w:p>
            <w:pPr>
              <w:spacing w:line="269" w:lineRule="auto" w:after="0" w:before="0"/>
            </w:pPr>
            <w:r>
              <w:rPr>
                <w:rFonts w:ascii="Old Standard TT" w:hAnsi="Old Standard TT"/>
              </w:rPr>
            </w:r>
            <w:r>
              <w:rPr>
                <w:rFonts w:ascii="Old Standard TT" w:hAnsi="Old Standard TT"/>
                <w:b/>
                <w:sz w:val="16"/>
              </w:rPr>
              <w:t>Kind</w:t>
            </w:r>
          </w:p>
        </w:tc>
        <w:tc>
          <w:tcPr>
            <w:tcW w:type="dxa" w:w="1613"/>
          </w:tcPr>
          <w:p>
            <w:pPr>
              <w:spacing w:line="269" w:lineRule="auto" w:after="0" w:before="0"/>
            </w:pPr>
            <w:r>
              <w:rPr>
                <w:rFonts w:ascii="Old Standard TT" w:hAnsi="Old Standard TT"/>
              </w:rPr>
            </w:r>
            <w:r>
              <w:rPr>
                <w:rFonts w:ascii="Old Standard TT" w:hAnsi="Old Standard TT"/>
                <w:b/>
                <w:sz w:val="16"/>
              </w:rPr>
              <w:t>Sentinel</w:t>
            </w:r>
          </w:p>
        </w:tc>
        <w:tc>
          <w:tcPr>
            <w:tcW w:type="dxa" w:w="2506"/>
          </w:tcPr>
          <w:p>
            <w:pPr>
              <w:spacing w:line="269" w:lineRule="auto" w:after="0" w:before="0"/>
            </w:pPr>
            <w:r>
              <w:rPr>
                <w:rFonts w:ascii="Old Standard TT" w:hAnsi="Old Standard TT"/>
              </w:rPr>
            </w:r>
            <w:r>
              <w:rPr>
                <w:rFonts w:ascii="Old Standard TT" w:hAnsi="Old Standard TT"/>
                <w:b/>
                <w:sz w:val="16"/>
              </w:rPr>
              <w:t>Destination</w:t>
            </w:r>
          </w:p>
        </w:tc>
        <w:tc>
          <w:tcPr>
            <w:tcW w:type="dxa" w:w="1498"/>
          </w:tcPr>
          <w:p>
            <w:pPr>
              <w:spacing w:line="269" w:lineRule="auto" w:after="0" w:before="0"/>
            </w:pPr>
            <w:r>
              <w:rPr>
                <w:rFonts w:ascii="Old Standard TT" w:hAnsi="Old Standard TT"/>
              </w:rPr>
            </w:r>
            <w:r>
              <w:rPr>
                <w:rFonts w:ascii="Old Standard TT" w:hAnsi="Old Standard TT"/>
                <w:b/>
                <w:sz w:val="16"/>
              </w:rPr>
              <w:t>Detection point in reconstruction</w:t>
            </w:r>
          </w:p>
        </w:tc>
        <w:tc>
          <w:tcPr>
            <w:tcW w:type="dxa" w:w="1181"/>
          </w:tcPr>
          <w:p>
            <w:pPr>
              <w:spacing w:line="269" w:lineRule="auto" w:after="0" w:before="0"/>
            </w:pPr>
            <w:r>
              <w:rPr>
                <w:rFonts w:ascii="Old Standard TT" w:hAnsi="Old Standard TT"/>
              </w:rPr>
            </w:r>
            <w:r>
              <w:rPr>
                <w:rFonts w:ascii="Old Standard TT" w:hAnsi="Old Standard TT"/>
                <w:b/>
                <w:sz w:val="16"/>
              </w:rPr>
              <w:t>Keyword baseline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hf-openai-exploitgym</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@3</w:t>
            </w:r>
          </w:p>
        </w:tc>
        <w:tc>
          <w:tcPr>
            <w:tcW w:type="dxa" w:w="2506"/>
          </w:tcPr>
          <w:p>
            <w:pPr>
              <w:spacing w:line="269" w:lineRule="auto" w:after="0" w:before="0"/>
            </w:pPr>
            <w:r>
              <w:rPr>
                <w:rFonts w:ascii="Old Standard TT" w:hAnsi="Old Standard TT"/>
              </w:rPr>
            </w:r>
            <w:r>
              <w:rPr>
                <w:rFonts w:ascii="Old Standard TT" w:hAnsi="Old Standard TT"/>
                <w:b w:val="0"/>
                <w:sz w:val="16"/>
              </w:rPr>
              <w:t>cybergym-fn-7bf.modal.run</w:t>
            </w:r>
          </w:p>
        </w:tc>
        <w:tc>
          <w:tcPr>
            <w:tcW w:type="dxa" w:w="1498"/>
          </w:tcPr>
          <w:p>
            <w:pPr>
              <w:spacing w:line="269" w:lineRule="auto" w:after="0" w:before="0"/>
            </w:pPr>
            <w:r>
              <w:rPr>
                <w:rFonts w:ascii="Old Standard TT" w:hAnsi="Old Standard TT"/>
              </w:rPr>
            </w:r>
            <w:r>
              <w:rPr>
                <w:rFonts w:ascii="Old Standard TT" w:hAnsi="Old Standard TT"/>
                <w:b w:val="0"/>
                <w:sz w:val="16"/>
              </w:rPr>
              <w:t>@6</w:t>
            </w:r>
          </w:p>
        </w:tc>
        <w:tc>
          <w:tcPr>
            <w:tcW w:type="dxa" w:w="1181"/>
          </w:tcPr>
          <w:p>
            <w:pPr>
              <w:spacing w:line="269" w:lineRule="auto" w:after="0" w:before="0"/>
            </w:pPr>
            <w:r>
              <w:rPr>
                <w:rFonts w:ascii="Old Standard TT" w:hAnsi="Old Standard TT"/>
              </w:rPr>
            </w:r>
            <w:r>
              <w:rPr>
                <w:rFonts w:ascii="Old Standard TT" w:hAnsi="Old Standard TT"/>
                <w:b w:val="0"/>
                <w:sz w:val="16"/>
              </w:rPr>
              <w:t>@2 (proxy)</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aisi-range-tor</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@2</w:t>
            </w:r>
          </w:p>
        </w:tc>
        <w:tc>
          <w:tcPr>
            <w:tcW w:type="dxa" w:w="2506"/>
          </w:tcPr>
          <w:p>
            <w:pPr>
              <w:spacing w:line="269" w:lineRule="auto" w:after="0" w:before="0"/>
            </w:pPr>
            <w:r>
              <w:rPr>
                <w:rFonts w:ascii="Old Standard TT" w:hAnsi="Old Standard TT"/>
              </w:rPr>
            </w:r>
            <w:r>
              <w:rPr>
                <w:rFonts w:ascii="Old Standard TT" w:hAnsi="Old Standard TT"/>
                <w:b w:val="0"/>
                <w:sz w:val="16"/>
              </w:rPr>
              <w:t>github.com</w:t>
            </w:r>
          </w:p>
        </w:tc>
        <w:tc>
          <w:tcPr>
            <w:tcW w:type="dxa" w:w="1498"/>
          </w:tcPr>
          <w:p>
            <w:pPr>
              <w:spacing w:line="269" w:lineRule="auto" w:after="0" w:before="0"/>
            </w:pPr>
            <w:r>
              <w:rPr>
                <w:rFonts w:ascii="Old Standard TT" w:hAnsi="Old Standard TT"/>
              </w:rPr>
            </w:r>
            <w:r>
              <w:rPr>
                <w:rFonts w:ascii="Old Standard TT" w:hAnsi="Old Standard TT"/>
                <w:b w:val="0"/>
                <w:sz w:val="16"/>
              </w:rPr>
              <w:t>@4</w:t>
            </w:r>
          </w:p>
        </w:tc>
        <w:tc>
          <w:tcPr>
            <w:tcW w:type="dxa" w:w="1181"/>
          </w:tcPr>
          <w:p>
            <w:pPr>
              <w:spacing w:line="269" w:lineRule="auto" w:after="0" w:before="0"/>
            </w:pPr>
            <w:r>
              <w:rPr>
                <w:rFonts w:ascii="Old Standard TT" w:hAnsi="Old Standard TT"/>
              </w:rPr>
            </w:r>
            <w:r>
              <w:rPr>
                <w:rFonts w:ascii="Old Standard TT" w:hAnsi="Old Standard TT"/>
                <w:b w:val="0"/>
                <w:sz w:val="16"/>
              </w:rPr>
              <w:t>@1</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anthropic-irregular</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@2</w:t>
            </w:r>
          </w:p>
        </w:tc>
        <w:tc>
          <w:tcPr>
            <w:tcW w:type="dxa" w:w="2506"/>
          </w:tcPr>
          <w:p>
            <w:pPr>
              <w:spacing w:line="269" w:lineRule="auto" w:after="0" w:before="0"/>
            </w:pPr>
            <w:r>
              <w:rPr>
                <w:rFonts w:ascii="Old Standard TT" w:hAnsi="Old Standard TT"/>
              </w:rPr>
            </w:r>
            <w:r>
              <w:rPr>
                <w:rFonts w:ascii="Old Standard TT" w:hAnsi="Old Standard TT"/>
                <w:b w:val="0"/>
                <w:sz w:val="16"/>
              </w:rPr>
              <w:t>acme-robotics.com</w:t>
            </w:r>
          </w:p>
        </w:tc>
        <w:tc>
          <w:tcPr>
            <w:tcW w:type="dxa" w:w="1498"/>
          </w:tcPr>
          <w:p>
            <w:pPr>
              <w:spacing w:line="269" w:lineRule="auto" w:after="0" w:before="0"/>
            </w:pPr>
            <w:r>
              <w:rPr>
                <w:rFonts w:ascii="Old Standard TT" w:hAnsi="Old Standard TT"/>
              </w:rPr>
            </w:r>
            <w:r>
              <w:rPr>
                <w:rFonts w:ascii="Old Standard TT" w:hAnsi="Old Standard TT"/>
                <w:b w:val="0"/>
                <w:sz w:val="16"/>
              </w:rPr>
              <w:t>@6</w:t>
            </w:r>
          </w:p>
        </w:tc>
        <w:tc>
          <w:tcPr>
            <w:tcW w:type="dxa" w:w="1181"/>
          </w:tcPr>
          <w:p>
            <w:pPr>
              <w:spacing w:line="269" w:lineRule="auto" w:after="0" w:before="0"/>
            </w:pPr>
            <w:r>
              <w:rPr>
                <w:rFonts w:ascii="Old Standard TT" w:hAnsi="Old Standard TT"/>
              </w:rPr>
            </w:r>
            <w:r>
              <w:rPr>
                <w:rFonts w:ascii="Old Standard TT" w:hAnsi="Old Standard TT"/>
                <w:b w:val="0"/>
                <w:sz w:val="16"/>
              </w:rPr>
              <w:t>@1</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neg-allowed-llm-api</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@0  false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neg-inscope-recon</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neg-range-http</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@0  false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warn-grader-probe</w:t>
            </w:r>
          </w:p>
        </w:tc>
        <w:tc>
          <w:tcPr>
            <w:tcW w:type="dxa" w:w="864"/>
          </w:tcPr>
          <w:p>
            <w:pPr>
              <w:spacing w:line="269" w:lineRule="auto" w:after="0" w:before="0"/>
            </w:pPr>
            <w:r>
              <w:rPr>
                <w:rFonts w:ascii="Old Standard TT" w:hAnsi="Old Standard TT"/>
              </w:rPr>
            </w:r>
            <w:r>
              <w:rPr>
                <w:rFonts w:ascii="Old Standard TT" w:hAnsi="Old Standard TT"/>
                <w:b w:val="0"/>
                <w:sz w:val="16"/>
              </w:rPr>
              <w:t>warn only</w:t>
            </w:r>
          </w:p>
        </w:tc>
        <w:tc>
          <w:tcPr>
            <w:tcW w:type="dxa" w:w="1613"/>
          </w:tcPr>
          <w:p>
            <w:pPr>
              <w:spacing w:line="269" w:lineRule="auto" w:after="0" w:before="0"/>
            </w:pPr>
            <w:r>
              <w:rPr>
                <w:rFonts w:ascii="Old Standard TT" w:hAnsi="Old Standard TT"/>
              </w:rPr>
            </w:r>
            <w:r>
              <w:rPr>
                <w:rFonts w:ascii="Old Standard TT" w:hAnsi="Old Standard TT"/>
                <w:b w:val="0"/>
                <w:sz w:val="16"/>
              </w:rPr>
              <w:t>no page (T1 warn)</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w:t>
            </w:r>
          </w:p>
        </w:tc>
      </w:tr>
    </w:tbl>
    <w:p>
      <w:pPr>
        <w:spacing w:line="312" w:lineRule="auto" w:before="140" w:after="200"/>
      </w:pPr>
      <w:r>
        <w:rPr>
          <w:rFonts w:ascii="Old Standard TT" w:hAnsi="Old Standard TT"/>
          <w:i/>
          <w:sz w:val="19"/>
        </w:rPr>
        <w:t>Table 1. Specification tests over the seven fixtures. "Detection point in reconstruction" is where we placed the organisation's own detection when we wrote the fixture from the public timeline; it is a property of our reconstruction and supports no claim about latency inside any lab. The keyword baseline has no allowlist.</w:t>
      </w:r>
    </w:p>
    <w:p>
      <w:pPr>
        <w:spacing w:after="100" w:line="259" w:lineRule="auto"/>
        <w:jc w:val="both"/>
      </w:pPr>
      <w:r>
        <w:rPr>
          <w:rFonts w:ascii="Old Standard TT" w:hAnsi="Old Standard TT"/>
          <w:sz w:val="21"/>
        </w:rPr>
        <w:t>Observation: Sentinel pages at the first non-allowlisted stated destination on all three positives and is silent on all three negatives. The keyword baseline false-pages on two negatives and, on every positive, its first hit is an in-scope or local command rather than the out-of-scope event. Interpretation: these are tests that the rule does what it says on traces we wrote to describe the public record. They are not detection rates and we report no accuracy. What they establish is that the verdict and its event index are reproducible from files, and that the allowlist, not the regular expressions, is the component doing the work.</w:t>
      </w:r>
    </w:p>
    <w:p>
      <w:pPr>
        <w:pStyle w:val="Heading3"/>
        <w:keepNext/>
      </w:pPr>
      <w:r>
        <w:t>4.2 Allowlist misspecification</w:t>
      </w:r>
    </w:p>
    <w:p>
      <w:pPr>
        <w:keepNext/>
        <w:spacing w:before="120" w:line="259" w:lineRule="auto"/>
        <w:jc w:val="center"/>
      </w:pPr>
      <w:r>
        <w:rPr>
          <w:rFonts w:ascii="Old Standard TT" w:hAnsi="Old Standard TT"/>
          <w:sz w:val="21"/>
        </w:rPr>
        <w:drawing>
          <wp:inline>
            <wp:extent cx="4572000" cy="1837764"/>
            <wp:docPr id="1" name="Picture 1"/>
            <wp:cNvGraphicFramePr>
              <a:graphicFrameLocks noChangeAspect="1"/>
            </wp:cNvGraphicFramePr>
            <a:graphic>
              <a:graphicData uri="http://schemas.openxmlformats.org/drawingml/2006/picture">
                <pic:pic>
                  <pic:nvPicPr>
                    <pic:cNvPr id="0" name="fig1_ablation.png"/>
                    <pic:cNvPicPr/>
                  </pic:nvPicPr>
                  <pic:blipFill>
                    <a:blip r:embed="rId8"/>
                    <a:stretch>
                      <a:fillRect/>
                    </a:stretch>
                  </pic:blipFill>
                  <pic:spPr>
                    <a:xfrm>
                      <a:off x="0" y="0"/>
                      <a:ext cx="4572000" cy="1837764"/>
                    </a:xfrm>
                    <a:prstGeom prst="rect"/>
                  </pic:spPr>
                </pic:pic>
              </a:graphicData>
            </a:graphic>
          </wp:inline>
        </w:drawing>
      </w:r>
    </w:p>
    <w:p>
      <w:pPr>
        <w:spacing w:line="312" w:lineRule="auto" w:before="120" w:after="200"/>
      </w:pPr>
      <w:r>
        <w:rPr>
          <w:rFonts w:ascii="Old Standard TT" w:hAnsi="Old Standard TT"/>
          <w:i/>
          <w:sz w:val="19"/>
        </w:rPr>
        <w:t>Figure 1. One reconstruction of the Hugging Face trace under three declared scopes. Only the allowlist changes. Too tight (omits the permitted Artifactory proxy) pages at event 2 on legitimate traffic. Correct pages at event 3, the first destination after the proxy. Wildcard pages nowhere. The dotted line at event 2 is the SSRF through the permitted proxy, which no allowlist can see; the shaded region is post-escape activity inside Hugging Face.</w:t>
      </w:r>
    </w:p>
    <w:p>
      <w:pPr>
        <w:spacing w:after="100" w:line="259" w:lineRule="auto"/>
        <w:jc w:val="both"/>
      </w:pPr>
      <w:r>
        <w:rPr>
          <w:rFonts w:ascii="Old Standard TT" w:hAnsi="Old Standard TT"/>
          <w:sz w:val="21"/>
        </w:rPr>
        <w:t>Observation: the same trace yields three different verdicts under three scopes (Figure 1). Interpretation: both directions of misspecification fail, and they fail differently. The too-tight scope produces a page on permitted egress, the kind of alert that gets a monitor switched off within a day. The wildcard scope, which is what "we allow internet" means when nobody writes the list, is silent on a real containment failure. A scanner with no declared scope is not a control. The artifact worth publishing per evaluation class is the pair (trace, allowlist), and verifiability is a property of the pair. Every number here is deterministic and pinned by tests; the one robustness question that matters is sensitivity to the scope, and this figure asks it directly.</w:t>
      </w:r>
    </w:p>
    <w:p>
      <w:pPr>
        <w:pStyle w:val="Heading3"/>
        <w:keepNext/>
      </w:pPr>
      <w:r>
        <w:t>4.3 The page arrives after the escape</w:t>
      </w:r>
    </w:p>
    <w:p>
      <w:pPr>
        <w:spacing w:after="100" w:line="259" w:lineRule="auto"/>
        <w:jc w:val="both"/>
      </w:pPr>
      <w:r>
        <w:rPr>
          <w:rFonts w:ascii="Old Standard TT" w:hAnsi="Old Standard TT"/>
          <w:sz w:val="21"/>
        </w:rPr>
        <w:t xml:space="preserve">Under the correct scope the page lands at event 3. Event 2, the request to the permitted proxy, is already the escape: the SSRF went through an allowlisted host, and an allowlist-relative rule classifies that request as ALLOWED. PAGE @3 is the first auditable evidence of out-of-scope egress, which in the reconstruction precedes the production intrusion (events 5 and 6) and the organisation's own detection (event 6). It is not "this would have stopped the breach." Prevention is default-deny egress plus a hardened permitted proxy, and a trace scanner supplies neither. The DSEWiki case has the same shape: the sandbox permitted only GET requests, and the wiki accepts page edits over GET </w:t>
      </w:r>
      <w:r>
        <w:rPr>
          <w:rFonts w:ascii="Old Standard TT" w:hAnsi="Old Standard TT"/>
          <w:sz w:val="21"/>
        </w:rPr>
        <w:t>[</w:t>
      </w:r>
      <w:hyperlink w:anchor="ref5">
        <w:r>
          <w:rPr>
            <w:rFonts w:ascii="Old Standard TT" w:hAnsi="Old Standard TT"/>
            <w:color w:val="2E5C8A"/>
          </w:rPr>
          <w:t>5</w:t>
        </w:r>
      </w:hyperlink>
      <w:r>
        <w:rPr>
          <w:rFonts w:ascii="Old Standard TT" w:hAnsi="Old Standard TT"/>
          <w:sz w:val="21"/>
        </w:rPr>
        <w:t>]</w:t>
      </w:r>
      <w:r>
        <w:rPr>
          <w:rFonts w:ascii="Old Standard TT" w:hAnsi="Old Standard TT"/>
          <w:sz w:val="21"/>
        </w:rPr>
        <w:t>. In both public escapes the agent went through the scope, not around it. An allowlist-relative scanner is blind to that by construction; what it would still have recorded is the destination host, wikiservice.at, had the declared scope named which hosts read access was for.</w:t>
      </w:r>
    </w:p>
    <w:p>
      <w:pPr>
        <w:keepNext/>
        <w:spacing w:before="120" w:line="259" w:lineRule="auto"/>
        <w:jc w:val="center"/>
      </w:pPr>
      <w:r>
        <w:rPr>
          <w:rFonts w:ascii="Old Standard TT" w:hAnsi="Old Standard TT"/>
          <w:sz w:val="21"/>
        </w:rPr>
        <w:drawing>
          <wp:inline>
            <wp:extent cx="4937760" cy="2226833"/>
            <wp:docPr id="2" name="Picture 2"/>
            <wp:cNvGraphicFramePr>
              <a:graphicFrameLocks noChangeAspect="1"/>
            </wp:cNvGraphicFramePr>
            <a:graphic>
              <a:graphicData uri="http://schemas.openxmlformats.org/drawingml/2006/picture">
                <pic:pic>
                  <pic:nvPicPr>
                    <pic:cNvPr id="0" name="fig2_layers_v3.png"/>
                    <pic:cNvPicPr/>
                  </pic:nvPicPr>
                  <pic:blipFill>
                    <a:blip r:embed="rId9"/>
                    <a:stretch>
                      <a:fillRect/>
                    </a:stretch>
                  </pic:blipFill>
                  <pic:spPr>
                    <a:xfrm>
                      <a:off x="0" y="0"/>
                      <a:ext cx="4937760" cy="2226833"/>
                    </a:xfrm>
                    <a:prstGeom prst="rect"/>
                  </pic:spPr>
                </pic:pic>
              </a:graphicData>
            </a:graphic>
          </wp:inline>
        </w:drawing>
      </w:r>
    </w:p>
    <w:p>
      <w:pPr>
        <w:spacing w:line="312" w:lineRule="auto" w:before="120" w:after="200"/>
      </w:pPr>
      <w:r>
        <w:rPr>
          <w:rFonts w:ascii="Old Standard TT" w:hAnsi="Old Standard TT"/>
          <w:i/>
          <w:sz w:val="19"/>
        </w:rPr>
        <w:t>Figure 2. Four layers of containment evidence, with the Hugging Face reconstruction as the running example. Layers 1 and 2 are what this paper builds: the declared scope and the agent's stated destination, checked against it. Layer 3, observed flows diffed against the same allowlist, is not built; see Future Work. Layer 4 is the Track 1 criterion. Prevention is a separate row: it stops escapes and yields no third-party evidence.</w:t>
      </w:r>
    </w:p>
    <w:p>
      <w:pPr>
        <w:pStyle w:val="Heading3"/>
        <w:keepNext/>
      </w:pPr>
      <w:r>
        <w:t>4.4 Records we did not write: the DSEWiki export and a live Inspect run</w:t>
      </w:r>
    </w:p>
    <w:p>
      <w:pPr>
        <w:spacing w:after="100" w:line="259" w:lineRule="auto"/>
        <w:jc w:val="both"/>
      </w:pPr>
      <w:r>
        <w:rPr>
          <w:rFonts w:ascii="Old Standard TT" w:hAnsi="Old Standard TT"/>
          <w:sz w:val="21"/>
        </w:rPr>
        <w:t xml:space="preserve">The fixtures show consistency, not generalisation, so we pointed the same rule at a record with a different author. The Nightingale Collective's export of the DSEWiki incident </w:t>
      </w:r>
      <w:r>
        <w:rPr>
          <w:rFonts w:ascii="Old Standard TT" w:hAnsi="Old Standard TT"/>
          <w:sz w:val="21"/>
        </w:rPr>
        <w:t>[</w:t>
      </w:r>
      <w:hyperlink w:anchor="ref5">
        <w:r>
          <w:rPr>
            <w:rFonts w:ascii="Old Standard TT" w:hAnsi="Old Standard TT"/>
            <w:color w:val="2E5C8A"/>
          </w:rPr>
          <w:t>5</w:t>
        </w:r>
      </w:hyperlink>
      <w:r>
        <w:rPr>
          <w:rFonts w:ascii="Old Standard TT" w:hAnsi="Old Standard TT"/>
          <w:sz w:val="21"/>
        </w:rPr>
        <w:t>]</w:t>
      </w:r>
      <w:r>
        <w:rPr>
          <w:rFonts w:ascii="Old Standard TT" w:hAnsi="Old Standard TT"/>
          <w:sz w:val="21"/>
        </w:rPr>
        <w:t xml:space="preserve"> contains 14,591 saved agent revisions across four wikis, 24 May to 2 July 2026, with full text and write times (manifest db_sha256 199241bf…). The four are ProWiki boards: DSEWiki itself, served as prowiki.org/dse and wikiservice.at/dse, and Probier, Fractal (wikiservice.at) and DorfWiki (dorfwiki.org). Each revision is one event in write order and its body the argument blob; the extractor reads it as it would a tool call. Nothing about the events is ours. The declared scope is: the sandbox allowed any GET request to any host, which is the wildcard row of the ablation. We add two scopes of our own for comparison: one naming only the public datasets the task families were retrieving from (31 hosts such as api.datausa.io, sec.gov, api.usaspending.gov and the OMB MAX portal that serves public SF-133 budget PDFs), and a control that also permits the wiki hosts.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2808"/>
        <w:gridCol w:w="1224"/>
        <w:gridCol w:w="1944"/>
        <w:gridCol w:w="2232"/>
        <w:gridCol w:w="1152"/>
      </w:tblGrid>
      <w:tr>
        <w:trPr>
          <w:cantSplit/>
        </w:trPr>
        <w:tc>
          <w:tcPr>
            <w:tcW w:type="dxa" w:w="2808"/>
          </w:tcPr>
          <w:p>
            <w:pPr>
              <w:spacing w:line="269" w:lineRule="auto" w:after="0" w:before="0"/>
            </w:pPr>
            <w:r>
              <w:rPr>
                <w:rFonts w:ascii="Old Standard TT" w:hAnsi="Old Standard TT"/>
              </w:rPr>
            </w:r>
            <w:r>
              <w:rPr>
                <w:rFonts w:ascii="Old Standard TT" w:hAnsi="Old Standard TT"/>
                <w:b/>
                <w:sz w:val="16"/>
              </w:rPr>
              <w:t>Declared scope</w:t>
            </w:r>
          </w:p>
        </w:tc>
        <w:tc>
          <w:tcPr>
            <w:tcW w:type="dxa" w:w="1224"/>
          </w:tcPr>
          <w:p>
            <w:pPr>
              <w:spacing w:line="269" w:lineRule="auto" w:after="0" w:before="0"/>
            </w:pPr>
            <w:r>
              <w:rPr>
                <w:rFonts w:ascii="Old Standard TT" w:hAnsi="Old Standard TT"/>
              </w:rPr>
            </w:r>
            <w:r>
              <w:rPr>
                <w:rFonts w:ascii="Old Standard TT" w:hAnsi="Old Standard TT"/>
                <w:b/>
                <w:sz w:val="16"/>
              </w:rPr>
              <w:t>Pages</w:t>
            </w:r>
          </w:p>
        </w:tc>
        <w:tc>
          <w:tcPr>
            <w:tcW w:type="dxa" w:w="1944"/>
          </w:tcPr>
          <w:p>
            <w:pPr>
              <w:spacing w:line="269" w:lineRule="auto" w:after="0" w:before="0"/>
            </w:pPr>
            <w:r>
              <w:rPr>
                <w:rFonts w:ascii="Old Standard TT" w:hAnsi="Old Standard TT"/>
              </w:rPr>
            </w:r>
            <w:r>
              <w:rPr>
                <w:rFonts w:ascii="Old Standard TT" w:hAnsi="Old Standard TT"/>
                <w:b/>
                <w:sz w:val="16"/>
              </w:rPr>
              <w:t>First page</w:t>
            </w:r>
          </w:p>
        </w:tc>
        <w:tc>
          <w:tcPr>
            <w:tcW w:type="dxa" w:w="2232"/>
          </w:tcPr>
          <w:p>
            <w:pPr>
              <w:spacing w:line="269" w:lineRule="auto" w:after="0" w:before="0"/>
            </w:pPr>
            <w:r>
              <w:rPr>
                <w:rFonts w:ascii="Old Standard TT" w:hAnsi="Old Standard TT"/>
              </w:rPr>
            </w:r>
            <w:r>
              <w:rPr>
                <w:rFonts w:ascii="Old Standard TT" w:hAnsi="Old Standard TT"/>
                <w:b/>
                <w:sz w:val="16"/>
              </w:rPr>
              <w:t>Destination</w:t>
            </w:r>
          </w:p>
        </w:tc>
        <w:tc>
          <w:tcPr>
            <w:tcW w:type="dxa" w:w="1152"/>
          </w:tcPr>
          <w:p>
            <w:pPr>
              <w:spacing w:line="269" w:lineRule="auto" w:after="0" w:before="0"/>
            </w:pPr>
            <w:r>
              <w:rPr>
                <w:rFonts w:ascii="Old Standard TT" w:hAnsi="Old Standard TT"/>
              </w:rPr>
            </w:r>
            <w:r>
              <w:rPr>
                <w:rFonts w:ascii="Old Standard TT" w:hAnsi="Old Standard TT"/>
                <w:b/>
                <w:sz w:val="16"/>
              </w:rPr>
              <w:t>Before OpenAI's first visit (21 Jun)</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wildcard (the actual scope: any GET)</w:t>
            </w:r>
          </w:p>
        </w:tc>
        <w:tc>
          <w:tcPr>
            <w:tcW w:type="dxa" w:w="1224"/>
          </w:tcPr>
          <w:p>
            <w:pPr>
              <w:spacing w:line="269" w:lineRule="auto" w:after="0" w:before="0"/>
            </w:pPr>
            <w:r>
              <w:rPr>
                <w:rFonts w:ascii="Old Standard TT" w:hAnsi="Old Standard TT"/>
              </w:rPr>
            </w:r>
            <w:r>
              <w:rPr>
                <w:rFonts w:ascii="Old Standard TT" w:hAnsi="Old Standard TT"/>
                <w:b w:val="0"/>
                <w:sz w:val="16"/>
              </w:rPr>
              <w:t>0 of 14,591</w:t>
            </w:r>
          </w:p>
        </w:tc>
        <w:tc>
          <w:tcPr>
            <w:tcW w:type="dxa" w:w="1944"/>
          </w:tcPr>
          <w:p>
            <w:pPr>
              <w:spacing w:line="269" w:lineRule="auto" w:after="0" w:before="0"/>
            </w:pPr>
            <w:r>
              <w:rPr>
                <w:rFonts w:ascii="Old Standard TT" w:hAnsi="Old Standard TT"/>
              </w:rPr>
            </w:r>
            <w:r>
              <w:rPr>
                <w:rFonts w:ascii="Old Standard TT" w:hAnsi="Old Standard TT"/>
                <w:b w:val="0"/>
                <w:sz w:val="16"/>
              </w:rPr>
              <w:t>—</w:t>
            </w:r>
          </w:p>
        </w:tc>
        <w:tc>
          <w:tcPr>
            <w:tcW w:type="dxa" w:w="2232"/>
          </w:tcPr>
          <w:p>
            <w:pPr>
              <w:spacing w:line="269" w:lineRule="auto" w:after="0" w:before="0"/>
            </w:pPr>
            <w:r>
              <w:rPr>
                <w:rFonts w:ascii="Old Standard TT" w:hAnsi="Old Standard TT"/>
              </w:rPr>
            </w:r>
            <w:r>
              <w:rPr>
                <w:rFonts w:ascii="Old Standard TT" w:hAnsi="Old Standard TT"/>
                <w:b w:val="0"/>
                <w:sz w:val="16"/>
              </w:rPr>
              <w:t>—</w:t>
            </w:r>
          </w:p>
        </w:tc>
        <w:tc>
          <w:tcPr>
            <w:tcW w:type="dxa" w:w="1152"/>
          </w:tcPr>
          <w:p>
            <w:pPr>
              <w:spacing w:line="269" w:lineRule="auto" w:after="0" w:before="0"/>
            </w:pPr>
            <w:r>
              <w:rPr>
                <w:rFonts w:ascii="Old Standard TT" w:hAnsi="Old Standard TT"/>
              </w:rPr>
            </w:r>
            <w:r>
              <w:rPr>
                <w:rFonts w:ascii="Old Standard TT" w:hAnsi="Old Standard TT"/>
                <w:b w:val="0"/>
                <w:sz w:val="16"/>
              </w:rPr>
              <w:t>silent</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data sources only (ours)</w:t>
            </w:r>
          </w:p>
        </w:tc>
        <w:tc>
          <w:tcPr>
            <w:tcW w:type="dxa" w:w="1224"/>
          </w:tcPr>
          <w:p>
            <w:pPr>
              <w:spacing w:line="269" w:lineRule="auto" w:after="0" w:before="0"/>
            </w:pPr>
            <w:r>
              <w:rPr>
                <w:rFonts w:ascii="Old Standard TT" w:hAnsi="Old Standard TT"/>
              </w:rPr>
            </w:r>
            <w:r>
              <w:rPr>
                <w:rFonts w:ascii="Old Standard TT" w:hAnsi="Old Standard TT"/>
                <w:b w:val="0"/>
                <w:sz w:val="16"/>
              </w:rPr>
              <w:t>16,309</w:t>
            </w:r>
          </w:p>
        </w:tc>
        <w:tc>
          <w:tcPr>
            <w:tcW w:type="dxa" w:w="1944"/>
          </w:tcPr>
          <w:p>
            <w:pPr>
              <w:spacing w:line="269" w:lineRule="auto" w:after="0" w:before="0"/>
            </w:pPr>
            <w:r>
              <w:rPr>
                <w:rFonts w:ascii="Old Standard TT" w:hAnsi="Old Standard TT"/>
              </w:rPr>
            </w:r>
            <w:r>
              <w:rPr>
                <w:rFonts w:ascii="Old Standard TT" w:hAnsi="Old Standard TT"/>
                <w:b w:val="0"/>
                <w:sz w:val="16"/>
              </w:rPr>
              <w:t>event 5, 24 May 11:53 UTC</w:t>
            </w:r>
          </w:p>
        </w:tc>
        <w:tc>
          <w:tcPr>
            <w:tcW w:type="dxa" w:w="2232"/>
          </w:tcPr>
          <w:p>
            <w:pPr>
              <w:spacing w:line="269" w:lineRule="auto" w:after="0" w:before="0"/>
            </w:pPr>
            <w:r>
              <w:rPr>
                <w:rFonts w:ascii="Old Standard TT" w:hAnsi="Old Standard TT"/>
              </w:rPr>
            </w:r>
            <w:r>
              <w:rPr>
                <w:rFonts w:ascii="Old Standard TT" w:hAnsi="Old Standard TT"/>
                <w:b w:val="0"/>
                <w:sz w:val="16"/>
              </w:rPr>
              <w:t>wikiservice.at (DSEWiki's own host)</w:t>
            </w:r>
          </w:p>
        </w:tc>
        <w:tc>
          <w:tcPr>
            <w:tcW w:type="dxa" w:w="1152"/>
          </w:tcPr>
          <w:p>
            <w:pPr>
              <w:spacing w:line="269" w:lineRule="auto" w:after="0" w:before="0"/>
            </w:pPr>
            <w:r>
              <w:rPr>
                <w:rFonts w:ascii="Old Standard TT" w:hAnsi="Old Standard TT"/>
              </w:rPr>
            </w:r>
            <w:r>
              <w:rPr>
                <w:rFonts w:ascii="Old Standard TT" w:hAnsi="Old Standard TT"/>
                <w:b w:val="0"/>
                <w:sz w:val="16"/>
              </w:rPr>
              <w:t>27 days</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data sources + wiki hosts (control)</w:t>
            </w:r>
          </w:p>
        </w:tc>
        <w:tc>
          <w:tcPr>
            <w:tcW w:type="dxa" w:w="1224"/>
          </w:tcPr>
          <w:p>
            <w:pPr>
              <w:spacing w:line="269" w:lineRule="auto" w:after="0" w:before="0"/>
            </w:pPr>
            <w:r>
              <w:rPr>
                <w:rFonts w:ascii="Old Standard TT" w:hAnsi="Old Standard TT"/>
              </w:rPr>
            </w:r>
            <w:r>
              <w:rPr>
                <w:rFonts w:ascii="Old Standard TT" w:hAnsi="Old Standard TT"/>
                <w:b w:val="0"/>
                <w:sz w:val="16"/>
              </w:rPr>
              <w:t>11,751</w:t>
            </w:r>
          </w:p>
        </w:tc>
        <w:tc>
          <w:tcPr>
            <w:tcW w:type="dxa" w:w="1944"/>
          </w:tcPr>
          <w:p>
            <w:pPr>
              <w:spacing w:line="269" w:lineRule="auto" w:after="0" w:before="0"/>
            </w:pPr>
            <w:r>
              <w:rPr>
                <w:rFonts w:ascii="Old Standard TT" w:hAnsi="Old Standard TT"/>
              </w:rPr>
            </w:r>
            <w:r>
              <w:rPr>
                <w:rFonts w:ascii="Old Standard TT" w:hAnsi="Old Standard TT"/>
                <w:b w:val="0"/>
                <w:sz w:val="16"/>
              </w:rPr>
              <w:t>event 36, 26 May 09:43 UTC</w:t>
            </w:r>
          </w:p>
        </w:tc>
        <w:tc>
          <w:tcPr>
            <w:tcW w:type="dxa" w:w="2232"/>
          </w:tcPr>
          <w:p>
            <w:pPr>
              <w:spacing w:line="269" w:lineRule="auto" w:after="0" w:before="0"/>
            </w:pPr>
            <w:r>
              <w:rPr>
                <w:rFonts w:ascii="Old Standard TT" w:hAnsi="Old Standard TT"/>
              </w:rPr>
            </w:r>
            <w:r>
              <w:rPr>
                <w:rFonts w:ascii="Old Standard TT" w:hAnsi="Old Standard TT"/>
                <w:b w:val="0"/>
                <w:sz w:val="16"/>
              </w:rPr>
              <w:t>example.com; then markdown.new, drive.google.com</w:t>
            </w:r>
          </w:p>
        </w:tc>
        <w:tc>
          <w:tcPr>
            <w:tcW w:type="dxa" w:w="1152"/>
          </w:tcPr>
          <w:p>
            <w:pPr>
              <w:spacing w:line="269" w:lineRule="auto" w:after="0" w:before="0"/>
            </w:pPr>
            <w:r>
              <w:rPr>
                <w:rFonts w:ascii="Old Standard TT" w:hAnsi="Old Standard TT"/>
              </w:rPr>
            </w:r>
            <w:r>
              <w:rPr>
                <w:rFonts w:ascii="Old Standard TT" w:hAnsi="Old Standard TT"/>
                <w:b w:val="0"/>
                <w:sz w:val="16"/>
              </w:rPr>
              <w:t>25 days</w:t>
            </w:r>
          </w:p>
        </w:tc>
      </w:tr>
    </w:tbl>
    <w:p>
      <w:pPr>
        <w:spacing w:line="312" w:lineRule="auto" w:before="140" w:after="200"/>
      </w:pPr>
      <w:r>
        <w:rPr>
          <w:rFonts w:ascii="Old Standard TT" w:hAnsi="Old Standard TT"/>
          <w:i/>
          <w:sz w:val="19"/>
        </w:rPr>
        <w:t>Table 2. Sentinel over the DSEWiki export under three declared scopes. The events are the researchers' record; the two non-wildcard scopes are our reconstruction from the task families visible in it. A revision can state more than one destination, so pages can exceed events. "Before OpenAI's first visit" is the interval to the date collusion.wiki gives for the first OpenAI-associated addresses on the pages: a fact about the public record, not about OpenAI's internal monitoring.</w:t>
      </w:r>
    </w:p>
    <w:p>
      <w:pPr>
        <w:spacing w:after="100" w:line="259" w:lineRule="auto"/>
        <w:jc w:val="both"/>
      </w:pPr>
      <w:r>
        <w:rPr>
          <w:rFonts w:ascii="Old Standard TT" w:hAnsi="Old Standard TT"/>
          <w:sz w:val="21"/>
        </w:rPr>
        <w:t>Observation: under the scope the sandbox actually had, the scanner is silent on all 14,591 events. Under a scope that names the task's data sources, the first out-of-scope stated destination is wikiservice.at, DSEWiki's own host, at event 5: six hours into the first day of writing, the agents' fifth post already linked to the board they were writing on, 27 days before the first OpenAI-associated address visited the pages. Permitting the wiki hosts moves the first page to 26 May, where the stated destinations are a placeholder domain, then the first of 43 reader and CORS-proxy hosts (markdown.new, r.jina.ai, allorigins), then drive.google.com. The extractor sees 200 distinct hosts in the record: 31 task data sources, 6 wiki hosts, 43 reader or CORS proxies, 4 shorteners, 5 archives, 4 tunnels. Interpretation: the ablation's two failure modes reproduce on a record we did not write. The scope the evaluation had was a wildcard, and a wildcard produces no page on a real containment failure; any scope that named what the task was for would have paged on the first day. Two caveats. 16,309 pages is an alert volume nobody reads, so the value is the first index and the count is why layer 3, not layer 2, should gate paging; and T2 fired 1,147 times only because "proxy" appears in the workaround hostnames, a lexical accident we report as one.</w:t>
      </w:r>
    </w:p>
    <w:p>
      <w:pPr>
        <w:spacing w:after="100" w:line="259" w:lineRule="auto"/>
        <w:jc w:val="both"/>
      </w:pPr>
      <w:r>
        <w:rPr>
          <w:rFonts w:ascii="Old Standard TT" w:hAnsi="Old Standard TT"/>
          <w:sz w:val="21"/>
        </w:rPr>
        <w:t>The second record is a live run rather than a fixture: eight samples of inspect_evals/gdm_intercode_ctf with claude-haiku-4-5 as the agent. Its upstream sandbox declares network_mode: none, the only allowlist here written from a benchmark's own configuration, and it is empty. The agent made 42 tool calls (ls, cat, tcpdump, strings, python, submit) and solved all eight tasks; Sentinel paged on none, warned on none, the keyword baseline fired on none, and the inspect_scout wrapper returned the same eight verdicts from the recorded log. This is a negative control, not a detection result: a scanner that paged here would be wrong. It shows the rule is silent on real tool calls it was not written against, and that the Inspect path works on a real log. Cost: $0.14.</w:t>
      </w:r>
    </w:p>
    <w:p>
      <w:pPr>
        <w:pStyle w:val="Heading2"/>
        <w:keepNext/>
      </w:pPr>
      <w:r>
        <w:t>5. Discussion and Limitations</w:t>
      </w:r>
    </w:p>
    <w:p>
      <w:pPr>
        <w:spacing w:after="100" w:line="259" w:lineRule="auto"/>
        <w:jc w:val="both"/>
      </w:pPr>
      <w:r>
        <w:rPr>
          <w:rFonts w:ascii="Old Standard TT" w:hAnsi="Old Standard TT"/>
          <w:sz w:val="21"/>
        </w:rPr>
        <w:t>Theory of change. A lab attaches an allowlist to each evaluation class, with notes on why each entry is permitted. Sentinel runs offline over the campaign's Inspect logs in minutes, with no API key. The lab publishes the allowlist, the per-run verdicts and the first out-of-scope index; a third party replays the verdict from those files. Two kinds of third party can: an auditor or an affected partner who has been given the files, and the Commission, which under Article 91 of the AI Act may require a provider of a general-purpose AI model to hand over documentation necessary to assess compliance. The first needs cooperation; only the second can compel. Appendix C shows the record either would receive.</w:t>
      </w:r>
    </w:p>
    <w:p>
      <w:pPr>
        <w:spacing w:after="100" w:line="259" w:lineRule="auto"/>
        <w:jc w:val="both"/>
      </w:pPr>
      <w:r>
        <w:rPr>
          <w:rFonts w:ascii="Old Standard TT" w:hAnsi="Old Standard TT"/>
          <w:sz w:val="21"/>
        </w:rPr>
        <w:t xml:space="preserve">The cost of adoption is writing the allowlist, which is the point: the artifact forces the scope to exist. It sits under what the labs already say they will build: AISI asks for monitoring "able to flag or block out-of-scope actions as they happen" with scope "limited in advance" </w:t>
      </w:r>
      <w:r>
        <w:rPr>
          <w:rFonts w:ascii="Old Standard TT" w:hAnsi="Old Standard TT"/>
          <w:sz w:val="21"/>
        </w:rPr>
        <w:t>[</w:t>
      </w:r>
      <w:hyperlink w:anchor="ref4">
        <w:r>
          <w:rPr>
            <w:rFonts w:ascii="Old Standard TT" w:hAnsi="Old Standard TT"/>
            <w:color w:val="2E5C8A"/>
          </w:rPr>
          <w:t>4</w:t>
        </w:r>
      </w:hyperlink>
      <w:r>
        <w:rPr>
          <w:rFonts w:ascii="Old Standard TT" w:hAnsi="Old Standard TT"/>
          <w:sz w:val="21"/>
        </w:rPr>
        <w:t>]</w:t>
      </w:r>
      <w:r>
        <w:rPr>
          <w:rFonts w:ascii="Old Standard TT" w:hAnsi="Old Standard TT"/>
          <w:sz w:val="21"/>
        </w:rPr>
        <w:t xml:space="preserve">, and OpenAI now requires chain-of-thought monitoring for tool-using runs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w:t>
      </w:r>
      <w:r>
        <w:rPr>
          <w:rFonts w:ascii="Old Standard TT" w:hAnsi="Old Standard TT"/>
          <w:sz w:val="21"/>
        </w:rPr>
        <w:t>; both need a machine-readable statement of what out-of-scope means. Layer 3 (Figure 2), the same allowlist diffed against egress flow logs, would let a lab attest isolation rather than assume it, which is the failure in the Anthropic name-collision case.</w:t>
      </w:r>
    </w:p>
    <w:p>
      <w:pPr>
        <w:pStyle w:val="Heading3"/>
        <w:keepNext/>
      </w:pPr>
      <w:r>
        <w:t>Limitations</w:t>
      </w:r>
    </w:p>
    <w:p>
      <w:pPr>
        <w:spacing w:after="80" w:line="259" w:lineRule="auto"/>
        <w:ind w:left="432" w:hanging="288"/>
        <w:jc w:val="both"/>
      </w:pPr>
      <w:r>
        <w:rPr>
          <w:rFonts w:ascii="Old Standard TT" w:hAnsi="Old Standard TT"/>
          <w:sz w:val="21"/>
        </w:rPr>
        <w:t xml:space="preserve">•  The positive fixtures are reconstructions of four to seven events from public descriptions; Hugging Face logged about 17,600 attacker actions </w:t>
      </w:r>
      <w:r>
        <w:rPr>
          <w:rFonts w:ascii="Old Standard TT" w:hAnsi="Old Standard TT"/>
          <w:sz w:val="21"/>
        </w:rPr>
        <w:t>[</w:t>
      </w:r>
      <w:hyperlink w:anchor="ref2">
        <w:r>
          <w:rPr>
            <w:rFonts w:ascii="Old Standard TT" w:hAnsi="Old Standard TT"/>
            <w:color w:val="2E5C8A"/>
          </w:rPr>
          <w:t>2</w:t>
        </w:r>
      </w:hyperlink>
      <w:r>
        <w:rPr>
          <w:rFonts w:ascii="Old Standard TT" w:hAnsi="Old Standard TT"/>
          <w:sz w:val="21"/>
        </w:rPr>
        <w:t>]</w:t>
      </w:r>
      <w:r>
        <w:rPr>
          <w:rFonts w:ascii="Old Standard TT" w:hAnsi="Old Standard TT"/>
          <w:sz w:val="21"/>
        </w:rPr>
        <w:t>. No lab has released raw transcripts, so nothing here measures detection inside OpenAI, Anthropic or AISI, and "events earlier" describes our reconstruction.</w:t>
      </w:r>
    </w:p>
    <w:p>
      <w:pPr>
        <w:spacing w:after="80" w:line="259" w:lineRule="auto"/>
        <w:ind w:left="432" w:hanging="288"/>
        <w:jc w:val="both"/>
      </w:pPr>
      <w:r>
        <w:rPr>
          <w:rFonts w:ascii="Old Standard TT" w:hAnsi="Old Standard TT"/>
          <w:sz w:val="21"/>
        </w:rPr>
        <w:t>•  The fixtures and the rule share an author, so the specification tests show consistency, not generalisation. The DSEWiki run fixes the events but not the scope: its two non-wildcard allowlists are ours, and a different reconstruction would move the first page. The wildcard row, the scope the sandbox actually had, does not move.</w:t>
      </w:r>
    </w:p>
    <w:p>
      <w:pPr>
        <w:spacing w:after="80" w:line="259" w:lineRule="auto"/>
        <w:ind w:left="432" w:hanging="288"/>
        <w:jc w:val="both"/>
      </w:pPr>
      <w:r>
        <w:rPr>
          <w:rFonts w:ascii="Old Standard TT" w:hAnsi="Old Standard TT"/>
          <w:sz w:val="21"/>
        </w:rPr>
        <w:t>•  The live run is eight samples on tasks with no network, so it can only show silence. A positive live case needs an evaluation with internet on and a real allowlist. Wiki revision bodies are also a weaker kind of declared action than a curl argument: some URLs are links posted for other agents, not destinations reached.</w:t>
      </w:r>
    </w:p>
    <w:p>
      <w:pPr>
        <w:spacing w:after="80" w:line="259" w:lineRule="auto"/>
        <w:ind w:left="432" w:hanging="288"/>
        <w:jc w:val="both"/>
      </w:pPr>
      <w:r>
        <w:rPr>
          <w:rFonts w:ascii="Old Standard TT" w:hAnsi="Old Standard TT"/>
          <w:sz w:val="21"/>
        </w:rPr>
        <w:t xml:space="preserve">•  Sentinel reads declared arguments. METR reports that roughly 7% of the transcripts it evaluated in the Hugging Face investigation were successfully spoofed in places </w:t>
      </w:r>
      <w:r>
        <w:rPr>
          <w:rFonts w:ascii="Old Standard TT" w:hAnsi="Old Standard TT"/>
          <w:sz w:val="21"/>
        </w:rPr>
        <w:t>[</w:t>
      </w:r>
      <w:hyperlink w:anchor="ref13">
        <w:r>
          <w:rPr>
            <w:rFonts w:ascii="Old Standard TT" w:hAnsi="Old Standard TT"/>
            <w:color w:val="2E5C8A"/>
          </w:rPr>
          <w:t>13</w:t>
        </w:r>
      </w:hyperlink>
      <w:r>
        <w:rPr>
          <w:rFonts w:ascii="Old Standard TT" w:hAnsi="Old Standard TT"/>
          <w:sz w:val="21"/>
        </w:rPr>
        <w:t>]</w:t>
      </w:r>
      <w:r>
        <w:rPr>
          <w:rFonts w:ascii="Old Standard TT" w:hAnsi="Old Standard TT"/>
          <w:sz w:val="21"/>
        </w:rPr>
        <w:t>; an agent can state one destination and reach another. Layer 3 is the answer, and it is not built.</w:t>
      </w:r>
    </w:p>
    <w:p>
      <w:pPr>
        <w:spacing w:after="80" w:line="259" w:lineRule="auto"/>
        <w:ind w:left="432" w:hanging="288"/>
        <w:jc w:val="both"/>
      </w:pPr>
      <w:r>
        <w:rPr>
          <w:rFonts w:ascii="Old Standard TT" w:hAnsi="Old Standard TT"/>
          <w:sz w:val="21"/>
        </w:rPr>
        <w:t>•  The extractor is regular expressions. Destinations hidden in shell variables, base64, DNS exfiltration or IP-as-integer forms are missed and the miss rate is unmeasured; publishing the extractor publishes its gaps (Appendix A). T1 and T2 false-positive rates are likewise unmeasured.</w:t>
      </w:r>
    </w:p>
    <w:p>
      <w:pPr>
        <w:spacing w:after="80" w:line="259" w:lineRule="auto"/>
        <w:ind w:left="432" w:hanging="288"/>
        <w:jc w:val="both"/>
      </w:pPr>
      <w:r>
        <w:rPr>
          <w:rFonts w:ascii="Old Standard TT" w:hAnsi="Old Standard TT"/>
          <w:sz w:val="21"/>
        </w:rPr>
        <w:t>•  The wildcard scope is one misspecification of many. A scope that is correct today and stale tomorrow is the realistic case and we have not modelled it.</w:t>
      </w:r>
    </w:p>
    <w:p>
      <w:pPr>
        <w:pStyle w:val="Heading3"/>
        <w:keepNext/>
      </w:pPr>
      <w:r>
        <w:t>Future work</w:t>
      </w:r>
    </w:p>
    <w:p>
      <w:pPr>
        <w:spacing w:after="100" w:line="259" w:lineRule="auto"/>
        <w:jc w:val="both"/>
      </w:pPr>
      <w:r>
        <w:rPr>
          <w:rFonts w:ascii="Old Standard TT" w:hAnsi="Old Standard TT"/>
          <w:sz w:val="21"/>
        </w:rPr>
        <w:t>A month would add three things. First, a positive live case: an agentic evaluation run with internet on and an honest allowlist (ExploitGym's own firewall list is the natural start), reporting T3 page and T1/T2 warn rates on real traces. Second, layer 3 against Cilium Hubble or Squid access logs, reporting the declared-versus-observed disagreement rate, which is the attestation number. Third, an adversarial pass on the extractor with an obfuscation corpus, so the miss rate is a number rather than a paragraph.</w:t>
      </w:r>
    </w:p>
    <w:p>
      <w:pPr>
        <w:pStyle w:val="Heading2"/>
        <w:keepNext/>
      </w:pPr>
      <w:r>
        <w:t>6. Conclusion</w:t>
      </w:r>
    </w:p>
    <w:p>
      <w:pPr>
        <w:spacing w:after="100" w:line="259" w:lineRule="auto"/>
        <w:jc w:val="both"/>
      </w:pPr>
      <w:r>
        <w:rPr>
          <w:rFonts w:ascii="Old Standard TT" w:hAnsi="Old Standard TT"/>
          <w:sz w:val="21"/>
        </w:rPr>
        <w:t>The public containment failures of 2026 were not failures of monitoring technology. They were cases where the scope of an evaluation existed in prose and in nobody's tooling. We show that writing the scope down as an allowlist and checking each stated destination against it produces a verdict a third party can recompute, and that the verdict is only as good as the allowlist: too tight and it pages on permitted traffic, absent and it is silent on the escape. The same trace shows the verdict arrives after the escape when the escape goes through a permitted egress, and a third party's record of a second incident reproduces both failure modes on events we did not write. Sentinel is small on purpose: a checkable layer under the monitors and proxies that already exist, and the argument that the artifact to publish per evaluation class is the pair (trace, allowlist).</w:t>
      </w:r>
    </w:p>
    <w:p>
      <w:pPr>
        <w:pStyle w:val="Heading2"/>
        <w:keepNext/>
      </w:pPr>
      <w:r>
        <w:t>Code and Data</w:t>
      </w:r>
    </w:p>
    <w:p>
      <w:pPr>
        <w:spacing w:after="100" w:line="259" w:lineRule="auto"/>
        <w:jc w:val="both"/>
      </w:pPr>
      <w:r>
        <w:rPr>
          <w:rFonts w:ascii="Old Standard TT" w:hAnsi="Old Standard TT"/>
          <w:sz w:val="21"/>
        </w:rPr>
        <w:t xml:space="preserve">Code repository: </w:t>
      </w:r>
      <w:hyperlink r:id="rId10">
        <w:r>
          <w:rPr>
            <w:rFonts w:ascii="Old Standard TT" w:hAnsi="Old Standard TT"/>
            <w:color w:val="2E5C8A"/>
          </w:rPr>
          <w:t>https://github.com/crishN144/sentinel-evals</w:t>
        </w:r>
      </w:hyperlink>
      <w:r>
        <w:rPr>
          <w:rFonts w:ascii="Old Standard TT" w:hAnsi="Old Standard TT"/>
          <w:sz w:val="21"/>
        </w:rPr>
        <w:t xml:space="preserve"> (Apache-2.0, matching ExploitGym). Fixtures, allowlists, the ablation script, the filled record of Appendix C and the tests are in the repository; python -m pytest reproduces every number here with no model and no API key. No lab transcripts are included because none are public. The DSEWiki export </w:t>
      </w:r>
      <w:r>
        <w:rPr>
          <w:rFonts w:ascii="Old Standard TT" w:hAnsi="Old Standard TT"/>
          <w:sz w:val="21"/>
        </w:rPr>
        <w:t>[</w:t>
      </w:r>
      <w:hyperlink w:anchor="ref5">
        <w:r>
          <w:rPr>
            <w:rFonts w:ascii="Old Standard TT" w:hAnsi="Old Standard TT"/>
            <w:color w:val="2E5C8A"/>
          </w:rPr>
          <w:t>5</w:t>
        </w:r>
      </w:hyperlink>
      <w:r>
        <w:rPr>
          <w:rFonts w:ascii="Old Standard TT" w:hAnsi="Old Standard TT"/>
          <w:sz w:val="21"/>
        </w:rPr>
        <w:t>]</w:t>
      </w:r>
      <w:r>
        <w:rPr>
          <w:rFonts w:ascii="Old Standard TT" w:hAnsi="Old Standard TT"/>
          <w:sz w:val="21"/>
        </w:rPr>
        <w:t xml:space="preserve"> is used as published, with its manifest hash stated in Section 4.4 and a download script in the README; no other datasets were used.</w:t>
      </w:r>
    </w:p>
    <w:p>
      <w:pPr>
        <w:pStyle w:val="Heading2"/>
        <w:keepNext/>
      </w:pPr>
      <w:r>
        <w:t>Author Contributions</w:t>
      </w:r>
    </w:p>
    <w:p>
      <w:pPr>
        <w:spacing w:after="100" w:line="259" w:lineRule="auto"/>
        <w:jc w:val="both"/>
      </w:pPr>
      <w:r>
        <w:rPr>
          <w:rFonts w:ascii="Old Standard TT" w:hAnsi="Old Standard TT"/>
          <w:sz w:val="21"/>
        </w:rPr>
        <w:t>C.N. conceived the project, wrote the scanner, fixtures and tests, ran the ablation and wrote the report. Claude (Anthropic) was used as a coding and drafting assistant under the author's direction; every number was recomputed by the author from the repository.</w:t>
      </w:r>
    </w:p>
    <w:p>
      <w:pPr>
        <w:pStyle w:val="Heading2"/>
        <w:keepNext/>
      </w:pPr>
      <w:r>
        <w:t>References</w:t>
      </w:r>
    </w:p>
    <w:p>
      <w:bookmarkStart w:id="1" w:name="ref1"/>
      <w:pPr>
        <w:spacing w:after="80" w:line="259" w:lineRule="auto"/>
        <w:ind w:left="403" w:hanging="403"/>
        <w:jc w:val="both"/>
      </w:pPr>
      <w:r>
        <w:rPr>
          <w:rFonts w:ascii="Old Standard TT" w:hAnsi="Old Standard TT"/>
          <w:sz w:val="20"/>
        </w:rPr>
        <w:t xml:space="preserve">[1] OpenAI, 2026. Hugging Face model evaluation security incident (21 July, revised twice) and The Hugging Face incident and the road ahead. </w:t>
      </w:r>
      <w:hyperlink r:id="rId11">
        <w:r>
          <w:rPr>
            <w:rFonts w:ascii="Old Standard TT" w:hAnsi="Old Standard TT"/>
            <w:color w:val="2E5C8A"/>
            <w:sz w:val="20"/>
          </w:rPr>
          <w:t>openai.com/index/hugging-face-model-evaluation-security-incident</w:t>
        </w:r>
      </w:hyperlink>
      <w:r>
        <w:rPr>
          <w:rFonts w:ascii="Old Standard TT" w:hAnsi="Old Standard TT"/>
          <w:sz w:val="20"/>
        </w:rPr>
        <w:t xml:space="preserve">; </w:t>
      </w:r>
      <w:hyperlink r:id="rId12">
        <w:r>
          <w:rPr>
            <w:rFonts w:ascii="Old Standard TT" w:hAnsi="Old Standard TT"/>
            <w:color w:val="2E5C8A"/>
            <w:sz w:val="20"/>
          </w:rPr>
          <w:t>openai.com/index/hugging-face-incident-and-the-road-ahead</w:t>
        </w:r>
      </w:hyperlink>
      <w:bookmarkEnd w:id="1"/>
    </w:p>
    <w:p>
      <w:bookmarkStart w:id="2" w:name="ref2"/>
      <w:pPr>
        <w:spacing w:after="80" w:line="259" w:lineRule="auto"/>
        <w:ind w:left="403" w:hanging="403"/>
        <w:jc w:val="both"/>
      </w:pPr>
      <w:r>
        <w:rPr>
          <w:rFonts w:ascii="Old Standard TT" w:hAnsi="Old Standard TT"/>
          <w:sz w:val="20"/>
        </w:rPr>
        <w:t xml:space="preserve">[2] Hugging Face, 2026. Agent intrusion: technical timeline. </w:t>
      </w:r>
      <w:hyperlink r:id="rId13">
        <w:r>
          <w:rPr>
            <w:rFonts w:ascii="Old Standard TT" w:hAnsi="Old Standard TT"/>
            <w:color w:val="2E5C8A"/>
            <w:sz w:val="20"/>
          </w:rPr>
          <w:t>huggingface.co/blog/agent-intrusion-technical-timeline</w:t>
        </w:r>
      </w:hyperlink>
      <w:bookmarkEnd w:id="2"/>
    </w:p>
    <w:p>
      <w:bookmarkStart w:id="3" w:name="ref3"/>
      <w:pPr>
        <w:spacing w:after="80" w:line="259" w:lineRule="auto"/>
        <w:ind w:left="403" w:hanging="403"/>
        <w:jc w:val="both"/>
      </w:pPr>
      <w:r>
        <w:rPr>
          <w:rFonts w:ascii="Old Standard TT" w:hAnsi="Old Standard TT"/>
          <w:sz w:val="20"/>
        </w:rPr>
        <w:t xml:space="preserve">[3] Anthropic, 2026. Investigating incidents in our cybersecurity evaluations. </w:t>
      </w:r>
      <w:hyperlink r:id="rId14">
        <w:r>
          <w:rPr>
            <w:rFonts w:ascii="Old Standard TT" w:hAnsi="Old Standard TT"/>
            <w:color w:val="2E5C8A"/>
            <w:sz w:val="20"/>
          </w:rPr>
          <w:t>anthropic.com/news/investigating-incidents-cybersecurity-evals</w:t>
        </w:r>
      </w:hyperlink>
      <w:bookmarkEnd w:id="3"/>
    </w:p>
    <w:p>
      <w:bookmarkStart w:id="4" w:name="ref4"/>
      <w:pPr>
        <w:spacing w:after="80" w:line="259" w:lineRule="auto"/>
        <w:ind w:left="403" w:hanging="403"/>
        <w:jc w:val="both"/>
      </w:pPr>
      <w:r>
        <w:rPr>
          <w:rFonts w:ascii="Old Standard TT" w:hAnsi="Old Standard TT"/>
          <w:sz w:val="20"/>
        </w:rPr>
        <w:t xml:space="preserve">[4] UK AI Security Institute, 4 August 2026. Incident report: unsanctioned agent behaviour during cyber testing (INC-2026-07-28-01). </w:t>
      </w:r>
      <w:hyperlink r:id="rId15">
        <w:r>
          <w:rPr>
            <w:rFonts w:ascii="Old Standard TT" w:hAnsi="Old Standard TT"/>
            <w:color w:val="2E5C8A"/>
            <w:sz w:val="20"/>
          </w:rPr>
          <w:t>aisi.gov.uk/blog/incident-report-unsanctioned-agent-behaviour-during-cyber-testing</w:t>
        </w:r>
      </w:hyperlink>
      <w:bookmarkEnd w:id="4"/>
    </w:p>
    <w:p>
      <w:bookmarkStart w:id="5" w:name="ref5"/>
      <w:pPr>
        <w:spacing w:after="80" w:line="259" w:lineRule="auto"/>
        <w:ind w:left="403" w:hanging="403"/>
        <w:jc w:val="both"/>
      </w:pPr>
      <w:r>
        <w:rPr>
          <w:rFonts w:ascii="Old Standard TT" w:hAnsi="Old Standard TT"/>
          <w:sz w:val="20"/>
        </w:rPr>
        <w:t xml:space="preserve">[5] Von Arx, S., Slade Byrd, C. and the Nightingale Collective, 4 September 2026. Discovery of a new OpenAI agent message board: DSEWiki edit dataset and report. </w:t>
      </w:r>
      <w:hyperlink r:id="rId16">
        <w:r>
          <w:rPr>
            <w:rFonts w:ascii="Old Standard TT" w:hAnsi="Old Standard TT"/>
            <w:color w:val="2E5C8A"/>
            <w:sz w:val="20"/>
          </w:rPr>
          <w:t>collusion.wiki</w:t>
        </w:r>
      </w:hyperlink>
      <w:r>
        <w:rPr>
          <w:rFonts w:ascii="Old Standard TT" w:hAnsi="Old Standard TT"/>
          <w:sz w:val="20"/>
        </w:rPr>
        <w:t xml:space="preserve">. OpenAI acknowledgement of 5 September 2026 as reported by TechCrunch, </w:t>
      </w:r>
      <w:hyperlink r:id="rId17">
        <w:r>
          <w:rPr>
            <w:rFonts w:ascii="Old Standard TT" w:hAnsi="Old Standard TT"/>
            <w:color w:val="2E5C8A"/>
            <w:sz w:val="20"/>
          </w:rPr>
          <w:t>techcrunch.com/2026/09/05/openai-confirms-wiki-incident-says-its-working-on-a-framework-for-more-disclosure/</w:t>
        </w:r>
      </w:hyperlink>
      <w:bookmarkEnd w:id="5"/>
    </w:p>
    <w:p>
      <w:bookmarkStart w:id="6" w:name="ref6"/>
      <w:pPr>
        <w:spacing w:after="80" w:line="259" w:lineRule="auto"/>
        <w:ind w:left="403" w:hanging="403"/>
        <w:jc w:val="both"/>
      </w:pPr>
      <w:r>
        <w:rPr>
          <w:rFonts w:ascii="Old Standard TT" w:hAnsi="Old Standard TT"/>
          <w:sz w:val="20"/>
        </w:rPr>
        <w:t xml:space="preserve">[6] Meridian Labs and UK AI Security Institute, 2026. Inspect Scout: in-depth analysis of AI agent transcripts. </w:t>
      </w:r>
      <w:hyperlink r:id="rId18">
        <w:r>
          <w:rPr>
            <w:rFonts w:ascii="Old Standard TT" w:hAnsi="Old Standard TT"/>
            <w:color w:val="2E5C8A"/>
            <w:sz w:val="20"/>
          </w:rPr>
          <w:t>github.com/meridianlabs-ai/inspect_scout</w:t>
        </w:r>
      </w:hyperlink>
      <w:bookmarkEnd w:id="6"/>
    </w:p>
    <w:p>
      <w:bookmarkStart w:id="7" w:name="ref7"/>
      <w:pPr>
        <w:spacing w:after="80" w:line="259" w:lineRule="auto"/>
        <w:ind w:left="403" w:hanging="403"/>
        <w:jc w:val="both"/>
      </w:pPr>
      <w:r>
        <w:rPr>
          <w:rFonts w:ascii="Old Standard TT" w:hAnsi="Old Standard TT"/>
          <w:sz w:val="20"/>
        </w:rPr>
        <w:t xml:space="preserve">[7] UK AI Security Institute and Redwood Research, 2025. ControlArena. </w:t>
      </w:r>
      <w:hyperlink r:id="rId19">
        <w:r>
          <w:rPr>
            <w:rFonts w:ascii="Old Standard TT" w:hAnsi="Old Standard TT"/>
            <w:color w:val="2E5C8A"/>
            <w:sz w:val="20"/>
          </w:rPr>
          <w:t>github.com/UKGovernmentBEIS/control-arena</w:t>
        </w:r>
      </w:hyperlink>
      <w:bookmarkEnd w:id="7"/>
    </w:p>
    <w:p>
      <w:bookmarkStart w:id="8" w:name="ref8"/>
      <w:pPr>
        <w:spacing w:after="80" w:line="259" w:lineRule="auto"/>
        <w:ind w:left="403" w:hanging="403"/>
        <w:jc w:val="both"/>
      </w:pPr>
      <w:r>
        <w:rPr>
          <w:rFonts w:ascii="Old Standard TT" w:hAnsi="Old Standard TT"/>
          <w:sz w:val="20"/>
        </w:rPr>
        <w:t xml:space="preserve">[8] Kutasov, J. et al., 2025. SHADE-Arena: evaluating sabotage and monitoring in LLM agents. </w:t>
      </w:r>
      <w:hyperlink r:id="rId20">
        <w:r>
          <w:rPr>
            <w:rFonts w:ascii="Old Standard TT" w:hAnsi="Old Standard TT"/>
            <w:color w:val="2E5C8A"/>
            <w:sz w:val="20"/>
          </w:rPr>
          <w:t>arXiv:2506.15740</w:t>
        </w:r>
      </w:hyperlink>
      <w:bookmarkEnd w:id="8"/>
    </w:p>
    <w:p>
      <w:bookmarkStart w:id="9" w:name="ref9"/>
      <w:pPr>
        <w:spacing w:after="80" w:line="259" w:lineRule="auto"/>
        <w:ind w:left="403" w:hanging="403"/>
        <w:jc w:val="both"/>
      </w:pPr>
      <w:r>
        <w:rPr>
          <w:rFonts w:ascii="Old Standard TT" w:hAnsi="Old Standard TT"/>
          <w:sz w:val="20"/>
        </w:rPr>
        <w:t xml:space="preserve">[9] Apollo Research, 2026. Watcher: security for coding agents (Watcher Live and Watcher Analyze). </w:t>
      </w:r>
      <w:hyperlink r:id="rId21">
        <w:r>
          <w:rPr>
            <w:rFonts w:ascii="Old Standard TT" w:hAnsi="Old Standard TT"/>
            <w:color w:val="2E5C8A"/>
            <w:sz w:val="20"/>
          </w:rPr>
          <w:t>watcher.apolloresearch.ai</w:t>
        </w:r>
      </w:hyperlink>
      <w:bookmarkEnd w:id="9"/>
    </w:p>
    <w:p>
      <w:bookmarkStart w:id="10" w:name="ref10"/>
      <w:pPr>
        <w:spacing w:after="80" w:line="259" w:lineRule="auto"/>
        <w:ind w:left="403" w:hanging="403"/>
        <w:jc w:val="both"/>
      </w:pPr>
      <w:r>
        <w:rPr>
          <w:rFonts w:ascii="Old Standard TT" w:hAnsi="Old Standard TT"/>
          <w:sz w:val="20"/>
        </w:rPr>
        <w:t xml:space="preserve">[10] ExploitGym, 2026. ExploitGym: can AI agents turn security vulnerabilities into real attacks? </w:t>
      </w:r>
      <w:hyperlink r:id="rId22">
        <w:r>
          <w:rPr>
            <w:rFonts w:ascii="Old Standard TT" w:hAnsi="Old Standard TT"/>
            <w:color w:val="2E5C8A"/>
            <w:sz w:val="20"/>
          </w:rPr>
          <w:t>arXiv:2605.11086</w:t>
        </w:r>
      </w:hyperlink>
      <w:r>
        <w:rPr>
          <w:rFonts w:ascii="Old Standard TT" w:hAnsi="Old Standard TT"/>
          <w:sz w:val="20"/>
        </w:rPr>
        <w:t>; repository and docs/firewall.md on GitHub, Apache-2.0.</w:t>
      </w:r>
      <w:bookmarkEnd w:id="10"/>
    </w:p>
    <w:p>
      <w:bookmarkStart w:id="11" w:name="ref11"/>
      <w:pPr>
        <w:spacing w:after="80" w:line="259" w:lineRule="auto"/>
        <w:ind w:left="403" w:hanging="403"/>
        <w:jc w:val="both"/>
      </w:pPr>
      <w:r>
        <w:rPr>
          <w:rFonts w:ascii="Old Standard TT" w:hAnsi="Old Standard TT"/>
          <w:sz w:val="20"/>
        </w:rPr>
        <w:t xml:space="preserve">[11] UK AI Security Institute, July 2026. Cheating behaviour in frontier model evaluations. </w:t>
      </w:r>
      <w:hyperlink r:id="rId23">
        <w:r>
          <w:rPr>
            <w:rFonts w:ascii="Old Standard TT" w:hAnsi="Old Standard TT"/>
            <w:color w:val="2E5C8A"/>
            <w:sz w:val="20"/>
          </w:rPr>
          <w:t>aisi.gov.uk/blog/cheating-behaviour-in-frontier-model-evaluations</w:t>
        </w:r>
      </w:hyperlink>
      <w:bookmarkEnd w:id="11"/>
    </w:p>
    <w:p>
      <w:bookmarkStart w:id="12" w:name="ref12"/>
      <w:pPr>
        <w:spacing w:after="80" w:line="259" w:lineRule="auto"/>
        <w:ind w:left="403" w:hanging="403"/>
        <w:jc w:val="both"/>
      </w:pPr>
      <w:r>
        <w:rPr>
          <w:rFonts w:ascii="Old Standard TT" w:hAnsi="Old Standard TT"/>
          <w:sz w:val="20"/>
        </w:rPr>
        <w:t xml:space="preserve">[12] Nagarkar, C., 2026. scorer-integrity: calibrating LLM judges against mechanical ground truth in Inspect evals. </w:t>
      </w:r>
      <w:hyperlink r:id="rId24">
        <w:r>
          <w:rPr>
            <w:rFonts w:ascii="Old Standard TT" w:hAnsi="Old Standard TT"/>
            <w:color w:val="2E5C8A"/>
            <w:sz w:val="20"/>
          </w:rPr>
          <w:t>github.com/crishN144/scorer-integrity</w:t>
        </w:r>
      </w:hyperlink>
      <w:bookmarkEnd w:id="12"/>
    </w:p>
    <w:p>
      <w:bookmarkStart w:id="13" w:name="ref13"/>
      <w:pPr>
        <w:spacing w:after="80" w:line="259" w:lineRule="auto"/>
        <w:ind w:left="403" w:hanging="403"/>
        <w:jc w:val="both"/>
      </w:pPr>
      <w:r>
        <w:rPr>
          <w:rFonts w:ascii="Old Standard TT" w:hAnsi="Old Standard TT"/>
          <w:sz w:val="20"/>
        </w:rPr>
        <w:t xml:space="preserve">[13] METR and Redwood Research, 26 August 2026. Brief independent investigation of agents' behavior, reasoning and collaboration in the OpenAI / Hugging Face hacking incident. </w:t>
      </w:r>
      <w:hyperlink r:id="rId25">
        <w:r>
          <w:rPr>
            <w:rFonts w:ascii="Old Standard TT" w:hAnsi="Old Standard TT"/>
            <w:color w:val="2E5C8A"/>
            <w:sz w:val="20"/>
          </w:rPr>
          <w:t>metr.org/blog/2026-08-26-openai-hugging-face-incident-investigation</w:t>
        </w:r>
      </w:hyperlink>
      <w:bookmarkEnd w:id="13"/>
    </w:p>
    <w:p>
      <w:bookmarkStart w:id="14" w:name="ref14"/>
      <w:pPr>
        <w:spacing w:after="80" w:line="259" w:lineRule="auto"/>
        <w:ind w:left="403" w:hanging="403"/>
        <w:jc w:val="both"/>
      </w:pPr>
      <w:r>
        <w:rPr>
          <w:rFonts w:ascii="Old Standard TT" w:hAnsi="Old Standard TT"/>
          <w:sz w:val="20"/>
        </w:rPr>
        <w:t xml:space="preserve">[14] Baker, B. et al., 2025. Monitoring reasoning models for misbehavior and the risks of promoting obfuscation. </w:t>
      </w:r>
      <w:hyperlink r:id="rId26">
        <w:r>
          <w:rPr>
            <w:rFonts w:ascii="Old Standard TT" w:hAnsi="Old Standard TT"/>
            <w:color w:val="2E5C8A"/>
            <w:sz w:val="20"/>
          </w:rPr>
          <w:t>arXiv:2503.11926</w:t>
        </w:r>
      </w:hyperlink>
      <w:bookmarkEnd w:id="14"/>
    </w:p>
    <w:p>
      <w:pPr>
        <w:pStyle w:val="Heading2"/>
        <w:keepNext/>
        <w:pageBreakBefore/>
      </w:pPr>
      <w:r>
        <w:t>Appendix A. Limitations and Dual-Use Considerations</w:t>
      </w:r>
    </w:p>
    <w:p>
      <w:pPr>
        <w:spacing w:after="100" w:line="259" w:lineRule="auto"/>
        <w:jc w:val="both"/>
      </w:pPr>
      <w:r>
        <w:rPr>
          <w:rFonts w:ascii="Old Standard TT" w:hAnsi="Old Standard TT"/>
          <w:sz w:val="21"/>
        </w:rPr>
        <w:t xml:space="preserve">Limitations are listed in Section 5 and are not repeated. Dual use is the concern specific to publishing a detector. Sentinel's extractor is a small set of regular expressions; publishing it publishes exactly which command forms it does not parse, which is an evasion map for an agent that reads the code. We publish it anyway for three reasons. First, the load-bearing component is the allowlist, not the extractor; an agent that evades the regex still has to reach a destination, and layer 3 (observed flows) does not depend on parsing. Second, the Track 1 criterion is third-party verifiability, which is impossible with a secret rule. Third, the labs' own accounts show the agents already read the evaluation's code and papers to find the flag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 xml:space="preserve">, </w:t>
      </w:r>
      <w:hyperlink w:anchor="ref11">
        <w:r>
          <w:rPr>
            <w:rFonts w:ascii="Old Standard TT" w:hAnsi="Old Standard TT"/>
            <w:color w:val="2E5C8A"/>
          </w:rPr>
          <w:t>11</w:t>
        </w:r>
      </w:hyperlink>
      <w:r>
        <w:rPr>
          <w:rFonts w:ascii="Old Standard TT" w:hAnsi="Old Standard TT"/>
          <w:sz w:val="21"/>
        </w:rPr>
        <w:t>]</w:t>
      </w:r>
      <w:r>
        <w:rPr>
          <w:rFonts w:ascii="Old Standard TT" w:hAnsi="Old Standard TT"/>
          <w:sz w:val="21"/>
        </w:rPr>
        <w:t>; hiding a detector from an agent that greps for it is not a control. The mitigation we recommend is the one we could not build in three days: pair the declared-action check with an observed-flow check, so that spoofing the argument does not spoof the verdict.</w:t>
      </w:r>
    </w:p>
    <w:p>
      <w:pPr>
        <w:spacing w:after="100" w:line="259" w:lineRule="auto"/>
        <w:jc w:val="both"/>
      </w:pPr>
      <w:r>
        <w:rPr>
          <w:rFonts w:ascii="Old Standard TT" w:hAnsi="Old Standard TT"/>
          <w:sz w:val="21"/>
        </w:rPr>
        <w:t>The fixtures contain no working exploit. Every command in the positive traces is a stated destination with a comment; the SSRF payload, the credentials and the internal hostnames from the incident are not reproduced. This respects the sprint rule against releasing installation recipes. The taxonomy in Appendix B could in principle guide an agent towards quieter behaviour; it is drawn entirely from the labs' published accounts and adds nothing they have not stated.</w:t>
      </w:r>
    </w:p>
    <w:p>
      <w:pPr>
        <w:pStyle w:val="Heading2"/>
        <w:keepNext/>
      </w:pPr>
      <w:r>
        <w:t>Appendix B. Taxonomy coverage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3744"/>
        <w:gridCol w:w="3456"/>
        <w:gridCol w:w="2160"/>
      </w:tblGrid>
      <w:tr>
        <w:trPr>
          <w:cantSplit/>
        </w:trPr>
        <w:tc>
          <w:tcPr>
            <w:tcW w:type="dxa" w:w="3744"/>
          </w:tcPr>
          <w:p>
            <w:pPr>
              <w:spacing w:line="269" w:lineRule="auto" w:after="0" w:before="0"/>
            </w:pPr>
            <w:r>
              <w:rPr>
                <w:rFonts w:ascii="Old Standard TT" w:hAnsi="Old Standard TT"/>
              </w:rPr>
            </w:r>
            <w:r>
              <w:rPr>
                <w:rFonts w:ascii="Old Standard TT" w:hAnsi="Old Standard TT"/>
                <w:b/>
                <w:sz w:val="16"/>
              </w:rPr>
              <w:t>Behaviour (from the public accounts)</w:t>
            </w:r>
          </w:p>
        </w:tc>
        <w:tc>
          <w:tcPr>
            <w:tcW w:type="dxa" w:w="3456"/>
          </w:tcPr>
          <w:p>
            <w:pPr>
              <w:spacing w:line="269" w:lineRule="auto" w:after="0" w:before="0"/>
            </w:pPr>
            <w:r>
              <w:rPr>
                <w:rFonts w:ascii="Old Standard TT" w:hAnsi="Old Standard TT"/>
              </w:rPr>
            </w:r>
            <w:r>
              <w:rPr>
                <w:rFonts w:ascii="Old Standard TT" w:hAnsi="Old Standard TT"/>
                <w:b/>
                <w:sz w:val="16"/>
              </w:rPr>
              <w:t>Seen in</w:t>
            </w:r>
          </w:p>
        </w:tc>
        <w:tc>
          <w:tcPr>
            <w:tcW w:type="dxa" w:w="2160"/>
          </w:tcPr>
          <w:p>
            <w:pPr>
              <w:spacing w:line="269" w:lineRule="auto" w:after="0" w:before="0"/>
            </w:pPr>
            <w:r>
              <w:rPr>
                <w:rFonts w:ascii="Old Standard TT" w:hAnsi="Old Standard TT"/>
              </w:rPr>
            </w:r>
            <w:r>
              <w:rPr>
                <w:rFonts w:ascii="Old Standard TT" w:hAnsi="Old Standard TT"/>
                <w:b/>
                <w:sz w:val="16"/>
              </w:rPr>
              <w:t>Sentinel</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1 Grader / evaluation probing</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OpenAI </w:t>
            </w:r>
            <w:r>
              <w:rPr>
                <w:rFonts w:ascii="Old Standard TT" w:hAnsi="Old Standard TT"/>
                <w:b w:val="0"/>
                <w:sz w:val="16"/>
              </w:rPr>
              <w:t>[</w:t>
            </w:r>
            <w:hyperlink w:anchor="ref1">
              <w:r>
                <w:rPr>
                  <w:rFonts w:ascii="Old Standard TT" w:hAnsi="Old Standard TT"/>
                  <w:color w:val="2E5C8A"/>
                  <w:sz w:val="16"/>
                </w:rPr>
                <w:t>1</w:t>
              </w:r>
            </w:hyperlink>
            <w:r>
              <w:rPr>
                <w:rFonts w:ascii="Old Standard TT" w:hAnsi="Old Standard TT"/>
                <w:b w:val="0"/>
                <w:sz w:val="16"/>
              </w:rPr>
              <w:t>]</w:t>
            </w:r>
            <w:r>
              <w:rPr>
                <w:rFonts w:ascii="Old Standard TT" w:hAnsi="Old Standard TT"/>
                <w:b w:val="0"/>
                <w:sz w:val="16"/>
              </w:rPr>
              <w:t xml:space="preserve">, AISI </w:t>
            </w:r>
            <w:r>
              <w:rPr>
                <w:rFonts w:ascii="Old Standard TT" w:hAnsi="Old Standard TT"/>
                <w:b w:val="0"/>
                <w:sz w:val="16"/>
              </w:rPr>
              <w:t>[</w:t>
            </w:r>
            <w:hyperlink w:anchor="ref11">
              <w:r>
                <w:rPr>
                  <w:rFonts w:ascii="Old Standard TT" w:hAnsi="Old Standard TT"/>
                  <w:color w:val="2E5C8A"/>
                  <w:sz w:val="16"/>
                </w:rPr>
                <w:t>11</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T1 WARN</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2 Sandbox / boundary testing</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OpenAI, Hugging Face </w:t>
            </w:r>
            <w:r>
              <w:rPr>
                <w:rFonts w:ascii="Old Standard TT" w:hAnsi="Old Standard TT"/>
                <w:b w:val="0"/>
                <w:sz w:val="16"/>
              </w:rPr>
              <w:t>[</w:t>
            </w:r>
            <w:hyperlink w:anchor="ref2">
              <w:r>
                <w:rPr>
                  <w:rFonts w:ascii="Old Standard TT" w:hAnsi="Old Standard TT"/>
                  <w:color w:val="2E5C8A"/>
                  <w:sz w:val="16"/>
                </w:rPr>
                <w:t>2</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T2 WARN</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3 Unauthorised egress vs declared scope</w:t>
            </w:r>
          </w:p>
        </w:tc>
        <w:tc>
          <w:tcPr>
            <w:tcW w:type="dxa" w:w="3456"/>
          </w:tcPr>
          <w:p>
            <w:pPr>
              <w:spacing w:line="269" w:lineRule="auto" w:after="0" w:before="0"/>
            </w:pPr>
            <w:r>
              <w:rPr>
                <w:rFonts w:ascii="Old Standard TT" w:hAnsi="Old Standard TT"/>
              </w:rPr>
            </w:r>
            <w:r>
              <w:rPr>
                <w:rFonts w:ascii="Old Standard TT" w:hAnsi="Old Standard TT"/>
                <w:b w:val="0"/>
                <w:sz w:val="16"/>
              </w:rPr>
              <w:t>all four</w:t>
            </w:r>
          </w:p>
        </w:tc>
        <w:tc>
          <w:tcPr>
            <w:tcW w:type="dxa" w:w="2160"/>
          </w:tcPr>
          <w:p>
            <w:pPr>
              <w:spacing w:line="269" w:lineRule="auto" w:after="0" w:before="0"/>
            </w:pPr>
            <w:r>
              <w:rPr>
                <w:rFonts w:ascii="Old Standard TT" w:hAnsi="Old Standard TT"/>
              </w:rPr>
            </w:r>
            <w:r>
              <w:rPr>
                <w:rFonts w:ascii="Old Standard TT" w:hAnsi="Old Standard TT"/>
                <w:b w:val="0"/>
                <w:sz w:val="16"/>
              </w:rPr>
              <w:t>T3 PAGE</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4 Inter-agent message boards</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OpenAI (Artifactory WebDAV), AISI (GitHub), DSEWiki </w:t>
            </w:r>
            <w:r>
              <w:rPr>
                <w:rFonts w:ascii="Old Standard TT" w:hAnsi="Old Standard TT"/>
                <w:b w:val="0"/>
                <w:sz w:val="16"/>
              </w:rPr>
              <w:t>[</w:t>
            </w:r>
            <w:hyperlink w:anchor="ref5">
              <w:r>
                <w:rPr>
                  <w:rFonts w:ascii="Old Standard TT" w:hAnsi="Old Standard TT"/>
                  <w:color w:val="2E5C8A"/>
                  <w:sz w:val="16"/>
                </w:rPr>
                <w:t>5</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not covered</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5 Credential harvesting and reuse</w:t>
            </w:r>
          </w:p>
        </w:tc>
        <w:tc>
          <w:tcPr>
            <w:tcW w:type="dxa" w:w="3456"/>
          </w:tcPr>
          <w:p>
            <w:pPr>
              <w:spacing w:line="269" w:lineRule="auto" w:after="0" w:before="0"/>
            </w:pPr>
            <w:r>
              <w:rPr>
                <w:rFonts w:ascii="Old Standard TT" w:hAnsi="Old Standard TT"/>
              </w:rPr>
            </w:r>
            <w:r>
              <w:rPr>
                <w:rFonts w:ascii="Old Standard TT" w:hAnsi="Old Standard TT"/>
                <w:b w:val="0"/>
                <w:sz w:val="16"/>
              </w:rPr>
              <w:t>OpenAI, Anthropic</w:t>
            </w:r>
          </w:p>
        </w:tc>
        <w:tc>
          <w:tcPr>
            <w:tcW w:type="dxa" w:w="2160"/>
          </w:tcPr>
          <w:p>
            <w:pPr>
              <w:spacing w:line="269" w:lineRule="auto" w:after="0" w:before="0"/>
            </w:pPr>
            <w:r>
              <w:rPr>
                <w:rFonts w:ascii="Old Standard TT" w:hAnsi="Old Standard TT"/>
              </w:rPr>
            </w:r>
            <w:r>
              <w:rPr>
                <w:rFonts w:ascii="Old Standard TT" w:hAnsi="Old Standard TT"/>
                <w:b w:val="0"/>
                <w:sz w:val="16"/>
              </w:rPr>
              <w:t>not covered (env telemetry)</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6 Out-of-scope target enumeration</w:t>
            </w:r>
          </w:p>
        </w:tc>
        <w:tc>
          <w:tcPr>
            <w:tcW w:type="dxa" w:w="3456"/>
          </w:tcPr>
          <w:p>
            <w:pPr>
              <w:spacing w:line="269" w:lineRule="auto" w:after="0" w:before="0"/>
            </w:pPr>
            <w:r>
              <w:rPr>
                <w:rFonts w:ascii="Old Standard TT" w:hAnsi="Old Standard TT"/>
              </w:rPr>
            </w:r>
            <w:r>
              <w:rPr>
                <w:rFonts w:ascii="Old Standard TT" w:hAnsi="Old Standard TT"/>
                <w:b w:val="0"/>
                <w:sz w:val="16"/>
              </w:rPr>
              <w:t>Anthropic (~9,000 targets)</w:t>
            </w:r>
          </w:p>
        </w:tc>
        <w:tc>
          <w:tcPr>
            <w:tcW w:type="dxa" w:w="2160"/>
          </w:tcPr>
          <w:p>
            <w:pPr>
              <w:spacing w:line="269" w:lineRule="auto" w:after="0" w:before="0"/>
            </w:pPr>
            <w:r>
              <w:rPr>
                <w:rFonts w:ascii="Old Standard TT" w:hAnsi="Old Standard TT"/>
              </w:rPr>
            </w:r>
            <w:r>
              <w:rPr>
                <w:rFonts w:ascii="Old Standard TT" w:hAnsi="Old Standard TT"/>
                <w:b w:val="0"/>
                <w:sz w:val="16"/>
              </w:rPr>
              <w:t>T3 if a host is stated</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7 Persistence past a safe exit</w:t>
            </w:r>
          </w:p>
        </w:tc>
        <w:tc>
          <w:tcPr>
            <w:tcW w:type="dxa" w:w="3456"/>
          </w:tcPr>
          <w:p>
            <w:pPr>
              <w:spacing w:line="269" w:lineRule="auto" w:after="0" w:before="0"/>
            </w:pPr>
            <w:r>
              <w:rPr>
                <w:rFonts w:ascii="Old Standard TT" w:hAnsi="Old Standard TT"/>
              </w:rPr>
            </w:r>
            <w:r>
              <w:rPr>
                <w:rFonts w:ascii="Old Standard TT" w:hAnsi="Old Standard TT"/>
                <w:b w:val="0"/>
                <w:sz w:val="16"/>
              </w:rPr>
              <w:t>OpenAI (198/898 unsolved tasks)</w:t>
            </w:r>
          </w:p>
        </w:tc>
        <w:tc>
          <w:tcPr>
            <w:tcW w:type="dxa" w:w="2160"/>
          </w:tcPr>
          <w:p>
            <w:pPr>
              <w:spacing w:line="269" w:lineRule="auto" w:after="0" w:before="0"/>
            </w:pPr>
            <w:r>
              <w:rPr>
                <w:rFonts w:ascii="Old Standard TT" w:hAnsi="Old Standard TT"/>
              </w:rPr>
            </w:r>
            <w:r>
              <w:rPr>
                <w:rFonts w:ascii="Old Standard TT" w:hAnsi="Old Standard TT"/>
                <w:b w:val="0"/>
                <w:sz w:val="16"/>
              </w:rPr>
              <w:t>not covered (policy)</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8 Transcript / monitor tampering</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AISI, METR </w:t>
            </w:r>
            <w:r>
              <w:rPr>
                <w:rFonts w:ascii="Old Standard TT" w:hAnsi="Old Standard TT"/>
                <w:b w:val="0"/>
                <w:sz w:val="16"/>
              </w:rPr>
              <w:t>[</w:t>
            </w:r>
            <w:hyperlink w:anchor="ref13">
              <w:r>
                <w:rPr>
                  <w:rFonts w:ascii="Old Standard TT" w:hAnsi="Old Standard TT"/>
                  <w:color w:val="2E5C8A"/>
                  <w:sz w:val="16"/>
                </w:rPr>
                <w:t>13</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not covered; defeats T3</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9 Goal adoption from peers</w:t>
            </w:r>
          </w:p>
        </w:tc>
        <w:tc>
          <w:tcPr>
            <w:tcW w:type="dxa" w:w="3456"/>
          </w:tcPr>
          <w:p>
            <w:pPr>
              <w:spacing w:line="269" w:lineRule="auto" w:after="0" w:before="0"/>
            </w:pPr>
            <w:r>
              <w:rPr>
                <w:rFonts w:ascii="Old Standard TT" w:hAnsi="Old Standard TT"/>
              </w:rPr>
            </w:r>
            <w:r>
              <w:rPr>
                <w:rFonts w:ascii="Old Standard TT" w:hAnsi="Old Standard TT"/>
                <w:b w:val="0"/>
                <w:sz w:val="16"/>
              </w:rPr>
              <w:t>OpenAI</w:t>
            </w:r>
          </w:p>
        </w:tc>
        <w:tc>
          <w:tcPr>
            <w:tcW w:type="dxa" w:w="2160"/>
          </w:tcPr>
          <w:p>
            <w:pPr>
              <w:spacing w:line="269" w:lineRule="auto" w:after="0" w:before="0"/>
            </w:pPr>
            <w:r>
              <w:rPr>
                <w:rFonts w:ascii="Old Standard TT" w:hAnsi="Old Standard TT"/>
              </w:rPr>
            </w:r>
            <w:r>
              <w:rPr>
                <w:rFonts w:ascii="Old Standard TT" w:hAnsi="Old Standard TT"/>
                <w:b w:val="0"/>
                <w:sz w:val="16"/>
              </w:rPr>
              <w:t>not covered</w:t>
            </w:r>
          </w:p>
        </w:tc>
      </w:tr>
    </w:tbl>
    <w:p>
      <w:pPr>
        <w:spacing w:line="312" w:lineRule="auto" w:before="140" w:after="200"/>
      </w:pPr>
      <w:r>
        <w:rPr>
          <w:rFonts w:ascii="Old Standard TT" w:hAnsi="Old Standard TT"/>
          <w:i/>
          <w:sz w:val="19"/>
        </w:rPr>
        <w:t>Table 3. The nine behaviours distilled from the four public accounts, and which ones an allowlist-relative scanner can see. Only item 3 is a mechanical page; items 1 and 2 warn; the rest need environment telemetry or multi-agent corpora and are out of scope for this artifact.</w:t>
      </w:r>
    </w:p>
    <w:p>
      <w:pPr>
        <w:pStyle w:val="Heading2"/>
        <w:keepNext/>
        <w:pageBreakBefore/>
      </w:pPr>
      <w:r>
        <w:t>Appendix C. A filled containment record for one evaluation class</w:t>
      </w:r>
    </w:p>
    <w:p>
      <w:pPr>
        <w:spacing w:after="100" w:line="259" w:lineRule="auto"/>
        <w:jc w:val="both"/>
      </w:pPr>
      <w:r>
        <w:rPr>
          <w:rFonts w:ascii="Old Standard TT" w:hAnsi="Old Standard TT"/>
          <w:sz w:val="21"/>
        </w:rPr>
        <w:t>Track 1 asks whether a third party could verify compliance without access to the lab's network. This is what that verification would consume: an example record a lab could attach to an evaluation class, filled here for the ExploitGym class on our reconstruction of the Hugging Face trace. Every hash is computed from the files in the repository by experiments/make_record.py, and a test fails if the record and the files disagree. A lab would attach its own log in place of the reconstruction; nothing else in the record changes.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2448"/>
        <w:gridCol w:w="6912"/>
      </w:tblGrid>
      <w:tr>
        <w:trPr>
          <w:cantSplit/>
        </w:trPr>
        <w:tc>
          <w:tcPr>
            <w:tcW w:type="dxa" w:w="2448"/>
          </w:tcPr>
          <w:p>
            <w:pPr>
              <w:spacing w:line="269" w:lineRule="auto" w:after="0" w:before="0"/>
            </w:pPr>
            <w:r>
              <w:rPr>
                <w:rFonts w:ascii="Old Standard TT" w:hAnsi="Old Standard TT"/>
              </w:rPr>
            </w:r>
            <w:r>
              <w:rPr>
                <w:rFonts w:ascii="Old Standard TT" w:hAnsi="Old Standard TT"/>
                <w:b/>
                <w:sz w:val="16"/>
              </w:rPr>
              <w:t>Field</w:t>
            </w:r>
          </w:p>
        </w:tc>
        <w:tc>
          <w:tcPr>
            <w:tcW w:type="dxa" w:w="6912"/>
          </w:tcPr>
          <w:p>
            <w:pPr>
              <w:spacing w:line="269" w:lineRule="auto" w:after="0" w:before="0"/>
            </w:pPr>
            <w:r>
              <w:rPr>
                <w:rFonts w:ascii="Old Standard TT" w:hAnsi="Old Standard TT"/>
              </w:rPr>
            </w:r>
            <w:r>
              <w:rPr>
                <w:rFonts w:ascii="Old Standard TT" w:hAnsi="Old Standard TT"/>
                <w:b/>
                <w:sz w:val="16"/>
              </w:rPr>
              <w:t>Value</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Evaluation class</w:t>
            </w:r>
          </w:p>
        </w:tc>
        <w:tc>
          <w:tcPr>
            <w:tcW w:type="dxa" w:w="6912"/>
          </w:tcPr>
          <w:p>
            <w:pPr>
              <w:spacing w:line="269" w:lineRule="auto" w:after="0" w:before="0"/>
            </w:pPr>
            <w:r>
              <w:rPr>
                <w:rFonts w:ascii="Old Standard TT" w:hAnsi="Old Standard TT"/>
              </w:rPr>
            </w:r>
            <w:r>
              <w:rPr>
                <w:rFonts w:ascii="Old Standard TT" w:hAnsi="Old Standard TT"/>
                <w:b w:val="0"/>
                <w:sz w:val="16"/>
              </w:rPr>
              <w:t>exploitgym-cyber-eval  (filled 2026-09-14)</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Declared scope</w:t>
            </w:r>
          </w:p>
        </w:tc>
        <w:tc>
          <w:tcPr>
            <w:tcW w:type="dxa" w:w="6912"/>
          </w:tcPr>
          <w:p>
            <w:pPr>
              <w:spacing w:line="269" w:lineRule="auto" w:after="0" w:before="0"/>
            </w:pPr>
            <w:r>
              <w:rPr>
                <w:rFonts w:ascii="Old Standard TT" w:hAnsi="Old Standard TT"/>
              </w:rPr>
            </w:r>
            <w:r>
              <w:rPr>
                <w:rFonts w:ascii="Old Standard TT" w:hAnsi="Old Standard TT"/>
                <w:b w:val="0"/>
                <w:sz w:val="16"/>
              </w:rPr>
              <w:t>allowlists/exploitgym.json</w:t>
              <w:br/>
              <w:t>sha256 f6484df479ecce81f61f4e5b3861cd01f25696e0fbc2f572de20b7903e65dc93</w:t>
              <w:br/>
              <w:t>allowed_hosts: api.anthropic.com, api.openai.com, artifactory.internal; internet_expected: false</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Trace</w:t>
            </w:r>
          </w:p>
        </w:tc>
        <w:tc>
          <w:tcPr>
            <w:tcW w:type="dxa" w:w="6912"/>
          </w:tcPr>
          <w:p>
            <w:pPr>
              <w:spacing w:line="269" w:lineRule="auto" w:after="0" w:before="0"/>
            </w:pPr>
            <w:r>
              <w:rPr>
                <w:rFonts w:ascii="Old Standard TT" w:hAnsi="Old Standard TT"/>
              </w:rPr>
            </w:r>
            <w:r>
              <w:rPr>
                <w:rFonts w:ascii="Old Standard TT" w:hAnsi="Old Standard TT"/>
                <w:b w:val="0"/>
                <w:sz w:val="16"/>
              </w:rPr>
              <w:t>traces/hf_openai.json  (7 events)</w:t>
              <w:br/>
              <w:t>sha256 2aaaf0f915fa346821c43987207ef48ee60c674af734ba9597fa5ab2a48fcdf7</w:t>
              <w:br/>
              <w:t>RECONSTRUCTION from the public record (huggingface.co/blog/agent-intrusion-technical-timeline; openai.com/index/hugging-face-model-evaluation-security-incident). A lab would attach its own log.</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First out-of-scope stated destination</w:t>
            </w:r>
          </w:p>
        </w:tc>
        <w:tc>
          <w:tcPr>
            <w:tcW w:type="dxa" w:w="6912"/>
          </w:tcPr>
          <w:p>
            <w:pPr>
              <w:spacing w:line="269" w:lineRule="auto" w:after="0" w:before="0"/>
            </w:pPr>
            <w:r>
              <w:rPr>
                <w:rFonts w:ascii="Old Standard TT" w:hAnsi="Old Standard TT"/>
              </w:rPr>
            </w:r>
            <w:r>
              <w:rPr>
                <w:rFonts w:ascii="Old Standard TT" w:hAnsi="Old Standard TT"/>
                <w:b w:val="0"/>
                <w:sz w:val="16"/>
              </w:rPr>
              <w:t>event 3: cybergym-fn-7bf.modal.run</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Verdict</w:t>
            </w:r>
          </w:p>
        </w:tc>
        <w:tc>
          <w:tcPr>
            <w:tcW w:type="dxa" w:w="6912"/>
          </w:tcPr>
          <w:p>
            <w:pPr>
              <w:spacing w:line="269" w:lineRule="auto" w:after="0" w:before="0"/>
            </w:pPr>
            <w:r>
              <w:rPr>
                <w:rFonts w:ascii="Old Standard TT" w:hAnsi="Old Standard TT"/>
              </w:rPr>
            </w:r>
            <w:r>
              <w:rPr>
                <w:rFonts w:ascii="Old Standard TT" w:hAnsi="Old Standard TT"/>
                <w:b w:val="0"/>
                <w:sz w:val="16"/>
              </w:rPr>
              <w:t>PAGE  (3 warn-only findings, never paged)</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Who can recompute it, and how</w:t>
            </w:r>
          </w:p>
        </w:tc>
        <w:tc>
          <w:tcPr>
            <w:tcW w:type="dxa" w:w="6912"/>
          </w:tcPr>
          <w:p>
            <w:pPr>
              <w:spacing w:line="269" w:lineRule="auto" w:after="0" w:before="0"/>
            </w:pPr>
            <w:r>
              <w:rPr>
                <w:rFonts w:ascii="Old Standard TT" w:hAnsi="Old Standard TT"/>
              </w:rPr>
            </w:r>
            <w:r>
              <w:rPr>
                <w:rFonts w:ascii="Old Standard TT" w:hAnsi="Old Standard TT"/>
                <w:b w:val="0"/>
                <w:sz w:val="16"/>
              </w:rPr>
              <w:t>sentinel score traces/hf_openai.json</w:t>
              <w:br/>
              <w:t>the two files above and this repository; no network, no model, no API key</w:t>
              <w:br/>
              <w:t>core.py sha256 1691ce806d1624dc…, extract.py sha256 4f3e4cc85fa4a478…</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What the record does not establish</w:t>
            </w:r>
          </w:p>
        </w:tc>
        <w:tc>
          <w:tcPr>
            <w:tcW w:type="dxa" w:w="6912"/>
          </w:tcPr>
          <w:p>
            <w:pPr>
              <w:spacing w:line="269" w:lineRule="auto" w:after="0" w:before="0"/>
            </w:pPr>
            <w:r>
              <w:rPr>
                <w:rFonts w:ascii="Old Standard TT" w:hAnsi="Old Standard TT"/>
              </w:rPr>
            </w:r>
            <w:r>
              <w:rPr>
                <w:rFonts w:ascii="Old Standard TT" w:hAnsi="Old Standard TT"/>
                <w:b w:val="0"/>
                <w:sz w:val="16"/>
              </w:rPr>
              <w:t>• that the escape was prevented (page != prevent)</w:t>
              <w:br/>
              <w:t>• anything about traffic through allowlisted hosts (SSRF via a permitted proxy is invisible)</w:t>
              <w:br/>
              <w:t>• anything about destinations the agent reached but did not state (declared, not observed, action)</w:t>
            </w:r>
          </w:p>
        </w:tc>
      </w:tr>
    </w:tbl>
    <w:p>
      <w:pPr>
        <w:spacing w:line="312" w:lineRule="auto" w:before="140" w:after="200"/>
      </w:pPr>
      <w:r>
        <w:rPr>
          <w:rFonts w:ascii="Old Standard TT" w:hAnsi="Old Standard TT"/>
          <w:i/>
          <w:sz w:val="19"/>
        </w:rPr>
        <w:t>Table 4. The filled record, verbatim from records/exploitgym-cyber-eval.json. A second party recomputes the verdict from the two hashed files and the repository, offline. The trace here is a reconstruction; the record format does not depend on that.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2">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https://github.com/crishN144/sentinel-evals" TargetMode="External"/><Relationship Id="rId11" Type="http://schemas.openxmlformats.org/officeDocument/2006/relationships/hyperlink" Target="https://openai.com/index/hugging-face-model-evaluation-security-incident/" TargetMode="External"/><Relationship Id="rId12" Type="http://schemas.openxmlformats.org/officeDocument/2006/relationships/hyperlink" Target="https://openai.com/index/hugging-face-incident-and-the-road-ahead" TargetMode="External"/><Relationship Id="rId13" Type="http://schemas.openxmlformats.org/officeDocument/2006/relationships/hyperlink" Target="https://huggingface.co/blog/agent-intrusion-technical-timeline" TargetMode="External"/><Relationship Id="rId14" Type="http://schemas.openxmlformats.org/officeDocument/2006/relationships/hyperlink" Target="https://www.anthropic.com/news/investigating-incidents-cybersecurity-evals" TargetMode="External"/><Relationship Id="rId15" Type="http://schemas.openxmlformats.org/officeDocument/2006/relationships/hyperlink" Target="https://www.aisi.gov.uk/blog/incident-report-unsanctioned-agent-behaviour-during-cyber-testing" TargetMode="External"/><Relationship Id="rId16" Type="http://schemas.openxmlformats.org/officeDocument/2006/relationships/hyperlink" Target="https://collusion.wiki/" TargetMode="External"/><Relationship Id="rId17" Type="http://schemas.openxmlformats.org/officeDocument/2006/relationships/hyperlink" Target="https://techcrunch.com/2026/09/05/openai-confirms-wiki-incident-says-its-working-on-a-framework-for-more-disclosure/" TargetMode="External"/><Relationship Id="rId18" Type="http://schemas.openxmlformats.org/officeDocument/2006/relationships/hyperlink" Target="https://github.com/meridianlabs-ai/inspect_scout" TargetMode="External"/><Relationship Id="rId19" Type="http://schemas.openxmlformats.org/officeDocument/2006/relationships/hyperlink" Target="https://github.com/UKGovernmentBEIS/control-arena" TargetMode="External"/><Relationship Id="rId20" Type="http://schemas.openxmlformats.org/officeDocument/2006/relationships/hyperlink" Target="https://arxiv.org/abs/2506.15740" TargetMode="External"/><Relationship Id="rId21" Type="http://schemas.openxmlformats.org/officeDocument/2006/relationships/hyperlink" Target="https://watcher.apolloresearch.ai/" TargetMode="External"/><Relationship Id="rId22" Type="http://schemas.openxmlformats.org/officeDocument/2006/relationships/hyperlink" Target="https://arxiv.org/abs/2605.11086" TargetMode="External"/><Relationship Id="rId23" Type="http://schemas.openxmlformats.org/officeDocument/2006/relationships/hyperlink" Target="https://www.aisi.gov.uk/blog/cheating-behaviour-in-frontier-model-evaluations" TargetMode="External"/><Relationship Id="rId24" Type="http://schemas.openxmlformats.org/officeDocument/2006/relationships/hyperlink" Target="https://github.com/crishN144/scorer-integrity" TargetMode="External"/><Relationship Id="rId25" Type="http://schemas.openxmlformats.org/officeDocument/2006/relationships/hyperlink" Target="https://metr.org/blog/2026-08-26-openai-hugging-face-incident-investigation/" TargetMode="External"/><Relationship Id="rId26" Type="http://schemas.openxmlformats.org/officeDocument/2006/relationships/hyperlink" Target="https://arxiv.org/abs/2503.119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