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40" w:lineRule="auto"/>
        <w:rPr>
          <w:rFonts w:ascii="Old Standard TT" w:cs="Old Standard TT" w:eastAsia="Old Standard TT" w:hAnsi="Old Standard TT"/>
          <w:sz w:val="12"/>
          <w:szCs w:val="12"/>
        </w:rPr>
      </w:pPr>
      <w:r w:rsidDel="00000000" w:rsidR="00000000" w:rsidRPr="00000000">
        <w:rPr>
          <w:rFonts w:ascii="Old Standard TT" w:hAnsi="Old Standard TT"/>
          <w:sz w:val="21"/>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24" w:val="single"/>
              <w:left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spacing w:after="200" w:line="240" w:lineRule="auto"/>
              <w:rPr>
                <w:rFonts w:ascii="Old Standard TT" w:cs="Old Standard TT" w:eastAsia="Old Standard TT" w:hAnsi="Old Standard TT"/>
                <w:sz w:val="20"/>
                <w:szCs w:val="20"/>
              </w:rPr>
            </w:pPr>
            <w:r w:rsidDel="00000000" w:rsidR="00000000" w:rsidRPr="00000000">
              <w:rPr>
                <w:rtl w:val="0"/>
              </w:rPr>
            </w:r>
          </w:p>
          <w:p w:rsidR="00000000" w:rsidDel="00000000" w:rsidP="00000000" w:rsidRDefault="00000000" w:rsidRPr="00000000" w14:paraId="00000003">
            <w:pPr>
              <w:pStyle w:val="Title"/>
              <w:spacing w:after="200" w:line="240" w:lineRule="auto"/>
              <w:jc w:val="center"/>
              <w:rPr>
                <w:rFonts w:ascii="Old Standard TT" w:cs="Old Standard TT" w:eastAsia="Old Standard TT" w:hAnsi="Old Standard TT"/>
                <w:b w:val="1"/>
                <w:bCs w:val="1"/>
                <w:color w:val="000000"/>
                <w:sz w:val="40"/>
                <w:szCs w:val="40"/>
              </w:rPr>
            </w:pPr>
            <w:bookmarkStart w:colFirst="0" w:colLast="0" w:name="_bzdusysp7krw" w:id="0"/>
            <w:bookmarkEnd w:id="0"/>
            <w:r w:rsidDel="00000000" w:rsidR="00000000" w:rsidRPr="00000000">
              <w:rPr>
                <w:rFonts w:ascii="Old Standard TT" w:cs="Old Standard TT" w:eastAsia="Old Standard TT" w:hAnsi="Old Standard TT"/>
                <w:b w:val="1"/>
                <w:bCs w:val="1"/>
                <w:sz w:val="40"/>
                <w:szCs w:val="40"/>
                <w:rtl w:val="0"/>
              </w:rPr>
              <w:t>Sentinel: The Declared Scope Is the Unit of Containment Evidence in Agentic Evaluations</w:t>
            </w:r>
          </w:p>
          <w:p w:rsidR="00000000" w:rsidDel="00000000" w:rsidP="00000000" w:rsidRDefault="00000000" w:rsidRPr="00000000" w14:paraId="00000004">
            <w:pPr>
              <w:spacing w:after="200" w:line="240" w:lineRule="auto"/>
              <w:jc w:val="both"/>
              <w:rPr>
                <w:rFonts w:ascii="Old Standard TT" w:cs="Old Standard TT" w:eastAsia="Old Standard TT" w:hAnsi="Old Standard TT"/>
                <w:sz w:val="20"/>
                <w:szCs w:val="20"/>
              </w:rPr>
            </w:pP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5">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2"/>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20" w:hRule="atLeast"/>
                <w:tblHeader w:val="0"/>
              </w:trPr>
              <w:tc>
                <w:tcPr>
                  <w:gridSpan w:val="3"/>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6">
                  <w:pPr>
                    <w:spacing w:after="200" w:line="240" w:lineRule="auto"/>
                    <w:rPr>
                      <w:rFonts w:ascii="Old Standard TT" w:cs="Old Standard TT" w:eastAsia="Old Standard TT" w:hAnsi="Old Standard TT"/>
                      <w:sz w:val="2"/>
                      <w:szCs w:val="2"/>
                    </w:rPr>
                  </w:pPr>
                  <w:r w:rsidDel="00000000" w:rsidR="00000000" w:rsidRPr="00000000">
                    <w:rPr>
                      <w:rtl w:val="0"/>
                    </w:rPr>
                  </w:r>
                </w:p>
                <w:tbl>
                  <w:tblPr>
                    <w:tblStyle w:val="Table3"/>
                    <w:tblW w:w="936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7">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8">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Crish Nagarkar</w:t>
                          <w:br w:type="textWrapping"/>
                          <w:t xml:space="preserve">University of Leeds</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9">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A">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B">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C">
                        <w:pPr>
                          <w:spacing w:after="200" w:line="240" w:lineRule="auto"/>
                          <w:jc w:val="center"/>
                          <w:rPr>
                            <w:rFonts w:ascii="Old Standard TT" w:cs="Old Standard TT" w:eastAsia="Old Standard TT" w:hAnsi="Old Standard TT"/>
                          </w:rPr>
                        </w:pPr>
                        <w:r w:rsidDel="00000000" w:rsidR="00000000" w:rsidRPr="00000000">
                          <w:rPr>
                            <w:rFonts w:ascii="Old Standard TT" w:cs="Old Standard TT" w:eastAsia="Old Standard TT" w:hAnsi="Old Standard TT"/>
                            <w:rtl w:val="0"/>
                          </w:rPr>
                          <w:t xml:space="preserve"/>
                          <w:br w:type="textWrapping"/>
                          <w:t xml:space="preserve"/>
                        </w:r>
                      </w:p>
                    </w:tc>
                  </w:tr>
                </w:tbl>
                <w:p w:rsidR="00000000" w:rsidDel="00000000" w:rsidP="00000000" w:rsidRDefault="00000000" w:rsidRPr="00000000" w14:paraId="0000000D">
                  <w:pPr>
                    <w:spacing w:after="200" w:line="240" w:lineRule="auto"/>
                    <w:jc w:val="center"/>
                    <w:rPr>
                      <w:rFonts w:ascii="Old Standard TT" w:cs="Old Standard TT" w:eastAsia="Old Standard TT" w:hAnsi="Old Standard TT"/>
                      <w:i w:val="1"/>
                      <w:iCs w:val="1"/>
                    </w:rPr>
                  </w:pPr>
                  <w:r w:rsidDel="00000000" w:rsidR="00000000" w:rsidRPr="00000000">
                    <w:rPr>
                      <w:rFonts w:ascii="Old Standard TT" w:cs="Old Standard TT" w:eastAsia="Old Standard TT" w:hAnsi="Old Standard TT"/>
                      <w:b w:val="1"/>
                      <w:bCs w:val="1"/>
                      <w:rtl w:val="0"/>
                    </w:rPr>
                    <w:t xml:space="preserve">With</w:t>
                    <w:br w:type="textWrapping"/>
                  </w:r>
                  <w:r w:rsidDel="00000000" w:rsidR="00000000" w:rsidRPr="00000000">
                    <w:rPr>
                      <w:rFonts w:ascii="Old Standard TT" w:cs="Old Standard TT" w:eastAsia="Old Standard TT" w:hAnsi="Old Standard TT"/>
                      <w:rtl w:val="0"/>
                    </w:rPr>
                    <w:t xml:space="preserve">Apart Research</w:t>
                  </w:r>
                  <w:r w:rsidDel="00000000" w:rsidR="00000000" w:rsidRPr="00000000">
                    <w:rPr>
                      <w:rtl w:val="0"/>
                    </w:rPr>
                  </w:r>
                </w:p>
              </w:tc>
            </w:tr>
          </w:tbl>
          <w:p w:rsidR="00000000" w:rsidDel="00000000" w:rsidP="00000000" w:rsidRDefault="00000000" w:rsidRPr="00000000" w14:paraId="00000010">
            <w:pPr>
              <w:spacing w:after="200" w:before="240" w:line="240" w:lineRule="auto"/>
              <w:jc w:val="center"/>
              <w:rPr>
                <w:rFonts w:ascii="Old Standard TT" w:cs="Old Standard TT" w:eastAsia="Old Standard TT" w:hAnsi="Old Standard TT"/>
                <w:b w:val="1"/>
                <w:bCs w:val="1"/>
                <w:sz w:val="28"/>
                <w:szCs w:val="28"/>
              </w:rPr>
            </w:pPr>
            <w:r w:rsidDel="00000000" w:rsidR="00000000" w:rsidRPr="00000000">
              <w:rPr>
                <w:rFonts w:ascii="Old Standard TT" w:cs="Old Standard TT" w:eastAsia="Old Standard TT" w:hAnsi="Old Standard TT"/>
                <w:b w:val="1"/>
                <w:bCs w:val="1"/>
                <w:sz w:val="28"/>
                <w:szCs w:val="28"/>
                <w:rtl w:val="0"/>
              </w:rPr>
              <w:t xml:space="preserve">Abstract</w:t>
            </w:r>
          </w:p>
          <w:tbl>
            <w:tblPr>
              <w:tblStyle w:val="Table4"/>
              <w:tblW w:w="7095.0" w:type="dxa"/>
              <w:jc w:val="left"/>
              <w:tblInd w:w="7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95"/>
              <w:tblGridChange w:id="0">
                <w:tblGrid>
                  <w:gridCol w:w="7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1">
                  <w:pPr>
                    <w:spacing w:after="200" w:line="240" w:lineRule="auto"/>
                    <w:ind w:left="540" w:right="45" w:firstLine="0"/>
                    <w:jc w:val="both"/>
                    <w:rPr>
                      <w:rFonts w:ascii="Old Standard TT" w:cs="Old Standard TT" w:eastAsia="Old Standard TT" w:hAnsi="Old Standard TT"/>
                      <w:u w:val="single"/>
                    </w:rPr>
                  </w:pPr>
                  <w:r w:rsidDel="00000000" w:rsidR="00000000" w:rsidRPr="00000000">
                    <w:rPr>
                      <w:rFonts w:ascii="Old Standard TT" w:cs="Old Standard TT" w:eastAsia="Old Standard TT" w:hAnsi="Old Standard TT"/>
                      <w:i w:val="0"/>
                      <w:iCs w:val="1"/>
                      <w:rtl w:val="0"/>
                    </w:rPr>
                    <w:t xml:space="preserve">Between April and July 2026, agents under evaluation at OpenAI, Anthropic and the UK AI Security Institute reached real third parties. In every public account the evaluation's network scope was declared in prose or assumed, never checked against what the agent did, and detection came late from a side signal. We argue that an evaluation's declared scope, written as a machine-readable allowlist, is the unit of containment evidence a third party can verify, and build Sentinel, an Inspect scanner that classifies each tool call's stated destination against it and pages on the first out-of-scope one, with no model in the gate. On reconstructions of three public incidents (four to seven events each, from the published timelines) it pages at the first non-allowlisted destination and is silent on three hard negatives. On the 14,591-revision DSEWiki export, a record we did not write, it is silent under the wildcard scope the sandbox actually had and pages on day one under any scope naming the task's data sources; on a live eight-sample Inspect run with an empty declared scope it is correctly silent on 42 real tool calls. The headline result is an ablation on one trace: a too-tight scope pages on permitted traffic, a wildcard scope is silent on the escape. Verifiability is a property of the pair (trace, allowlist), not of the detector. The same trace shows the page arrives after the escape, which went through the permitted proxy: a scanner audits containment; it does not provide it.</w:t>
                  </w:r>
                  <w:r w:rsidDel="00000000" w:rsidR="00000000" w:rsidRPr="00000000">
                    <w:rPr>
                      <w:rFonts w:ascii="Old Standard TT" w:cs="Old Standard TT" w:eastAsia="Old Standard TT" w:hAnsi="Old Standard TT"/>
                      <w:i w:val="0"/>
                      <w:iCs w:val="1"/>
                      <w:u w:val="single"/>
                      <w:rtl w:val="0"/>
                    </w:rPr>
                    <w:t xml:space="preserve"/>
                  </w:r>
                  <w:r w:rsidDel="00000000" w:rsidR="00000000" w:rsidRPr="00000000">
                    <w:rPr>
                      <w:rFonts w:ascii="Old Standard TT" w:cs="Old Standard TT" w:eastAsia="Old Standard TT" w:hAnsi="Old Standard TT"/>
                      <w:i w:val="0"/>
                      <w:iCs w:val="1"/>
                      <w:rtl w:val="0"/>
                    </w:rPr>
                    <w:t xml:space="preserve"/>
                  </w:r>
                  <w:r w:rsidDel="00000000" w:rsidR="00000000" w:rsidRPr="00000000">
                    <w:rPr>
                      <w:rtl w:val="0"/>
                    </w:rPr>
                  </w:r>
                </w:p>
              </w:tc>
            </w:tr>
          </w:tbl>
          <w:p w:rsidR="00000000" w:rsidDel="00000000" w:rsidP="00000000" w:rsidRDefault="00000000" w:rsidRPr="00000000" w14:paraId="00000012">
            <w:pPr>
              <w:spacing w:after="200" w:line="240" w:lineRule="auto"/>
              <w:rPr>
                <w:rFonts w:ascii="Old Standard TT" w:cs="Old Standard TT" w:eastAsia="Old Standard TT" w:hAnsi="Old Standard TT"/>
                <w:b w:val="1"/>
                <w:bCs w:val="1"/>
                <w:sz w:val="12"/>
                <w:szCs w:val="12"/>
              </w:rPr>
            </w:pPr>
            <w:r w:rsidDel="00000000" w:rsidR="00000000" w:rsidRPr="00000000">
              <w:rPr>
                <w:rtl w:val="0"/>
              </w:rPr>
            </w:r>
          </w:p>
        </w:tc>
      </w:tr>
    </w:tbl>
    <w:p w:rsidR="00000000" w:rsidDel="00000000" w:rsidP="00000000" w:rsidRDefault="00000000" w:rsidRPr="00000000" w14:paraId="00000013">
      <w:pPr>
        <w:spacing w:line="259" w:lineRule="auto"/>
        <w:rPr/>
      </w:pPr>
      <w:r w:rsidDel="00000000" w:rsidR="00000000" w:rsidRPr="00000000">
        <w:rPr>
          <w:rFonts w:ascii="Old Standard TT" w:hAnsi="Old Standard TT"/>
          <w:sz w:val="21"/>
          <w:rtl w:val="0"/>
        </w:rPr>
      </w:r>
    </w:p>
    <w:p>
      <w:pPr>
        <w:pStyle w:val="Heading2"/>
        <w:keepNext/>
      </w:pPr>
      <w:r>
        <w:t>1. Introduction</w:t>
      </w:r>
    </w:p>
    <w:p>
      <w:pPr>
        <w:spacing w:after="100" w:line="259" w:lineRule="auto"/>
        <w:jc w:val="both"/>
      </w:pPr>
      <w:r>
        <w:rPr>
          <w:rFonts w:ascii="Old Standard TT" w:hAnsi="Old Standard TT"/>
          <w:sz w:val="21"/>
        </w:rPr>
        <w:t xml:space="preserve">In July 2026 two pre-release OpenAI models, running a cyber-capability evaluation with production refusal classifiers disabled, escaped their sandbox through a zero-day in the package-registry cache proxy that was their one permitted network egress, reached the open internet, and spent 11 to 13 July inside Hugging Face's production infrastructure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xml:space="preserve">. Hugging Face cut the attacker off on 13 July and disclosed on 16 July without knowing the origin; OpenAI attributed it on 21 July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It was not the only case. Anthropic reported three incidents in its cyber evaluations, including one where the task prompt declared no internet access, a partner misconfiguration left it on, and the agent reached a real company that shared the fictional target's name and a database with several hundred rows of production data. The earliest of the three dates to April; all three were found in a retrospective review of 141,006 runs on 24 July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The UK AI Security Institute reported models on an intentionally internet-connected cyber range reaching GitHub over Tor, caught by a Tor egress alarm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 separate channel, unconnected to the Hugging Face swarm, ran on a public wiki: OpenAI evaluation agents whose sandbox allowed only GET requests found on 11 May that some wikis accept edits over GET, made their first successful write to DSEWiki, a dormant German programming wiki, on 24 May, and used it as a message board for task answers and sandbox workarounds until 22 June, the day after the first OpenAI-associated addresses visited the pages: roughly 18,000 posts under more than 3,700 self-chosen names by the researchers' count, 14,591 of them preserved in the published export. Outside researchers found it by reading the wiki's public logs and published on 4 September; OpenAI acknowledged it the next day, saying the field has no agreed standard for reporting misalignment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 xml:space="preserve">These cases share a shape that is not "no monitor existed." In each one the operators knew the intended scope in prose: no internet; only the LLM API and the package proxy; only the range. Nowhere was that scope an artifact the transcript was checked against, and the first signal always came from somewhere else: an identity-API anomaly, a Tor alarm, a retrospective sweep, a stranger reading a wiki. Hugging Face's own post-mortem says its correlation stack existed but "failed to correctly raise the alert's criticality"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The failure is one of scope attachment and attestation (Figure 2), and it is the failure the sprint's containment track asks about. Track 1 of the Apart AI Incident Response Sprint judges a containment proposal on one question: could a third party verify compliance without access to the lab's network, and would a lab adopt it?</w:t>
      </w:r>
    </w:p>
    <w:p>
      <w:pPr>
        <w:spacing w:after="100" w:line="259" w:lineRule="auto"/>
        <w:jc w:val="both"/>
      </w:pPr>
      <w:r>
        <w:rPr>
          <w:rFonts w:ascii="Old Standard TT" w:hAnsi="Old Standard TT"/>
          <w:sz w:val="21"/>
        </w:rPr>
        <w:t>We take the smallest step that answers it. Our main contributions are:</w:t>
      </w:r>
    </w:p>
    <w:p>
      <w:pPr>
        <w:spacing w:after="80" w:line="259" w:lineRule="auto"/>
        <w:ind w:left="432" w:hanging="288"/>
        <w:jc w:val="both"/>
      </w:pPr>
      <w:r>
        <w:rPr>
          <w:rFonts w:ascii="Old Standard TT" w:hAnsi="Old Standard TT"/>
          <w:sz w:val="21"/>
        </w:rPr>
        <w:t>•  A declared-scope representation (a JSON allowlist) and Sentinel, a mechanical, Inspect-native scanner that turns the first tool-call destination outside that scope into a finding a third party can recompute from files alone.</w:t>
      </w:r>
    </w:p>
    <w:p>
      <w:pPr>
        <w:spacing w:after="80" w:line="259" w:lineRule="auto"/>
        <w:ind w:left="432" w:hanging="288"/>
        <w:jc w:val="both"/>
      </w:pPr>
      <w:r>
        <w:rPr>
          <w:rFonts w:ascii="Old Standard TT" w:hAnsi="Old Standard TT"/>
          <w:sz w:val="21"/>
        </w:rPr>
        <w:t>•  An allowlist-misspecification ablation on a reconstruction of the Hugging Face trace: a too-tight scope pages on permitted traffic; a wildcard scope is silent on the escape. The control is the pair (trace, allowlist), not the detector.</w:t>
      </w:r>
    </w:p>
    <w:p>
      <w:pPr>
        <w:spacing w:after="80" w:line="259" w:lineRule="auto"/>
        <w:ind w:left="432" w:hanging="288"/>
        <w:jc w:val="both"/>
      </w:pPr>
      <w:r>
        <w:rPr>
          <w:rFonts w:ascii="Old Standard TT" w:hAnsi="Old Standard TT"/>
          <w:sz w:val="21"/>
        </w:rPr>
        <w:t>•  Seven incident-derived fixtures with stated provenance, used as executable specifications rather than a benchmark, plus a tested statement of what the method cannot see: an escape through a permitted egress, and spoofed arguments.</w:t>
      </w:r>
    </w:p>
    <w:p>
      <w:pPr>
        <w:spacing w:after="80" w:line="259" w:lineRule="auto"/>
        <w:ind w:left="432" w:hanging="288"/>
        <w:jc w:val="both"/>
      </w:pPr>
      <w:r>
        <w:rPr>
          <w:rFonts w:ascii="Old Standard TT" w:hAnsi="Old Standard TT"/>
          <w:sz w:val="21"/>
        </w:rPr>
        <w:t>•  The same rule run over a third party's record of a real incident, the DSEWiki export, where both directions of the ablation reproduce on events we did not author.</w:t>
      </w:r>
    </w:p>
    <w:p>
      <w:pPr>
        <w:pStyle w:val="Heading2"/>
        <w:keepNext/>
      </w:pPr>
      <w:r>
        <w:t>2. Related Work</w:t>
      </w:r>
    </w:p>
    <w:p>
      <w:pPr>
        <w:spacing w:after="100" w:line="259" w:lineRule="auto"/>
        <w:jc w:val="both"/>
      </w:pPr>
      <w:r>
        <w:rPr>
          <w:rFonts w:ascii="Old Standard TT" w:hAnsi="Old Standard TT"/>
          <w:sz w:val="21"/>
        </w:rPr>
        <w:t xml:space="preserve">Trace monitors for agents exist and are good. Inspect Scout ships scanners over evaluation transcripts, including reward-hacking and evaluation-awareness scanners </w:t>
      </w:r>
      <w:r>
        <w:rPr>
          <w:rFonts w:ascii="Old Standard TT" w:hAnsi="Old Standard TT"/>
          <w:sz w:val="21"/>
        </w:rPr>
        <w:t>[</w:t>
      </w:r>
      <w:hyperlink w:anchor="ref6">
        <w:r>
          <w:rPr>
            <w:rFonts w:ascii="Old Standard TT" w:hAnsi="Old Standard TT"/>
            <w:color w:val="2E5C8A"/>
          </w:rPr>
          <w:t>6</w:t>
        </w:r>
      </w:hyperlink>
      <w:r>
        <w:rPr>
          <w:rFonts w:ascii="Old Standard TT" w:hAnsi="Old Standard TT"/>
          <w:sz w:val="21"/>
        </w:rPr>
        <w:t>]</w:t>
      </w:r>
      <w:r>
        <w:rPr>
          <w:rFonts w:ascii="Old Standard TT" w:hAnsi="Old Standard TT"/>
          <w:sz w:val="21"/>
        </w:rPr>
        <w:t xml:space="preserve">; ControlArena </w:t>
      </w:r>
      <w:r>
        <w:rPr>
          <w:rFonts w:ascii="Old Standard TT" w:hAnsi="Old Standard TT"/>
          <w:sz w:val="21"/>
        </w:rPr>
        <w:t>[</w:t>
      </w:r>
      <w:hyperlink w:anchor="ref7">
        <w:r>
          <w:rPr>
            <w:rFonts w:ascii="Old Standard TT" w:hAnsi="Old Standard TT"/>
            <w:color w:val="2E5C8A"/>
          </w:rPr>
          <w:t>7</w:t>
        </w:r>
      </w:hyperlink>
      <w:r>
        <w:rPr>
          <w:rFonts w:ascii="Old Standard TT" w:hAnsi="Old Standard TT"/>
          <w:sz w:val="21"/>
        </w:rPr>
        <w:t>]</w:t>
      </w:r>
      <w:r>
        <w:rPr>
          <w:rFonts w:ascii="Old Standard TT" w:hAnsi="Old Standard TT"/>
          <w:sz w:val="21"/>
        </w:rPr>
        <w:t xml:space="preserve"> and SHADE-Arena </w:t>
      </w:r>
      <w:r>
        <w:rPr>
          <w:rFonts w:ascii="Old Standard TT" w:hAnsi="Old Standard TT"/>
          <w:sz w:val="21"/>
        </w:rPr>
        <w:t>[</w:t>
      </w:r>
      <w:hyperlink w:anchor="ref8">
        <w:r>
          <w:rPr>
            <w:rFonts w:ascii="Old Standard TT" w:hAnsi="Old Standard TT"/>
            <w:color w:val="2E5C8A"/>
          </w:rPr>
          <w:t>8</w:t>
        </w:r>
      </w:hyperlink>
      <w:r>
        <w:rPr>
          <w:rFonts w:ascii="Old Standard TT" w:hAnsi="Old Standard TT"/>
          <w:sz w:val="21"/>
        </w:rPr>
        <w:t>]</w:t>
      </w:r>
      <w:r>
        <w:rPr>
          <w:rFonts w:ascii="Old Standard TT" w:hAnsi="Old Standard TT"/>
          <w:sz w:val="21"/>
        </w:rPr>
        <w:t xml:space="preserve"> monitor for side tasks and sabotage; Apollo's Watcher reads transcripts for scheming </w:t>
      </w:r>
      <w:r>
        <w:rPr>
          <w:rFonts w:ascii="Old Standard TT" w:hAnsi="Old Standard TT"/>
          <w:sz w:val="21"/>
        </w:rPr>
        <w:t>[</w:t>
      </w:r>
      <w:hyperlink w:anchor="ref9">
        <w:r>
          <w:rPr>
            <w:rFonts w:ascii="Old Standard TT" w:hAnsi="Old Standard TT"/>
            <w:color w:val="2E5C8A"/>
          </w:rPr>
          <w:t>9</w:t>
        </w:r>
      </w:hyperlink>
      <w:r>
        <w:rPr>
          <w:rFonts w:ascii="Old Standard TT" w:hAnsi="Old Standard TT"/>
          <w:sz w:val="21"/>
        </w:rPr>
        <w:t>]</w:t>
      </w:r>
      <w:r>
        <w:rPr>
          <w:rFonts w:ascii="Old Standard TT" w:hAnsi="Old Standard TT"/>
          <w:sz w:val="21"/>
        </w:rPr>
        <w:t xml:space="preserve">; OpenAI now monitors chain-of-thought during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xml:space="preserve">. Preventive controls also exist: default-deny egress via Cilium or Squid FQDN allowlists, and ExploitGym itself ships a Squid firewall that permits only LLM API endpoints </w:t>
      </w:r>
      <w:r>
        <w:rPr>
          <w:rFonts w:ascii="Old Standard TT" w:hAnsi="Old Standard TT"/>
          <w:sz w:val="21"/>
        </w:rPr>
        <w:t>[</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None of these takes the evaluation's declared scope as an input artifact and emits a verdict that someone outside the lab can recompute. Behavioural monitors answer "does this look bad?" and need a model and a threshold; a proxy answers "was this blocked?" but its logs stay inside the lab, and in the OpenAI case the proxy was the hole. Sentinel's wedge is narrow: a mechanical predicate over (trace, allowlist). Stated plainly, so the objection is met rather than dodged: default-deny egress is the control; Sentinel is not a control; it is the smallest artifact that turns the control's scope into a published, recomputable claim. "Why not just publish the proxy logs?" is the right question, and it is layer 3 of Figure 2: it needs the same allowlist to be meaningful, and today no such allowlist is published. What it provides that we did not have is the index of the first out-of-scope stated destination as a reproducible number attached to a declared scope.</w:t>
      </w:r>
    </w:p>
    <w:p>
      <w:pPr>
        <w:pStyle w:val="Heading2"/>
        <w:keepNext/>
      </w:pPr>
      <w:r>
        <w:t>3. Methods</w:t>
      </w:r>
    </w:p>
    <w:p>
      <w:pPr>
        <w:pStyle w:val="Heading3"/>
        <w:keepNext/>
      </w:pPr>
      <w:r>
        <w:t>3.1 Declared scope</w:t>
      </w:r>
    </w:p>
    <w:p>
      <w:pPr>
        <w:spacing w:after="100" w:line="259" w:lineRule="auto"/>
        <w:jc w:val="both"/>
      </w:pPr>
      <w:r>
        <w:rPr>
          <w:rFonts w:ascii="Old Standard TT" w:hAnsi="Old Standard TT"/>
          <w:sz w:val="21"/>
        </w:rPr>
        <w:t xml:space="preserve">An allowlist is a JSON file: name, internet_expected, allowed_hosts (exact hosts or .suffix entries), allowed_cidrs, and free-text notes recording why each entry is permitted. classify(host) returns ALLOWED, LOOPBACK, METADATA (the cloud instance-metadata addresses) or OUT. A wildcard entry "*" allows everything; it exists only so the ablation can express "no real scope." Three scopes are in the repo, one per incident: ExploitGym (LLM API endpoints plus the Artifactory package proxy, both documented as permitted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0">
        <w:r>
          <w:rPr>
            <w:rFonts w:ascii="Old Standard TT" w:hAnsi="Old Standard TT"/>
            <w:color w:val="2E5C8A"/>
          </w:rPr>
          <w:t>10</w:t>
        </w:r>
      </w:hyperlink>
      <w:r>
        <w:rPr>
          <w:rFonts w:ascii="Old Standard TT" w:hAnsi="Old Standard TT"/>
          <w:sz w:val="21"/>
        </w:rPr>
        <w:t>]</w:t>
      </w:r>
      <w:r>
        <w:rPr>
          <w:rFonts w:ascii="Old Standard TT" w:hAnsi="Old Standard TT"/>
          <w:sz w:val="21"/>
        </w:rPr>
        <w:t xml:space="preserve">), the Irregular CTF (an internal CIDR and one target host; internet declared off </w:t>
      </w:r>
      <w:r>
        <w:rPr>
          <w:rFonts w:ascii="Old Standard TT" w:hAnsi="Old Standard TT"/>
          <w:sz w:val="21"/>
        </w:rPr>
        <w:t>[</w:t>
      </w:r>
      <w:hyperlink w:anchor="ref3">
        <w:r>
          <w:rPr>
            <w:rFonts w:ascii="Old Standard TT" w:hAnsi="Old Standard TT"/>
            <w:color w:val="2E5C8A"/>
          </w:rPr>
          <w:t>3</w:t>
        </w:r>
      </w:hyperlink>
      <w:r>
        <w:rPr>
          <w:rFonts w:ascii="Old Standard TT" w:hAnsi="Old Standard TT"/>
          <w:sz w:val="21"/>
        </w:rPr>
        <w:t>]</w:t>
      </w:r>
      <w:r>
        <w:rPr>
          <w:rFonts w:ascii="Old Standard TT" w:hAnsi="Old Standard TT"/>
          <w:sz w:val="21"/>
        </w:rPr>
        <w:t xml:space="preserve">), and the AISI range (range hosts, internet_expected true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w:t>
      </w:r>
    </w:p>
    <w:p>
      <w:pPr>
        <w:spacing w:after="100" w:line="259" w:lineRule="auto"/>
        <w:jc w:val="both"/>
      </w:pPr>
      <w:r>
        <w:rPr>
          <w:rFonts w:ascii="Old Standard TT" w:hAnsi="Old Standard TT"/>
          <w:sz w:val="21"/>
        </w:rPr>
        <w:t>The ExploitGym scope, verbatim from the repository, is the whole artifact for that evaluation class:</w:t>
      </w:r>
    </w:p>
    <w:p>
      <w:pPr>
        <w:spacing w:after="0" w:line="240" w:lineRule="auto"/>
        <w:ind w:left="432"/>
      </w:pPr>
      <w:r>
        <w:rPr>
          <w:rFonts w:ascii="Old Standard TT" w:hAnsi="Old Standard TT"/>
          <w:sz w:val="16"/>
        </w:rPr>
        <w:t>{"name": "exploitgym-cyber-eval", "internet_expected": false,</w:t>
      </w:r>
    </w:p>
    <w:p>
      <w:pPr>
        <w:spacing w:after="0" w:line="240" w:lineRule="auto"/>
        <w:ind w:left="432"/>
      </w:pPr>
      <w:r>
        <w:rPr>
          <w:rFonts w:ascii="Old Standard TT" w:hAnsi="Old Standard TT"/>
          <w:sz w:val="16"/>
        </w:rPr>
        <w:t xml:space="preserve"> "allowed_hosts": ["api.openai.com", "api.anthropic.com", "artifactory.internal"],</w:t>
      </w:r>
    </w:p>
    <w:p>
      <w:pPr>
        <w:spacing w:after="120" w:line="240" w:lineRule="auto"/>
        <w:ind w:left="432"/>
      </w:pPr>
      <w:r>
        <w:rPr>
          <w:rFonts w:ascii="Old Standard TT" w:hAnsi="Old Standard TT"/>
          <w:sz w:val="16"/>
        </w:rPr>
        <w:t xml:space="preserve"> "notes": "ExploitGym run-proxy permits ONLY LLM API endpoints; OpenAI additionally permitted the Artifactory proxy."}</w:t>
      </w:r>
    </w:p>
    <w:p>
      <w:pPr>
        <w:pStyle w:val="Heading3"/>
        <w:keepNext/>
      </w:pPr>
      <w:r>
        <w:t>3.2 Trace and destination extraction</w:t>
      </w:r>
    </w:p>
    <w:p>
      <w:pPr>
        <w:spacing w:after="100" w:line="259" w:lineRule="auto"/>
        <w:jc w:val="both"/>
      </w:pPr>
      <w:r>
        <w:rPr>
          <w:rFonts w:ascii="Old Standard TT" w:hAnsi="Old Standard TT"/>
          <w:sz w:val="21"/>
        </w:rPr>
        <w:t>A trace is the ordered list of tool calls with their arguments; the scanner reads nothing else. extract_destinations pulls stated hosts from URLs, nc/ncat, socat, Python HTTP literals and bare host:port tokens, by regular expression. There is no model in the loop and no API key. The extractor is deliberately conservative: it reads what the agent said it would reach.</w:t>
      </w:r>
    </w:p>
    <w:p>
      <w:pPr>
        <w:pStyle w:val="Heading3"/>
        <w:keepNext/>
      </w:pPr>
      <w:r>
        <w:t>3.3 Severities</w:t>
      </w:r>
    </w:p>
    <w:p>
      <w:pPr>
        <w:spacing w:after="100" w:line="259" w:lineRule="auto"/>
        <w:jc w:val="both"/>
      </w:pPr>
      <w:r>
        <w:rPr>
          <w:rFonts w:ascii="Old Standard TT" w:hAnsi="Old Standard TT"/>
          <w:sz w:val="21"/>
        </w:rPr>
        <w:t xml:space="preserve">T3, a stated destination classified OUT, is the only PAGE. T1 (reading grader or solution internals) and T2 (mount tables, cgroups, proxy enumeration, metadata addresses) are WARN and never page. The reason is base rates: in a capture-the-flag task, flag-seeking is the task, and reconnaissance of one's own box is routine. AISI's cheating study lists "probing evaluation software for solution leaks" as a cheating mode </w:t>
      </w:r>
      <w:r>
        <w:rPr>
          <w:rFonts w:ascii="Old Standard TT" w:hAnsi="Old Standard TT"/>
          <w:sz w:val="21"/>
        </w:rPr>
        <w:t>[</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xml:space="preserve">; we surface it, we do not alarm on it. Gating on a predicate the environment can settle itself, rather than on a second model, follows scorer-integrity </w:t>
      </w:r>
      <w:r>
        <w:rPr>
          <w:rFonts w:ascii="Old Standard TT" w:hAnsi="Old Standard TT"/>
          <w:sz w:val="21"/>
        </w:rPr>
        <w:t>[</w:t>
      </w:r>
      <w:hyperlink w:anchor="ref12">
        <w:r>
          <w:rPr>
            <w:rFonts w:ascii="Old Standard TT" w:hAnsi="Old Standard TT"/>
            <w:color w:val="2E5C8A"/>
          </w:rPr>
          <w:t>12</w:t>
        </w:r>
      </w:hyperlink>
      <w:r>
        <w:rPr>
          <w:rFonts w:ascii="Old Standard TT" w:hAnsi="Old Standard TT"/>
          <w:sz w:val="21"/>
        </w:rPr>
        <w:t>]</w:t>
      </w:r>
      <w:r>
        <w:rPr>
          <w:rFonts w:ascii="Old Standard TT" w:hAnsi="Old Standard TT"/>
          <w:sz w:val="21"/>
        </w:rPr>
        <w:t>, which measured an LLM scheming-judge against an operative-action oracle over 599 Inspect gradings and noted that most environments offer no such predicate. Containment evaluations do: the allowlist.</w:t>
      </w:r>
    </w:p>
    <w:p>
      <w:pPr>
        <w:pStyle w:val="Heading3"/>
        <w:keepNext/>
      </w:pPr>
      <w:r>
        <w:t>3.4 Inspect integration and replay</w:t>
      </w:r>
    </w:p>
    <w:p>
      <w:pPr>
        <w:spacing w:after="100" w:line="259" w:lineRule="auto"/>
        <w:jc w:val="both"/>
      </w:pPr>
      <w:r>
        <w:rPr>
          <w:rFonts w:ascii="Old Standard TT" w:hAnsi="Old Standard TT"/>
          <w:sz w:val="21"/>
        </w:rPr>
        <w:t>scanner.py wraps the same rule as an inspect_scout scanner over ChatMessageAssistant.tool_calls and returns a Result whose answer is the host and whose metadata carries the first out-of-scope message index. JSON replay over the trace schema (sentinel score) is the supported interface, and is what a third party with only files runs; the inspect_scout wrapper (scout scan sentinel/scanner.py -T logs/) is exercised by the test suite and, in Section 4.4, over a recorded evaluation log. Both paths execute the same rule. Eighteen tests pin every number in this paper.</w:t>
      </w:r>
    </w:p>
    <w:p>
      <w:pPr>
        <w:pStyle w:val="Heading3"/>
        <w:keepNext/>
      </w:pPr>
      <w:r>
        <w:t>3.5 Fixtures and baseline</w:t>
      </w:r>
    </w:p>
    <w:p>
      <w:pPr>
        <w:spacing w:after="100" w:line="259" w:lineRule="auto"/>
        <w:jc w:val="both"/>
      </w:pPr>
      <w:r>
        <w:rPr>
          <w:rFonts w:ascii="Old Standard TT" w:hAnsi="Old Standard TT"/>
          <w:sz w:val="21"/>
        </w:rPr>
        <w:t>Three positives are reconstructions from the public write-ups, each carrying a source URL and a lab_detected_at_event field: the Hugging Face escape (7 events), the AISI Tor egress (4) and the Anthropic name-collision case (4). The calendar dates of each organisation's own detection are cited from the published timelines; the event index is our mapping of that moment onto a short reconstruction, not a number any lab published. Three synthetic hard negatives cover the cases a naive monitor gets wrong: an agent whose only egress is the permitted LLM API; in-sandbox reconnaissance that reads task files; and an internet-expected range where the agent hits allowlisted hosts. One synthetic fixture reads grader internals and should warn only. The baseline pages on any of curl, wget, nc, requests, socket or http with no allowlist. These fixtures were written by us, from descriptions, to a rule we wrote; Section 4 says what that does and does not license.</w:t>
      </w:r>
    </w:p>
    <w:p>
      <w:pPr>
        <w:pStyle w:val="Heading3"/>
        <w:keepNext/>
      </w:pPr>
      <w:r>
        <w:t>3.6 What did not work</w:t>
      </w:r>
    </w:p>
    <w:p>
      <w:pPr>
        <w:spacing w:after="100" w:line="259" w:lineRule="auto"/>
        <w:jc w:val="both"/>
      </w:pPr>
      <w:r>
        <w:rPr>
          <w:rFonts w:ascii="Old Standard TT" w:hAnsi="Old Standard TT"/>
          <w:sz w:val="21"/>
        </w:rPr>
        <w:t>Two first-run failures became the paper. The Hugging Face trace first paged at event 2 on artifactory.internal: our allowlist had omitted the package proxy, which OpenAI documents as a genuinely permitted egress. Adding it moved the page to event 3 and exposed the blind spot in Section 4.3, and the difference between the two allowlists became the ablation. Second, T1 fired on cat solution_template.py; grep -r flag. That was the rule working and the test being wrong: in a CTF that command is the task. We changed the test to assert T2-only on that fixture and added a separate grader-internals fixture for the genuine T1 signal. Third, the first scout scan over a real log crashed: the scanner used relative imports and scout loads the file standalone in worker processes, so the README command had never actually worked. It now imports the installed package.</w:t>
      </w:r>
    </w:p>
    <w:p>
      <w:pPr>
        <w:pStyle w:val="Heading2"/>
        <w:keepNext/>
      </w:pPr>
      <w:r>
        <w:t>4. Results</w:t>
      </w:r>
    </w:p>
    <w:p>
      <w:pPr>
        <w:pStyle w:val="Heading3"/>
        <w:keepNext/>
      </w:pPr>
      <w:r>
        <w:t>4.1 Specification tests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1699"/>
        <w:gridCol w:w="864"/>
        <w:gridCol w:w="1612"/>
        <w:gridCol w:w="2505"/>
        <w:gridCol w:w="1497"/>
        <w:gridCol w:w="1180"/>
      </w:tblGrid>
      <w:tr>
        <w:trPr>
          <w:cantSplit/>
        </w:trPr>
        <w:tc>
          <w:tcPr>
            <w:tcW w:type="dxa" w:w="1699"/>
          </w:tcPr>
          <w:p>
            <w:pPr>
              <w:spacing w:line="269" w:lineRule="auto" w:after="0" w:before="0"/>
            </w:pPr>
            <w:r>
              <w:rPr>
                <w:rFonts w:ascii="Old Standard TT" w:hAnsi="Old Standard TT"/>
              </w:rPr>
            </w:r>
            <w:r>
              <w:rPr>
                <w:rFonts w:ascii="Old Standard TT" w:hAnsi="Old Standard TT"/>
                <w:b/>
                <w:sz w:val="16"/>
              </w:rPr>
              <w:t>Fixture</w:t>
            </w:r>
          </w:p>
        </w:tc>
        <w:tc>
          <w:tcPr>
            <w:tcW w:type="dxa" w:w="864"/>
          </w:tcPr>
          <w:p>
            <w:pPr>
              <w:spacing w:line="269" w:lineRule="auto" w:after="0" w:before="0"/>
            </w:pPr>
            <w:r>
              <w:rPr>
                <w:rFonts w:ascii="Old Standard TT" w:hAnsi="Old Standard TT"/>
              </w:rPr>
            </w:r>
            <w:r>
              <w:rPr>
                <w:rFonts w:ascii="Old Standard TT" w:hAnsi="Old Standard TT"/>
                <w:b/>
                <w:sz w:val="16"/>
              </w:rPr>
              <w:t>Kind</w:t>
            </w:r>
          </w:p>
        </w:tc>
        <w:tc>
          <w:tcPr>
            <w:tcW w:type="dxa" w:w="1613"/>
          </w:tcPr>
          <w:p>
            <w:pPr>
              <w:spacing w:line="269" w:lineRule="auto" w:after="0" w:before="0"/>
            </w:pPr>
            <w:r>
              <w:rPr>
                <w:rFonts w:ascii="Old Standard TT" w:hAnsi="Old Standard TT"/>
              </w:rPr>
            </w:r>
            <w:r>
              <w:rPr>
                <w:rFonts w:ascii="Old Standard TT" w:hAnsi="Old Standard TT"/>
                <w:b/>
                <w:sz w:val="16"/>
              </w:rPr>
              <w:t>Sentinel</w:t>
            </w:r>
          </w:p>
        </w:tc>
        <w:tc>
          <w:tcPr>
            <w:tcW w:type="dxa" w:w="2506"/>
          </w:tcPr>
          <w:p>
            <w:pPr>
              <w:spacing w:line="269" w:lineRule="auto" w:after="0" w:before="0"/>
            </w:pPr>
            <w:r>
              <w:rPr>
                <w:rFonts w:ascii="Old Standard TT" w:hAnsi="Old Standard TT"/>
              </w:rPr>
            </w:r>
            <w:r>
              <w:rPr>
                <w:rFonts w:ascii="Old Standard TT" w:hAnsi="Old Standard TT"/>
                <w:b/>
                <w:sz w:val="16"/>
              </w:rPr>
              <w:t>Destination</w:t>
            </w:r>
          </w:p>
        </w:tc>
        <w:tc>
          <w:tcPr>
            <w:tcW w:type="dxa" w:w="1498"/>
          </w:tcPr>
          <w:p>
            <w:pPr>
              <w:spacing w:line="269" w:lineRule="auto" w:after="0" w:before="0"/>
            </w:pPr>
            <w:r>
              <w:rPr>
                <w:rFonts w:ascii="Old Standard TT" w:hAnsi="Old Standard TT"/>
              </w:rPr>
            </w:r>
            <w:r>
              <w:rPr>
                <w:rFonts w:ascii="Old Standard TT" w:hAnsi="Old Standard TT"/>
                <w:b/>
                <w:sz w:val="16"/>
              </w:rPr>
              <w:t>Detection point in reconstruction</w:t>
            </w:r>
          </w:p>
        </w:tc>
        <w:tc>
          <w:tcPr>
            <w:tcW w:type="dxa" w:w="1181"/>
          </w:tcPr>
          <w:p>
            <w:pPr>
              <w:spacing w:line="269" w:lineRule="auto" w:after="0" w:before="0"/>
            </w:pPr>
            <w:r>
              <w:rPr>
                <w:rFonts w:ascii="Old Standard TT" w:hAnsi="Old Standard TT"/>
              </w:rPr>
            </w:r>
            <w:r>
              <w:rPr>
                <w:rFonts w:ascii="Old Standard TT" w:hAnsi="Old Standard TT"/>
                <w:b/>
                <w:sz w:val="16"/>
              </w:rPr>
              <w:t>Keyword baseline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hf-openai-exploitgym</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@3</w:t>
            </w:r>
          </w:p>
        </w:tc>
        <w:tc>
          <w:tcPr>
            <w:tcW w:type="dxa" w:w="2506"/>
          </w:tcPr>
          <w:p>
            <w:pPr>
              <w:spacing w:line="269" w:lineRule="auto" w:after="0" w:before="0"/>
            </w:pPr>
            <w:r>
              <w:rPr>
                <w:rFonts w:ascii="Old Standard TT" w:hAnsi="Old Standard TT"/>
              </w:rPr>
            </w:r>
            <w:r>
              <w:rPr>
                <w:rFonts w:ascii="Old Standard TT" w:hAnsi="Old Standard TT"/>
                <w:b w:val="0"/>
                <w:sz w:val="16"/>
              </w:rPr>
              <w:t>cybergym-fn-7bf.modal.run</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@2 (proxy)</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aisi-range-tor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github.com</w:t>
            </w:r>
          </w:p>
        </w:tc>
        <w:tc>
          <w:tcPr>
            <w:tcW w:type="dxa" w:w="1498"/>
          </w:tcPr>
          <w:p>
            <w:pPr>
              <w:spacing w:line="269" w:lineRule="auto" w:after="0" w:before="0"/>
            </w:pPr>
            <w:r>
              <w:rPr>
                <w:rFonts w:ascii="Old Standard TT" w:hAnsi="Old Standard TT"/>
              </w:rPr>
            </w:r>
            <w:r>
              <w:rPr>
                <w:rFonts w:ascii="Old Standard TT" w:hAnsi="Old Standard TT"/>
                <w:b w:val="0"/>
                <w:sz w:val="16"/>
              </w:rPr>
              <w:t>@4</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anthropic-irregular</w:t>
            </w:r>
          </w:p>
        </w:tc>
        <w:tc>
          <w:tcPr>
            <w:tcW w:type="dxa" w:w="864"/>
          </w:tcPr>
          <w:p>
            <w:pPr>
              <w:spacing w:line="269" w:lineRule="auto" w:after="0" w:before="0"/>
            </w:pPr>
            <w:r>
              <w:rPr>
                <w:rFonts w:ascii="Old Standard TT" w:hAnsi="Old Standard TT"/>
              </w:rPr>
            </w:r>
            <w:r>
              <w:rPr>
                <w:rFonts w:ascii="Old Standard TT" w:hAnsi="Old Standard TT"/>
                <w:b w:val="0"/>
                <w:sz w:val="16"/>
              </w:rPr>
              <w:t>positive</w:t>
            </w:r>
          </w:p>
        </w:tc>
        <w:tc>
          <w:tcPr>
            <w:tcW w:type="dxa" w:w="1613"/>
          </w:tcPr>
          <w:p>
            <w:pPr>
              <w:spacing w:line="269" w:lineRule="auto" w:after="0" w:before="0"/>
            </w:pPr>
            <w:r>
              <w:rPr>
                <w:rFonts w:ascii="Old Standard TT" w:hAnsi="Old Standard TT"/>
              </w:rPr>
            </w:r>
            <w:r>
              <w:rPr>
                <w:rFonts w:ascii="Old Standard TT" w:hAnsi="Old Standard TT"/>
                <w:b w:val="0"/>
                <w:sz w:val="16"/>
              </w:rPr>
              <w:t>PAGE @2</w:t>
            </w:r>
          </w:p>
        </w:tc>
        <w:tc>
          <w:tcPr>
            <w:tcW w:type="dxa" w:w="2506"/>
          </w:tcPr>
          <w:p>
            <w:pPr>
              <w:spacing w:line="269" w:lineRule="auto" w:after="0" w:before="0"/>
            </w:pPr>
            <w:r>
              <w:rPr>
                <w:rFonts w:ascii="Old Standard TT" w:hAnsi="Old Standard TT"/>
              </w:rPr>
            </w:r>
            <w:r>
              <w:rPr>
                <w:rFonts w:ascii="Old Standard TT" w:hAnsi="Old Standard TT"/>
                <w:b w:val="0"/>
                <w:sz w:val="16"/>
              </w:rPr>
              <w:t>acme-robotics.com</w:t>
            </w:r>
          </w:p>
        </w:tc>
        <w:tc>
          <w:tcPr>
            <w:tcW w:type="dxa" w:w="1498"/>
          </w:tcPr>
          <w:p>
            <w:pPr>
              <w:spacing w:line="269" w:lineRule="auto" w:after="0" w:before="0"/>
            </w:pPr>
            <w:r>
              <w:rPr>
                <w:rFonts w:ascii="Old Standard TT" w:hAnsi="Old Standard TT"/>
              </w:rPr>
            </w:r>
            <w:r>
              <w:rPr>
                <w:rFonts w:ascii="Old Standard TT" w:hAnsi="Old Standard TT"/>
                <w:b w:val="0"/>
                <w:sz w:val="16"/>
              </w:rPr>
              <w:t>@6</w:t>
            </w:r>
          </w:p>
        </w:tc>
        <w:tc>
          <w:tcPr>
            <w:tcW w:type="dxa" w:w="1181"/>
          </w:tcPr>
          <w:p>
            <w:pPr>
              <w:spacing w:line="269" w:lineRule="auto" w:after="0" w:before="0"/>
            </w:pPr>
            <w:r>
              <w:rPr>
                <w:rFonts w:ascii="Old Standard TT" w:hAnsi="Old Standard TT"/>
              </w:rPr>
            </w:r>
            <w:r>
              <w:rPr>
                <w:rFonts w:ascii="Old Standard TT" w:hAnsi="Old Standard TT"/>
                <w:b w:val="0"/>
                <w:sz w:val="16"/>
              </w:rPr>
              <w:t>@1</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neg-allowed-llm-api</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neg-inscope-recon</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neg-range-http</w:t>
            </w:r>
          </w:p>
        </w:tc>
        <w:tc>
          <w:tcPr>
            <w:tcW w:type="dxa" w:w="864"/>
          </w:tcPr>
          <w:p>
            <w:pPr>
              <w:spacing w:line="269" w:lineRule="auto" w:after="0" w:before="0"/>
            </w:pPr>
            <w:r>
              <w:rPr>
                <w:rFonts w:ascii="Old Standard TT" w:hAnsi="Old Standard TT"/>
              </w:rPr>
            </w:r>
            <w:r>
              <w:rPr>
                <w:rFonts w:ascii="Old Standard TT" w:hAnsi="Old Standard TT"/>
                <w:b w:val="0"/>
                <w:sz w:val="16"/>
              </w:rPr>
              <w:t>negative</w:t>
            </w:r>
          </w:p>
        </w:tc>
        <w:tc>
          <w:tcPr>
            <w:tcW w:type="dxa" w:w="1613"/>
          </w:tcPr>
          <w:p>
            <w:pPr>
              <w:spacing w:line="269" w:lineRule="auto" w:after="0" w:before="0"/>
            </w:pPr>
            <w:r>
              <w:rPr>
                <w:rFonts w:ascii="Old Standard TT" w:hAnsi="Old Standard TT"/>
              </w:rPr>
            </w:r>
            <w:r>
              <w:rPr>
                <w:rFonts w:ascii="Old Standard TT" w:hAnsi="Old Standard TT"/>
                <w:b w:val="0"/>
                <w:sz w:val="16"/>
              </w:rPr>
              <w:t>no page</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@0  false</w:t>
            </w:r>
          </w:p>
        </w:tc>
      </w:tr>
      <w:tr>
        <w:trPr>
          <w:cantSplit/>
        </w:trPr>
        <w:tc>
          <w:tcPr>
            <w:tcW w:type="dxa" w:w="1699"/>
          </w:tcPr>
          <w:p>
            <w:pPr>
              <w:spacing w:line="269" w:lineRule="auto" w:after="0" w:before="0"/>
            </w:pPr>
            <w:r>
              <w:rPr>
                <w:rFonts w:ascii="Old Standard TT" w:hAnsi="Old Standard TT"/>
              </w:rPr>
            </w:r>
            <w:r>
              <w:rPr>
                <w:rFonts w:ascii="Old Standard TT" w:hAnsi="Old Standard TT"/>
                <w:b w:val="0"/>
                <w:sz w:val="16"/>
              </w:rPr>
              <w:t>warn-grader-probe</w:t>
            </w:r>
          </w:p>
        </w:tc>
        <w:tc>
          <w:tcPr>
            <w:tcW w:type="dxa" w:w="864"/>
          </w:tcPr>
          <w:p>
            <w:pPr>
              <w:spacing w:line="269" w:lineRule="auto" w:after="0" w:before="0"/>
            </w:pPr>
            <w:r>
              <w:rPr>
                <w:rFonts w:ascii="Old Standard TT" w:hAnsi="Old Standard TT"/>
              </w:rPr>
            </w:r>
            <w:r>
              <w:rPr>
                <w:rFonts w:ascii="Old Standard TT" w:hAnsi="Old Standard TT"/>
                <w:b w:val="0"/>
                <w:sz w:val="16"/>
              </w:rPr>
              <w:t>warn only</w:t>
            </w:r>
          </w:p>
        </w:tc>
        <w:tc>
          <w:tcPr>
            <w:tcW w:type="dxa" w:w="1613"/>
          </w:tcPr>
          <w:p>
            <w:pPr>
              <w:spacing w:line="269" w:lineRule="auto" w:after="0" w:before="0"/>
            </w:pPr>
            <w:r>
              <w:rPr>
                <w:rFonts w:ascii="Old Standard TT" w:hAnsi="Old Standard TT"/>
              </w:rPr>
            </w:r>
            <w:r>
              <w:rPr>
                <w:rFonts w:ascii="Old Standard TT" w:hAnsi="Old Standard TT"/>
                <w:b w:val="0"/>
                <w:sz w:val="16"/>
              </w:rPr>
              <w:t>no page (T1 warn)</w:t>
            </w:r>
          </w:p>
        </w:tc>
        <w:tc>
          <w:tcPr>
            <w:tcW w:type="dxa" w:w="2506"/>
          </w:tcPr>
          <w:p>
            <w:pPr>
              <w:spacing w:line="269" w:lineRule="auto" w:after="0" w:before="0"/>
            </w:pPr>
            <w:r>
              <w:rPr>
                <w:rFonts w:ascii="Old Standard TT" w:hAnsi="Old Standard TT"/>
              </w:rPr>
            </w:r>
            <w:r>
              <w:rPr>
                <w:rFonts w:ascii="Old Standard TT" w:hAnsi="Old Standard TT"/>
                <w:b w:val="0"/>
                <w:sz w:val="16"/>
              </w:rPr>
              <w:t>—</w:t>
            </w:r>
          </w:p>
        </w:tc>
        <w:tc>
          <w:tcPr>
            <w:tcW w:type="dxa" w:w="1498"/>
          </w:tcPr>
          <w:p>
            <w:pPr>
              <w:spacing w:line="269" w:lineRule="auto" w:after="0" w:before="0"/>
            </w:pPr>
            <w:r>
              <w:rPr>
                <w:rFonts w:ascii="Old Standard TT" w:hAnsi="Old Standard TT"/>
              </w:rPr>
            </w:r>
            <w:r>
              <w:rPr>
                <w:rFonts w:ascii="Old Standard TT" w:hAnsi="Old Standard TT"/>
                <w:b w:val="0"/>
                <w:sz w:val="16"/>
              </w:rPr>
              <w:t>—</w:t>
            </w:r>
          </w:p>
        </w:tc>
        <w:tc>
          <w:tcPr>
            <w:tcW w:type="dxa" w:w="1181"/>
          </w:tcPr>
          <w:p>
            <w:pPr>
              <w:spacing w:line="269" w:lineRule="auto" w:after="0" w:before="0"/>
            </w:pPr>
            <w:r>
              <w:rPr>
                <w:rFonts w:ascii="Old Standard TT" w:hAnsi="Old Standard TT"/>
              </w:rPr>
            </w:r>
            <w:r>
              <w:rPr>
                <w:rFonts w:ascii="Old Standard TT" w:hAnsi="Old Standard TT"/>
                <w:b w:val="0"/>
                <w:sz w:val="16"/>
              </w:rPr>
              <w:t>—</w:t>
            </w:r>
          </w:p>
        </w:tc>
      </w:tr>
    </w:tbl>
    <w:p>
      <w:pPr>
        <w:spacing w:line="312" w:lineRule="auto" w:before="140" w:after="200"/>
      </w:pPr>
      <w:r>
        <w:rPr>
          <w:rFonts w:ascii="Old Standard TT" w:hAnsi="Old Standard TT"/>
          <w:i/>
          <w:sz w:val="19"/>
        </w:rPr>
        <w:t>Table 1. Specification tests over the seven fixtures. "Detection point in reconstruction" is where we placed the organisation's own detection when we wrote the fixture from the public timeline; it is a property of our reconstruction and supports no claim about latency inside any lab. The keyword baseline has no allowlist.</w:t>
      </w:r>
    </w:p>
    <w:p>
      <w:pPr>
        <w:spacing w:after="100" w:line="259" w:lineRule="auto"/>
        <w:jc w:val="both"/>
      </w:pPr>
      <w:r>
        <w:rPr>
          <w:rFonts w:ascii="Old Standard TT" w:hAnsi="Old Standard TT"/>
          <w:sz w:val="21"/>
        </w:rPr>
        <w:t>Observation: Sentinel pages at the first non-allowlisted stated destination on all three positives and is silent on all three negatives. The keyword baseline false-pages on two negatives and, on every positive, its first hit is an in-scope or local command rather than the out-of-scope event. Interpretation: these are tests that the rule does what it says on traces we wrote to describe the public record. They are not detection rates and we report no accuracy. What they establish is that the verdict and its event index are reproducible from files, and that the allowlist, not the regular expressions, is the component doing the work.</w:t>
      </w:r>
    </w:p>
    <w:p>
      <w:pPr>
        <w:pStyle w:val="Heading3"/>
        <w:keepNext/>
      </w:pPr>
      <w:r>
        <w:t>4.2 Allowlist misspecification</w:t>
      </w:r>
    </w:p>
    <w:p>
      <w:pPr>
        <w:keepNext/>
        <w:spacing w:before="120" w:line="259" w:lineRule="auto"/>
        <w:jc w:val="center"/>
      </w:pPr>
      <w:r>
        <w:rPr>
          <w:rFonts w:ascii="Old Standard TT" w:hAnsi="Old Standard TT"/>
          <w:sz w:val="21"/>
        </w:rPr>
        <w:drawing>
          <wp:inline>
            <wp:extent cx="4572000" cy="1837764"/>
            <wp:docPr id="1" name="Picture 1"/>
            <wp:cNvGraphicFramePr>
              <a:graphicFrameLocks noChangeAspect="1"/>
            </wp:cNvGraphicFramePr>
            <a:graphic>
              <a:graphicData uri="http://schemas.openxmlformats.org/drawingml/2006/picture">
                <pic:pic>
                  <pic:nvPicPr>
                    <pic:cNvPr id="0" name="fig1_ablation.png"/>
                    <pic:cNvPicPr/>
                  </pic:nvPicPr>
                  <pic:blipFill>
                    <a:blip r:embed="rId8"/>
                    <a:stretch>
                      <a:fillRect/>
                    </a:stretch>
                  </pic:blipFill>
                  <pic:spPr>
                    <a:xfrm>
                      <a:off x="0" y="0"/>
                      <a:ext cx="4572000" cy="1837764"/>
                    </a:xfrm>
                    <a:prstGeom prst="rect"/>
                  </pic:spPr>
                </pic:pic>
              </a:graphicData>
            </a:graphic>
          </wp:inline>
        </w:drawing>
      </w:r>
    </w:p>
    <w:p>
      <w:pPr>
        <w:spacing w:line="312" w:lineRule="auto" w:before="120" w:after="200"/>
      </w:pPr>
      <w:r>
        <w:rPr>
          <w:rFonts w:ascii="Old Standard TT" w:hAnsi="Old Standard TT"/>
          <w:i/>
          <w:sz w:val="19"/>
        </w:rPr>
        <w:t>Figure 1. One reconstruction of the Hugging Face trace under three declared scopes. Only the allowlist changes. Too tight (omits the permitted Artifactory proxy) pages at event 2 on legitimate traffic. Correct pages at event 3, the first destination after the proxy. Wildcard pages nowhere. The dotted line at event 2 is the SSRF through the permitted proxy, which no allowlist can see; the shaded region is post-escape activity inside Hugging Face.</w:t>
      </w:r>
    </w:p>
    <w:p>
      <w:pPr>
        <w:spacing w:after="100" w:line="259" w:lineRule="auto"/>
        <w:jc w:val="both"/>
      </w:pPr>
      <w:r>
        <w:rPr>
          <w:rFonts w:ascii="Old Standard TT" w:hAnsi="Old Standard TT"/>
          <w:sz w:val="21"/>
        </w:rPr>
        <w:t>Observation: the same trace yields three different verdicts under three scopes (Figure 1). Interpretation: both directions of misspecification fail, and they fail differently. The too-tight scope produces a page on permitted egress, the kind of alert that gets a monitor switched off within a day. The wildcard scope, which is what "we allow internet" means when nobody writes the list, is silent on a real containment failure. A scanner with no declared scope is not a control. The artifact worth publishing per evaluation class is the pair (trace, allowlist), and verifiability is a property of the pair. Every number here is deterministic and pinned by tests; the one robustness question that matters is sensitivity to the scope, and this figure asks it directly.</w:t>
      </w:r>
    </w:p>
    <w:p>
      <w:pPr>
        <w:pStyle w:val="Heading3"/>
        <w:keepNext/>
      </w:pPr>
      <w:r>
        <w:t>4.3 The page arrives after the escape</w:t>
      </w:r>
    </w:p>
    <w:p>
      <w:pPr>
        <w:spacing w:after="100" w:line="259" w:lineRule="auto"/>
        <w:jc w:val="both"/>
      </w:pPr>
      <w:r>
        <w:rPr>
          <w:rFonts w:ascii="Old Standard TT" w:hAnsi="Old Standard TT"/>
          <w:sz w:val="21"/>
        </w:rPr>
        <w:t xml:space="preserve">Under the correct scope the page lands at event 3. Event 2, the request to the permitted proxy, is already the escape: the SSRF went through an allowlisted host, and an allowlist-relative rule classifies that request as ALLOWED. We test this as a known blind spot rather than hide it. PAGE @3 is the first auditable evidence of out-of-scope egress, which in the reconstruction precedes the production intrusion (events 5 and 6) and the organisation's own detection (event 6). It is not "this would have stopped the breach." Prevention is default-deny egress plus a hardened permitted proxy, and a trace scanner supplies neither. The DSEWiki case has the same shape: the sandbox permitted only GET requests, and the wiki accepts page edits over GET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In both public escapes the agent went through the scope, not around it. An allowlist-relative scanner is blind to that by construction; what it would still have recorded is the destination host, prowiki.org, had the declared scope named which hosts read access was for.</w:t>
      </w:r>
    </w:p>
    <w:p>
      <w:pPr>
        <w:keepNext/>
        <w:spacing w:before="120" w:line="259" w:lineRule="auto"/>
        <w:jc w:val="center"/>
      </w:pPr>
      <w:r>
        <w:rPr>
          <w:rFonts w:ascii="Old Standard TT" w:hAnsi="Old Standard TT"/>
          <w:sz w:val="21"/>
        </w:rPr>
        <w:drawing>
          <wp:inline>
            <wp:extent cx="4937760" cy="2226833"/>
            <wp:docPr id="2" name="Picture 2"/>
            <wp:cNvGraphicFramePr>
              <a:graphicFrameLocks noChangeAspect="1"/>
            </wp:cNvGraphicFramePr>
            <a:graphic>
              <a:graphicData uri="http://schemas.openxmlformats.org/drawingml/2006/picture">
                <pic:pic>
                  <pic:nvPicPr>
                    <pic:cNvPr id="0" name="fig2_layers_v3.png"/>
                    <pic:cNvPicPr/>
                  </pic:nvPicPr>
                  <pic:blipFill>
                    <a:blip r:embed="rId9"/>
                    <a:stretch>
                      <a:fillRect/>
                    </a:stretch>
                  </pic:blipFill>
                  <pic:spPr>
                    <a:xfrm>
                      <a:off x="0" y="0"/>
                      <a:ext cx="4937760" cy="2226833"/>
                    </a:xfrm>
                    <a:prstGeom prst="rect"/>
                  </pic:spPr>
                </pic:pic>
              </a:graphicData>
            </a:graphic>
          </wp:inline>
        </w:drawing>
      </w:r>
    </w:p>
    <w:p>
      <w:pPr>
        <w:spacing w:line="312" w:lineRule="auto" w:before="120" w:after="200"/>
      </w:pPr>
      <w:r>
        <w:rPr>
          <w:rFonts w:ascii="Old Standard TT" w:hAnsi="Old Standard TT"/>
          <w:i/>
          <w:sz w:val="19"/>
        </w:rPr>
        <w:t>Figure 2. Four layers of containment evidence, with the Hugging Face reconstruction as the running example. Layers 1 and 2 are what this paper builds: the declared scope and the agent's stated destination, checked against it. Layer 3, observed flows diffed against the same allowlist, is not built and is the month of follow-up. Layer 4 is the Track 1 criterion. Prevention is a separate row: it stops escapes and yields no third-party evidence.</w:t>
      </w:r>
    </w:p>
    <w:p>
      <w:pPr>
        <w:pStyle w:val="Heading3"/>
        <w:keepNext/>
      </w:pPr>
      <w:r>
        <w:t>4.4 Records we did not write: the DSEWiki export and a live Inspect run</w:t>
      </w:r>
    </w:p>
    <w:p>
      <w:pPr>
        <w:spacing w:after="100" w:line="259" w:lineRule="auto"/>
        <w:jc w:val="both"/>
      </w:pPr>
      <w:r>
        <w:rPr>
          <w:rFonts w:ascii="Old Standard TT" w:hAnsi="Old Standard TT"/>
          <w:sz w:val="21"/>
        </w:rPr>
        <w:t xml:space="preserve">The fixtures show consistency, not generalisation, so we pointed the same rule at a record with a different author. The Nightingale Collective's export of the DSEWiki incident </w:t>
      </w:r>
      <w:r>
        <w:rPr>
          <w:rFonts w:ascii="Old Standard TT" w:hAnsi="Old Standard TT"/>
          <w:sz w:val="21"/>
        </w:rPr>
        <w:t>[</w:t>
      </w:r>
      <w:hyperlink w:anchor="ref5">
        <w:r>
          <w:rPr>
            <w:rFonts w:ascii="Old Standard TT" w:hAnsi="Old Standard TT"/>
            <w:color w:val="2E5C8A"/>
          </w:rPr>
          <w:t>5</w:t>
        </w:r>
      </w:hyperlink>
      <w:r>
        <w:rPr>
          <w:rFonts w:ascii="Old Standard TT" w:hAnsi="Old Standard TT"/>
          <w:sz w:val="21"/>
        </w:rPr>
        <w:t>]</w:t>
      </w:r>
      <w:r>
        <w:rPr>
          <w:rFonts w:ascii="Old Standard TT" w:hAnsi="Old Standard TT"/>
          <w:sz w:val="21"/>
        </w:rPr>
        <w:t xml:space="preserve"> contains 14,591 saved agent revisions across four wikis, 24 May to 2 July 2026, with full text and write times (manifest db_sha256 199241bf…). Each revision is one event in write order and its body the argument blob; the extractor reads it as it would a tool call. Nothing about the events is ours. The declared scope is: the sandbox allowed any GET request to any host, which is the wildcard row of the ablation. We add two scopes of our own for comparison and say so: one naming only the public datasets the task families were retrieving from (27 hosts such as api.datausa.io, sec.gov, api.usaspending.gov), and a control that also permits the wiki hosts.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808"/>
        <w:gridCol w:w="1224"/>
        <w:gridCol w:w="1944"/>
        <w:gridCol w:w="2232"/>
        <w:gridCol w:w="1152"/>
      </w:tblGrid>
      <w:tr>
        <w:trPr>
          <w:cantSplit/>
        </w:trPr>
        <w:tc>
          <w:tcPr>
            <w:tcW w:type="dxa" w:w="2808"/>
          </w:tcPr>
          <w:p>
            <w:pPr>
              <w:spacing w:line="269" w:lineRule="auto" w:after="0" w:before="0"/>
            </w:pPr>
            <w:r>
              <w:rPr>
                <w:rFonts w:ascii="Old Standard TT" w:hAnsi="Old Standard TT"/>
              </w:rPr>
            </w:r>
            <w:r>
              <w:rPr>
                <w:rFonts w:ascii="Old Standard TT" w:hAnsi="Old Standard TT"/>
                <w:b/>
                <w:sz w:val="16"/>
              </w:rPr>
              <w:t>Declared scope</w:t>
            </w:r>
          </w:p>
        </w:tc>
        <w:tc>
          <w:tcPr>
            <w:tcW w:type="dxa" w:w="1224"/>
          </w:tcPr>
          <w:p>
            <w:pPr>
              <w:spacing w:line="269" w:lineRule="auto" w:after="0" w:before="0"/>
            </w:pPr>
            <w:r>
              <w:rPr>
                <w:rFonts w:ascii="Old Standard TT" w:hAnsi="Old Standard TT"/>
              </w:rPr>
            </w:r>
            <w:r>
              <w:rPr>
                <w:rFonts w:ascii="Old Standard TT" w:hAnsi="Old Standard TT"/>
                <w:b/>
                <w:sz w:val="16"/>
              </w:rPr>
              <w:t>Pages</w:t>
            </w:r>
          </w:p>
        </w:tc>
        <w:tc>
          <w:tcPr>
            <w:tcW w:type="dxa" w:w="1944"/>
          </w:tcPr>
          <w:p>
            <w:pPr>
              <w:spacing w:line="269" w:lineRule="auto" w:after="0" w:before="0"/>
            </w:pPr>
            <w:r>
              <w:rPr>
                <w:rFonts w:ascii="Old Standard TT" w:hAnsi="Old Standard TT"/>
              </w:rPr>
            </w:r>
            <w:r>
              <w:rPr>
                <w:rFonts w:ascii="Old Standard TT" w:hAnsi="Old Standard TT"/>
                <w:b/>
                <w:sz w:val="16"/>
              </w:rPr>
              <w:t>First page</w:t>
            </w:r>
          </w:p>
        </w:tc>
        <w:tc>
          <w:tcPr>
            <w:tcW w:type="dxa" w:w="2232"/>
          </w:tcPr>
          <w:p>
            <w:pPr>
              <w:spacing w:line="269" w:lineRule="auto" w:after="0" w:before="0"/>
            </w:pPr>
            <w:r>
              <w:rPr>
                <w:rFonts w:ascii="Old Standard TT" w:hAnsi="Old Standard TT"/>
              </w:rPr>
            </w:r>
            <w:r>
              <w:rPr>
                <w:rFonts w:ascii="Old Standard TT" w:hAnsi="Old Standard TT"/>
                <w:b/>
                <w:sz w:val="16"/>
              </w:rPr>
              <w:t>Destination</w:t>
            </w:r>
          </w:p>
        </w:tc>
        <w:tc>
          <w:tcPr>
            <w:tcW w:type="dxa" w:w="1152"/>
          </w:tcPr>
          <w:p>
            <w:pPr>
              <w:spacing w:line="269" w:lineRule="auto" w:after="0" w:before="0"/>
            </w:pPr>
            <w:r>
              <w:rPr>
                <w:rFonts w:ascii="Old Standard TT" w:hAnsi="Old Standard TT"/>
              </w:rPr>
            </w:r>
            <w:r>
              <w:rPr>
                <w:rFonts w:ascii="Old Standard TT" w:hAnsi="Old Standard TT"/>
                <w:b/>
                <w:sz w:val="16"/>
              </w:rPr>
              <w:t>Before OpenAI's first visit (21 Jun)</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wildcard (the actual scope: any GET)</w:t>
            </w:r>
          </w:p>
        </w:tc>
        <w:tc>
          <w:tcPr>
            <w:tcW w:type="dxa" w:w="1224"/>
          </w:tcPr>
          <w:p>
            <w:pPr>
              <w:spacing w:line="269" w:lineRule="auto" w:after="0" w:before="0"/>
            </w:pPr>
            <w:r>
              <w:rPr>
                <w:rFonts w:ascii="Old Standard TT" w:hAnsi="Old Standard TT"/>
              </w:rPr>
            </w:r>
            <w:r>
              <w:rPr>
                <w:rFonts w:ascii="Old Standard TT" w:hAnsi="Old Standard TT"/>
                <w:b w:val="0"/>
                <w:sz w:val="16"/>
              </w:rPr>
              <w:t>0 of 14,591</w:t>
            </w:r>
          </w:p>
        </w:tc>
        <w:tc>
          <w:tcPr>
            <w:tcW w:type="dxa" w:w="1944"/>
          </w:tcPr>
          <w:p>
            <w:pPr>
              <w:spacing w:line="269" w:lineRule="auto" w:after="0" w:before="0"/>
            </w:pPr>
            <w:r>
              <w:rPr>
                <w:rFonts w:ascii="Old Standard TT" w:hAnsi="Old Standard TT"/>
              </w:rPr>
            </w:r>
            <w:r>
              <w:rPr>
                <w:rFonts w:ascii="Old Standard TT" w:hAnsi="Old Standard TT"/>
                <w:b w:val="0"/>
                <w:sz w:val="16"/>
              </w:rPr>
              <w:t>—</w:t>
            </w:r>
          </w:p>
        </w:tc>
        <w:tc>
          <w:tcPr>
            <w:tcW w:type="dxa" w:w="2232"/>
          </w:tcPr>
          <w:p>
            <w:pPr>
              <w:spacing w:line="269" w:lineRule="auto" w:after="0" w:before="0"/>
            </w:pPr>
            <w:r>
              <w:rPr>
                <w:rFonts w:ascii="Old Standard TT" w:hAnsi="Old Standard TT"/>
              </w:rPr>
            </w:r>
            <w:r>
              <w:rPr>
                <w:rFonts w:ascii="Old Standard TT" w:hAnsi="Old Standard TT"/>
                <w:b w:val="0"/>
                <w:sz w:val="16"/>
              </w:rPr>
              <w:t>—</w:t>
            </w:r>
          </w:p>
        </w:tc>
        <w:tc>
          <w:tcPr>
            <w:tcW w:type="dxa" w:w="1152"/>
          </w:tcPr>
          <w:p>
            <w:pPr>
              <w:spacing w:line="269" w:lineRule="auto" w:after="0" w:before="0"/>
            </w:pPr>
            <w:r>
              <w:rPr>
                <w:rFonts w:ascii="Old Standard TT" w:hAnsi="Old Standard TT"/>
              </w:rPr>
            </w:r>
            <w:r>
              <w:rPr>
                <w:rFonts w:ascii="Old Standard TT" w:hAnsi="Old Standard TT"/>
                <w:b w:val="0"/>
                <w:sz w:val="16"/>
              </w:rPr>
              <w:t>silent</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only (ours)</w:t>
            </w:r>
          </w:p>
        </w:tc>
        <w:tc>
          <w:tcPr>
            <w:tcW w:type="dxa" w:w="1224"/>
          </w:tcPr>
          <w:p>
            <w:pPr>
              <w:spacing w:line="269" w:lineRule="auto" w:after="0" w:before="0"/>
            </w:pPr>
            <w:r>
              <w:rPr>
                <w:rFonts w:ascii="Old Standard TT" w:hAnsi="Old Standard TT"/>
              </w:rPr>
            </w:r>
            <w:r>
              <w:rPr>
                <w:rFonts w:ascii="Old Standard TT" w:hAnsi="Old Standard TT"/>
                <w:b w:val="0"/>
                <w:sz w:val="16"/>
              </w:rPr>
              <w:t>16,504</w:t>
            </w:r>
          </w:p>
        </w:tc>
        <w:tc>
          <w:tcPr>
            <w:tcW w:type="dxa" w:w="1944"/>
          </w:tcPr>
          <w:p>
            <w:pPr>
              <w:spacing w:line="269" w:lineRule="auto" w:after="0" w:before="0"/>
            </w:pPr>
            <w:r>
              <w:rPr>
                <w:rFonts w:ascii="Old Standard TT" w:hAnsi="Old Standard TT"/>
              </w:rPr>
            </w:r>
            <w:r>
              <w:rPr>
                <w:rFonts w:ascii="Old Standard TT" w:hAnsi="Old Standard TT"/>
                <w:b w:val="0"/>
                <w:sz w:val="16"/>
              </w:rPr>
              <w:t>event 5, 24 May 11:53 UTC</w:t>
            </w:r>
          </w:p>
        </w:tc>
        <w:tc>
          <w:tcPr>
            <w:tcW w:type="dxa" w:w="2232"/>
          </w:tcPr>
          <w:p>
            <w:pPr>
              <w:spacing w:line="269" w:lineRule="auto" w:after="0" w:before="0"/>
            </w:pPr>
            <w:r>
              <w:rPr>
                <w:rFonts w:ascii="Old Standard TT" w:hAnsi="Old Standard TT"/>
              </w:rPr>
            </w:r>
            <w:r>
              <w:rPr>
                <w:rFonts w:ascii="Old Standard TT" w:hAnsi="Old Standard TT"/>
                <w:b w:val="0"/>
                <w:sz w:val="16"/>
              </w:rPr>
              <w:t>wikiservice.at (wiki channel)</w:t>
            </w:r>
          </w:p>
        </w:tc>
        <w:tc>
          <w:tcPr>
            <w:tcW w:type="dxa" w:w="1152"/>
          </w:tcPr>
          <w:p>
            <w:pPr>
              <w:spacing w:line="269" w:lineRule="auto" w:after="0" w:before="0"/>
            </w:pPr>
            <w:r>
              <w:rPr>
                <w:rFonts w:ascii="Old Standard TT" w:hAnsi="Old Standard TT"/>
              </w:rPr>
            </w:r>
            <w:r>
              <w:rPr>
                <w:rFonts w:ascii="Old Standard TT" w:hAnsi="Old Standard TT"/>
                <w:b w:val="0"/>
                <w:sz w:val="16"/>
              </w:rPr>
              <w:t>27 days</w:t>
            </w:r>
          </w:p>
        </w:tc>
      </w:tr>
      <w:tr>
        <w:trPr>
          <w:cantSplit/>
        </w:trPr>
        <w:tc>
          <w:tcPr>
            <w:tcW w:type="dxa" w:w="2808"/>
          </w:tcPr>
          <w:p>
            <w:pPr>
              <w:spacing w:line="269" w:lineRule="auto" w:after="0" w:before="0"/>
            </w:pPr>
            <w:r>
              <w:rPr>
                <w:rFonts w:ascii="Old Standard TT" w:hAnsi="Old Standard TT"/>
              </w:rPr>
            </w:r>
            <w:r>
              <w:rPr>
                <w:rFonts w:ascii="Old Standard TT" w:hAnsi="Old Standard TT"/>
                <w:b w:val="0"/>
                <w:sz w:val="16"/>
              </w:rPr>
              <w:t>data sources + wiki hosts (control)</w:t>
            </w:r>
          </w:p>
        </w:tc>
        <w:tc>
          <w:tcPr>
            <w:tcW w:type="dxa" w:w="1224"/>
          </w:tcPr>
          <w:p>
            <w:pPr>
              <w:spacing w:line="269" w:lineRule="auto" w:after="0" w:before="0"/>
            </w:pPr>
            <w:r>
              <w:rPr>
                <w:rFonts w:ascii="Old Standard TT" w:hAnsi="Old Standard TT"/>
              </w:rPr>
            </w:r>
            <w:r>
              <w:rPr>
                <w:rFonts w:ascii="Old Standard TT" w:hAnsi="Old Standard TT"/>
                <w:b w:val="0"/>
                <w:sz w:val="16"/>
              </w:rPr>
              <w:t>11,946</w:t>
            </w:r>
          </w:p>
        </w:tc>
        <w:tc>
          <w:tcPr>
            <w:tcW w:type="dxa" w:w="1944"/>
          </w:tcPr>
          <w:p>
            <w:pPr>
              <w:spacing w:line="269" w:lineRule="auto" w:after="0" w:before="0"/>
            </w:pPr>
            <w:r>
              <w:rPr>
                <w:rFonts w:ascii="Old Standard TT" w:hAnsi="Old Standard TT"/>
              </w:rPr>
            </w:r>
            <w:r>
              <w:rPr>
                <w:rFonts w:ascii="Old Standard TT" w:hAnsi="Old Standard TT"/>
                <w:b w:val="0"/>
                <w:sz w:val="16"/>
              </w:rPr>
              <w:t>event 36, 26 May 09:43 UTC</w:t>
            </w:r>
          </w:p>
        </w:tc>
        <w:tc>
          <w:tcPr>
            <w:tcW w:type="dxa" w:w="2232"/>
          </w:tcPr>
          <w:p>
            <w:pPr>
              <w:spacing w:line="269" w:lineRule="auto" w:after="0" w:before="0"/>
            </w:pPr>
            <w:r>
              <w:rPr>
                <w:rFonts w:ascii="Old Standard TT" w:hAnsi="Old Standard TT"/>
              </w:rPr>
            </w:r>
            <w:r>
              <w:rPr>
                <w:rFonts w:ascii="Old Standard TT" w:hAnsi="Old Standard TT"/>
                <w:b w:val="0"/>
                <w:sz w:val="16"/>
              </w:rPr>
              <w:t>example.com; then markdown.new, piv.max.gov</w:t>
            </w:r>
          </w:p>
        </w:tc>
        <w:tc>
          <w:tcPr>
            <w:tcW w:type="dxa" w:w="1152"/>
          </w:tcPr>
          <w:p>
            <w:pPr>
              <w:spacing w:line="269" w:lineRule="auto" w:after="0" w:before="0"/>
            </w:pPr>
            <w:r>
              <w:rPr>
                <w:rFonts w:ascii="Old Standard TT" w:hAnsi="Old Standard TT"/>
              </w:rPr>
            </w:r>
            <w:r>
              <w:rPr>
                <w:rFonts w:ascii="Old Standard TT" w:hAnsi="Old Standard TT"/>
                <w:b w:val="0"/>
                <w:sz w:val="16"/>
              </w:rPr>
              <w:t>25 days</w:t>
            </w:r>
          </w:p>
        </w:tc>
      </w:tr>
    </w:tbl>
    <w:p>
      <w:pPr>
        <w:spacing w:line="312" w:lineRule="auto" w:before="140" w:after="200"/>
      </w:pPr>
      <w:r>
        <w:rPr>
          <w:rFonts w:ascii="Old Standard TT" w:hAnsi="Old Standard TT"/>
          <w:i/>
          <w:sz w:val="19"/>
        </w:rPr>
        <w:t>Table 3. Sentinel over the DSEWiki export under three declared scopes. The events are the researchers' record; the two non-wildcard scopes are our reconstruction from the task families visible in it. "Before OpenAI's first visit" uses the date collusion.wiki gives for the first OpenAI-associated addresses on the pages.</w:t>
      </w:r>
    </w:p>
    <w:p>
      <w:pPr>
        <w:spacing w:after="100" w:line="259" w:lineRule="auto"/>
        <w:jc w:val="both"/>
      </w:pPr>
      <w:r>
        <w:rPr>
          <w:rFonts w:ascii="Old Standard TT" w:hAnsi="Old Standard TT"/>
          <w:sz w:val="21"/>
        </w:rPr>
        <w:t>Observation: under the scope the sandbox actually had, the scanner is silent on all 14,591 events. Under a scope that names the task's data sources, the first out-of-scope stated destination is the wiki itself, at event 5, six hours into the first day of writing and 27 days before the first OpenAI-associated address visited the pages. Permitting the wiki hosts moves the first page to 26 May, where the stated destinations are a placeholder domain, then the first of 43 reader and CORS-proxy hosts (markdown.new, r.jina.ai, allorigins), then a US government login portal (piv.max.gov, login.max.gov). The extractor sees 200 distinct hosts in the record: 27 task data sources, 6 wiki hosts, 43 reader or CORS proxies, 4 shorteners, 5 archives, 4 tunnels. Interpretation: the ablation's two failure modes reproduce on a record we did not write. The scope the evaluation had was a wildcard, and a wildcard produces no page on a real containment failure; any scope that named what the task was for would have paged on the first day. Two honesty notes: 16,504 pages is an alert volume nobody reads, so the value is the first index and the count is why layer 3, not layer 2, should gate paging; and T2 fired 1,147 times only because "proxy" appears in the workaround hostnames, a lexical accident we report as one.</w:t>
      </w:r>
    </w:p>
    <w:p>
      <w:pPr>
        <w:spacing w:after="100" w:line="259" w:lineRule="auto"/>
        <w:jc w:val="both"/>
      </w:pPr>
      <w:r>
        <w:rPr>
          <w:rFonts w:ascii="Old Standard TT" w:hAnsi="Old Standard TT"/>
          <w:sz w:val="21"/>
        </w:rPr>
        <w:t>The second record is a live run we did not script: eight samples of inspect_evals/gdm_intercode_ctf with claude-haiku-4-5 as the agent. Its upstream sandbox declares network_mode: none, the only allowlist here written from a benchmark's own configuration, and it is empty. The agent made 42 tool calls (ls, cat, tcpdump, strings, python, submit) and solved all eight tasks; Sentinel paged on none, warned on none, the keyword baseline fired on none, and the inspect_scout wrapper returned the same eight verdicts from the recorded log. This is a negative control, not a detection result: a scanner that paged here would be wrong. It shows the rule is silent on real tool calls it was not written against, and that the Inspect path works on a real log. Cost: $0.14.</w:t>
      </w:r>
    </w:p>
    <w:p>
      <w:pPr>
        <w:pStyle w:val="Heading2"/>
        <w:keepNext/>
      </w:pPr>
      <w:r>
        <w:t>5. Discussion and Limitations</w:t>
      </w:r>
    </w:p>
    <w:p>
      <w:pPr>
        <w:spacing w:after="100" w:line="259" w:lineRule="auto"/>
        <w:jc w:val="both"/>
      </w:pPr>
      <w:r>
        <w:rPr>
          <w:rFonts w:ascii="Old Standard TT" w:hAnsi="Old Standard TT"/>
          <w:sz w:val="21"/>
        </w:rPr>
        <w:t xml:space="preserve">Theory of change. A lab attaches an allowlist to each evaluation class, with notes on why each entry is permitted. Sentinel runs offline over the campaign's Inspect logs in minutes, with no API key. The lab publishes the allowlist, the per-run verdicts and the first out-of-scope index; a third party replays the verdict from those files. Two kinds of third party can: an auditor or an affected partner who has been given the files, and the Commission, which under Article 91 of the AI Act may require a provider of a general-purpose AI model to hand over documentation necessary to assess compliance. The first needs cooperation; only the second can compel. Appendix C shows the record either would receive. The cost of adoption is writing the allowlist, which is the point: the artifact forces the scope to exist. It sits under what the labs already say they will build: AISI asks for monitoring "able to flag or block out-of-scope actions as they happen" with scope "limited in advance" </w:t>
      </w:r>
      <w:r>
        <w:rPr>
          <w:rFonts w:ascii="Old Standard TT" w:hAnsi="Old Standard TT"/>
          <w:sz w:val="21"/>
        </w:rPr>
        <w:t>[</w:t>
      </w:r>
      <w:hyperlink w:anchor="ref4">
        <w:r>
          <w:rPr>
            <w:rFonts w:ascii="Old Standard TT" w:hAnsi="Old Standard TT"/>
            <w:color w:val="2E5C8A"/>
          </w:rPr>
          <w:t>4</w:t>
        </w:r>
      </w:hyperlink>
      <w:r>
        <w:rPr>
          <w:rFonts w:ascii="Old Standard TT" w:hAnsi="Old Standard TT"/>
          <w:sz w:val="21"/>
        </w:rPr>
        <w:t>]</w:t>
      </w:r>
      <w:r>
        <w:rPr>
          <w:rFonts w:ascii="Old Standard TT" w:hAnsi="Old Standard TT"/>
          <w:sz w:val="21"/>
        </w:rPr>
        <w:t xml:space="preserve">, and OpenAI now requires chain-of-thought monitoring for tool-using runs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w:t>
      </w:r>
      <w:r>
        <w:rPr>
          <w:rFonts w:ascii="Old Standard TT" w:hAnsi="Old Standard TT"/>
          <w:sz w:val="21"/>
        </w:rPr>
        <w:t>; both need a machine-readable statement of what out-of-scope means. Layer 3 (Figure 2), the same allowlist diffed against egress flow logs, would let a lab attest isolation rather than assume it, which is the failure in the Anthropic name-collision case.</w:t>
      </w:r>
    </w:p>
    <w:p>
      <w:pPr>
        <w:pStyle w:val="Heading3"/>
        <w:keepNext/>
      </w:pPr>
      <w:r>
        <w:t>Limitations</w:t>
      </w:r>
    </w:p>
    <w:p>
      <w:pPr>
        <w:spacing w:after="80" w:line="259" w:lineRule="auto"/>
        <w:ind w:left="432" w:hanging="288"/>
        <w:jc w:val="both"/>
      </w:pPr>
      <w:r>
        <w:rPr>
          <w:rFonts w:ascii="Old Standard TT" w:hAnsi="Old Standard TT"/>
          <w:sz w:val="21"/>
        </w:rPr>
        <w:t xml:space="preserve">•  The positive fixtures are reconstructions of four to seven events from public descriptions; Hugging Face logged about 17,600 attacker actions </w:t>
      </w:r>
      <w:r>
        <w:rPr>
          <w:rFonts w:ascii="Old Standard TT" w:hAnsi="Old Standard TT"/>
          <w:sz w:val="21"/>
        </w:rPr>
        <w:t>[</w:t>
      </w:r>
      <w:hyperlink w:anchor="ref2">
        <w:r>
          <w:rPr>
            <w:rFonts w:ascii="Old Standard TT" w:hAnsi="Old Standard TT"/>
            <w:color w:val="2E5C8A"/>
          </w:rPr>
          <w:t>2</w:t>
        </w:r>
      </w:hyperlink>
      <w:r>
        <w:rPr>
          <w:rFonts w:ascii="Old Standard TT" w:hAnsi="Old Standard TT"/>
          <w:sz w:val="21"/>
        </w:rPr>
        <w:t>]</w:t>
      </w:r>
      <w:r>
        <w:rPr>
          <w:rFonts w:ascii="Old Standard TT" w:hAnsi="Old Standard TT"/>
          <w:sz w:val="21"/>
        </w:rPr>
        <w:t>. No lab has released raw transcripts, so nothing here measures detection inside OpenAI, Anthropic or AISI, and "events earlier" describes our reconstruction.</w:t>
      </w:r>
    </w:p>
    <w:p>
      <w:pPr>
        <w:spacing w:after="80" w:line="259" w:lineRule="auto"/>
        <w:ind w:left="432" w:hanging="288"/>
        <w:jc w:val="both"/>
      </w:pPr>
      <w:r>
        <w:rPr>
          <w:rFonts w:ascii="Old Standard TT" w:hAnsi="Old Standard TT"/>
          <w:sz w:val="21"/>
        </w:rPr>
        <w:t>•  The fixtures and the rule share an author, so the specification tests show consistency, not generalisation. The DSEWiki run fixes the events but not the scope: its two non-wildcard allowlists are ours, and a different reconstruction would move the first page. The wildcard row, the scope the sandbox actually had, does not move.</w:t>
      </w:r>
    </w:p>
    <w:p>
      <w:pPr>
        <w:spacing w:after="80" w:line="259" w:lineRule="auto"/>
        <w:ind w:left="432" w:hanging="288"/>
        <w:jc w:val="both"/>
      </w:pPr>
      <w:r>
        <w:rPr>
          <w:rFonts w:ascii="Old Standard TT" w:hAnsi="Old Standard TT"/>
          <w:sz w:val="21"/>
        </w:rPr>
        <w:t>•  The live run is eight samples on tasks with no network, so it can only show silence. A positive live case needs an evaluation with internet on and a real allowlist. Wiki revision bodies are also a weaker kind of declared action than a curl argument: some URLs are links posted for other agents, not destinations reached.</w:t>
      </w:r>
    </w:p>
    <w:p>
      <w:pPr>
        <w:spacing w:after="80" w:line="259" w:lineRule="auto"/>
        <w:ind w:left="432" w:hanging="288"/>
        <w:jc w:val="both"/>
      </w:pPr>
      <w:r>
        <w:rPr>
          <w:rFonts w:ascii="Old Standard TT" w:hAnsi="Old Standard TT"/>
          <w:sz w:val="21"/>
        </w:rPr>
        <w:t xml:space="preserve">•  Sentinel reads declared arguments. METR reports that roughly 7% of the transcripts it evaluated in the Hugging Face investigation were successfully spoofed in places </w:t>
      </w:r>
      <w:r>
        <w:rPr>
          <w:rFonts w:ascii="Old Standard TT" w:hAnsi="Old Standard TT"/>
          <w:sz w:val="21"/>
        </w:rPr>
        <w:t>[</w:t>
      </w:r>
      <w:hyperlink w:anchor="ref13">
        <w:r>
          <w:rPr>
            <w:rFonts w:ascii="Old Standard TT" w:hAnsi="Old Standard TT"/>
            <w:color w:val="2E5C8A"/>
          </w:rPr>
          <w:t>13</w:t>
        </w:r>
      </w:hyperlink>
      <w:r>
        <w:rPr>
          <w:rFonts w:ascii="Old Standard TT" w:hAnsi="Old Standard TT"/>
          <w:sz w:val="21"/>
        </w:rPr>
        <w:t>]</w:t>
      </w:r>
      <w:r>
        <w:rPr>
          <w:rFonts w:ascii="Old Standard TT" w:hAnsi="Old Standard TT"/>
          <w:sz w:val="21"/>
        </w:rPr>
        <w:t>; an agent can state one destination and reach another. Layer 3 is the answer, and it is not built.</w:t>
      </w:r>
    </w:p>
    <w:p>
      <w:pPr>
        <w:spacing w:after="80" w:line="259" w:lineRule="auto"/>
        <w:ind w:left="432" w:hanging="288"/>
        <w:jc w:val="both"/>
      </w:pPr>
      <w:r>
        <w:rPr>
          <w:rFonts w:ascii="Old Standard TT" w:hAnsi="Old Standard TT"/>
          <w:sz w:val="21"/>
        </w:rPr>
        <w:t>•  The extractor is regular expressions. Destinations hidden in shell variables, base64, DNS exfiltration or IP-as-integer forms are missed and the miss rate is unmeasured; publishing the extractor publishes its gaps (Appendix A). T1 and T2 false-positive rates are likewise unmeasured.</w:t>
      </w:r>
    </w:p>
    <w:p>
      <w:pPr>
        <w:spacing w:after="80" w:line="259" w:lineRule="auto"/>
        <w:ind w:left="432" w:hanging="288"/>
        <w:jc w:val="both"/>
      </w:pPr>
      <w:r>
        <w:rPr>
          <w:rFonts w:ascii="Old Standard TT" w:hAnsi="Old Standard TT"/>
          <w:sz w:val="21"/>
        </w:rPr>
        <w:t>•  The wildcard scope is one misspecification of many. A scope that is correct today and stale tomorrow is the realistic case and we have not modelled it.</w:t>
      </w:r>
    </w:p>
    <w:p>
      <w:pPr>
        <w:pStyle w:val="Heading3"/>
        <w:keepNext/>
      </w:pPr>
      <w:r>
        <w:t>Future work</w:t>
      </w:r>
    </w:p>
    <w:p>
      <w:pPr>
        <w:spacing w:after="100" w:line="259" w:lineRule="auto"/>
        <w:jc w:val="both"/>
      </w:pPr>
      <w:r>
        <w:rPr>
          <w:rFonts w:ascii="Old Standard TT" w:hAnsi="Old Standard TT"/>
          <w:sz w:val="21"/>
        </w:rPr>
        <w:t>A month would add three things. First, a positive live case: an agentic evaluation run with internet on and an honest allowlist (ExploitGym's own firewall list is the natural start), reporting T3 page and T1/T2 warn rates on real traces. Second, layer 3 against Cilium Hubble or Squid access logs, reporting the declared-versus-observed disagreement rate, which is the attestation number. Third, an adversarial pass on the extractor with an obfuscation corpus, so the miss rate is a number rather than a paragraph.</w:t>
      </w:r>
    </w:p>
    <w:p>
      <w:pPr>
        <w:pStyle w:val="Heading2"/>
        <w:keepNext/>
      </w:pPr>
      <w:r>
        <w:t>6. Conclusion</w:t>
      </w:r>
    </w:p>
    <w:p>
      <w:pPr>
        <w:spacing w:after="100" w:line="259" w:lineRule="auto"/>
        <w:jc w:val="both"/>
      </w:pPr>
      <w:r>
        <w:rPr>
          <w:rFonts w:ascii="Old Standard TT" w:hAnsi="Old Standard TT"/>
          <w:sz w:val="21"/>
        </w:rPr>
        <w:t>The public containment failures of 2026 were not failures of monitoring technology. They were cases where the scope of an evaluation existed in prose and in nobody's tooling. We show that writing the scope down as an allowlist and checking each stated destination against it produces a verdict a third party can recompute, and that the verdict is only as good as the allowlist: too tight and it pages on permitted traffic, absent and it is silent on the escape. The same trace shows the verdict arrives after the escape when the escape goes through a permitted egress, and a third party's record of a second incident reproduces both failure modes on events we did not write. Sentinel is small on purpose: a checkable layer under the monitors and proxies that already exist, and the argument that the artifact to publish per evaluation class is the pair (trace, allowlist).</w:t>
      </w:r>
    </w:p>
    <w:p>
      <w:pPr>
        <w:pStyle w:val="Heading2"/>
        <w:keepNext/>
      </w:pPr>
      <w:r>
        <w:t>Code and Data</w:t>
      </w:r>
    </w:p>
    <w:p>
      <w:pPr>
        <w:spacing w:after="100" w:line="259" w:lineRule="auto"/>
        <w:jc w:val="both"/>
      </w:pPr>
      <w:r>
        <w:rPr>
          <w:rFonts w:ascii="Old Standard TT" w:hAnsi="Old Standard TT"/>
          <w:sz w:val="21"/>
        </w:rPr>
        <w:t xml:space="preserve">Code repository: </w:t>
      </w:r>
      <w:hyperlink r:id="rId10">
        <w:r>
          <w:rPr>
            <w:rFonts w:ascii="Old Standard TT" w:hAnsi="Old Standard TT"/>
            <w:color w:val="2E5C8A"/>
          </w:rPr>
          <w:t>https://github.com/crishN144/sentinel-evals</w:t>
        </w:r>
      </w:hyperlink>
      <w:r>
        <w:rPr>
          <w:rFonts w:ascii="Old Standard TT" w:hAnsi="Old Standard TT"/>
          <w:sz w:val="21"/>
        </w:rPr>
        <w:t xml:space="preserve"> (Apache-2.0, matching ExploitGym). Fixtures, allowlists, the ablation script, the filled record of Appendix C and the tests are in the repository; python -m pytest reproduces every number here with no model and no API key. No lab transcripts are included because none are public. No datasets were used.</w:t>
      </w:r>
    </w:p>
    <w:p>
      <w:pPr>
        <w:pStyle w:val="Heading2"/>
        <w:keepNext/>
      </w:pPr>
      <w:r>
        <w:t>Author Contributions</w:t>
      </w:r>
    </w:p>
    <w:p>
      <w:pPr>
        <w:spacing w:after="100" w:line="259" w:lineRule="auto"/>
        <w:jc w:val="both"/>
      </w:pPr>
      <w:r>
        <w:rPr>
          <w:rFonts w:ascii="Old Standard TT" w:hAnsi="Old Standard TT"/>
          <w:sz w:val="21"/>
        </w:rPr>
        <w:t>C.N. conceived the project, wrote the scanner, fixtures and tests, ran the ablation and wrote the report. Claude (Anthropic) was used as a coding and drafting assistant under the author's direction; every number was recomputed by the author from the repository.</w:t>
      </w:r>
    </w:p>
    <w:p>
      <w:pPr>
        <w:pStyle w:val="Heading2"/>
        <w:keepNext/>
      </w:pPr>
      <w:r>
        <w:t>References</w:t>
      </w:r>
    </w:p>
    <w:p>
      <w:bookmarkStart w:id="1" w:name="ref1"/>
      <w:pPr>
        <w:spacing w:after="80" w:line="259" w:lineRule="auto"/>
        <w:ind w:left="403" w:hanging="403"/>
        <w:jc w:val="both"/>
      </w:pPr>
      <w:r>
        <w:rPr>
          <w:rFonts w:ascii="Old Standard TT" w:hAnsi="Old Standard TT"/>
          <w:sz w:val="20"/>
        </w:rPr>
        <w:t xml:space="preserve">[1] OpenAI, 2026. Hugging Face model evaluation security incident (21 July, revised twice) and The Hugging Face incident and the road ahead. </w:t>
      </w:r>
      <w:hyperlink r:id="rId11">
        <w:r>
          <w:rPr>
            <w:rFonts w:ascii="Old Standard TT" w:hAnsi="Old Standard TT"/>
            <w:color w:val="2E5C8A"/>
            <w:sz w:val="20"/>
          </w:rPr>
          <w:t>openai.com/index/hugging-face-model-evaluation-security-incident</w:t>
        </w:r>
      </w:hyperlink>
      <w:r>
        <w:rPr>
          <w:rFonts w:ascii="Old Standard TT" w:hAnsi="Old Standard TT"/>
          <w:sz w:val="20"/>
        </w:rPr>
        <w:t xml:space="preserve">; </w:t>
      </w:r>
      <w:hyperlink r:id="rId12">
        <w:r>
          <w:rPr>
            <w:rFonts w:ascii="Old Standard TT" w:hAnsi="Old Standard TT"/>
            <w:color w:val="2E5C8A"/>
            <w:sz w:val="20"/>
          </w:rPr>
          <w:t>openai.com/index/hugging-face-incident-and-the-road-ahead</w:t>
        </w:r>
      </w:hyperlink>
      <w:bookmarkEnd w:id="1"/>
    </w:p>
    <w:p>
      <w:bookmarkStart w:id="2" w:name="ref2"/>
      <w:pPr>
        <w:spacing w:after="80" w:line="259" w:lineRule="auto"/>
        <w:ind w:left="403" w:hanging="403"/>
        <w:jc w:val="both"/>
      </w:pPr>
      <w:r>
        <w:rPr>
          <w:rFonts w:ascii="Old Standard TT" w:hAnsi="Old Standard TT"/>
          <w:sz w:val="20"/>
        </w:rPr>
        <w:t xml:space="preserve">[2] Hugging Face, 2026. Agent intrusion: technical timeline. </w:t>
      </w:r>
      <w:hyperlink r:id="rId13">
        <w:r>
          <w:rPr>
            <w:rFonts w:ascii="Old Standard TT" w:hAnsi="Old Standard TT"/>
            <w:color w:val="2E5C8A"/>
            <w:sz w:val="20"/>
          </w:rPr>
          <w:t>huggingface.co/blog/agent-intrusion-technical-timeline</w:t>
        </w:r>
      </w:hyperlink>
      <w:bookmarkEnd w:id="2"/>
    </w:p>
    <w:p>
      <w:bookmarkStart w:id="3" w:name="ref3"/>
      <w:pPr>
        <w:spacing w:after="80" w:line="259" w:lineRule="auto"/>
        <w:ind w:left="403" w:hanging="403"/>
        <w:jc w:val="both"/>
      </w:pPr>
      <w:r>
        <w:rPr>
          <w:rFonts w:ascii="Old Standard TT" w:hAnsi="Old Standard TT"/>
          <w:sz w:val="20"/>
        </w:rPr>
        <w:t xml:space="preserve">[3] Anthropic, 2026. Investigating incidents in our cybersecurity evaluations. </w:t>
      </w:r>
      <w:hyperlink r:id="rId14">
        <w:r>
          <w:rPr>
            <w:rFonts w:ascii="Old Standard TT" w:hAnsi="Old Standard TT"/>
            <w:color w:val="2E5C8A"/>
            <w:sz w:val="20"/>
          </w:rPr>
          <w:t>anthropic.com/news/investigating-incidents-cybersecurity-evals</w:t>
        </w:r>
      </w:hyperlink>
      <w:bookmarkEnd w:id="3"/>
    </w:p>
    <w:p>
      <w:bookmarkStart w:id="4" w:name="ref4"/>
      <w:pPr>
        <w:spacing w:after="80" w:line="259" w:lineRule="auto"/>
        <w:ind w:left="403" w:hanging="403"/>
        <w:jc w:val="both"/>
      </w:pPr>
      <w:r>
        <w:rPr>
          <w:rFonts w:ascii="Old Standard TT" w:hAnsi="Old Standard TT"/>
          <w:sz w:val="20"/>
        </w:rPr>
        <w:t xml:space="preserve">[4] UK AI Security Institute, 4 August 2026. Incident report: unsanctioned agent behaviour during cyber testing (INC-2026-07-28-01). </w:t>
      </w:r>
      <w:hyperlink r:id="rId15">
        <w:r>
          <w:rPr>
            <w:rFonts w:ascii="Old Standard TT" w:hAnsi="Old Standard TT"/>
            <w:color w:val="2E5C8A"/>
            <w:sz w:val="20"/>
          </w:rPr>
          <w:t>aisi.gov.uk/blog/incident-report-unsanctioned-agent-behaviour-during-cyber-testing</w:t>
        </w:r>
      </w:hyperlink>
      <w:bookmarkEnd w:id="4"/>
    </w:p>
    <w:p>
      <w:bookmarkStart w:id="5" w:name="ref5"/>
      <w:pPr>
        <w:spacing w:after="80" w:line="259" w:lineRule="auto"/>
        <w:ind w:left="403" w:hanging="403"/>
        <w:jc w:val="both"/>
      </w:pPr>
      <w:r>
        <w:rPr>
          <w:rFonts w:ascii="Old Standard TT" w:hAnsi="Old Standard TT"/>
          <w:sz w:val="20"/>
        </w:rPr>
        <w:t xml:space="preserve">[5] Von Arx, S., Slade Byrd, C. and the Nightingale Collective, 4 September 2026. Discovery of a new OpenAI agent message board: DSEWiki edit dataset and report. </w:t>
      </w:r>
      <w:hyperlink r:id="rId16">
        <w:r>
          <w:rPr>
            <w:rFonts w:ascii="Old Standard TT" w:hAnsi="Old Standard TT"/>
            <w:color w:val="2E5C8A"/>
            <w:sz w:val="20"/>
          </w:rPr>
          <w:t>collusion.wiki</w:t>
        </w:r>
      </w:hyperlink>
      <w:r>
        <w:rPr>
          <w:rFonts w:ascii="Old Standard TT" w:hAnsi="Old Standard TT"/>
          <w:sz w:val="20"/>
        </w:rPr>
        <w:t xml:space="preserve">. OpenAI acknowledgement of 5 September 2026 as reported by TechCrunch, </w:t>
      </w:r>
      <w:hyperlink r:id="rId17">
        <w:r>
          <w:rPr>
            <w:rFonts w:ascii="Old Standard TT" w:hAnsi="Old Standard TT"/>
            <w:color w:val="2E5C8A"/>
            <w:sz w:val="20"/>
          </w:rPr>
          <w:t>techcrunch.com/2026/09/05/openai-confirms-wiki-incident-says-its-working-on-a-framework-for-more-disclosure/</w:t>
        </w:r>
      </w:hyperlink>
      <w:bookmarkEnd w:id="5"/>
    </w:p>
    <w:p>
      <w:bookmarkStart w:id="6" w:name="ref6"/>
      <w:pPr>
        <w:spacing w:after="80" w:line="259" w:lineRule="auto"/>
        <w:ind w:left="403" w:hanging="403"/>
        <w:jc w:val="both"/>
      </w:pPr>
      <w:r>
        <w:rPr>
          <w:rFonts w:ascii="Old Standard TT" w:hAnsi="Old Standard TT"/>
          <w:sz w:val="20"/>
        </w:rPr>
        <w:t xml:space="preserve">[6] Meridian Labs and UK AI Security Institute, 2026. Inspect Scout: in-depth analysis of AI agent transcripts. </w:t>
      </w:r>
      <w:hyperlink r:id="rId18">
        <w:r>
          <w:rPr>
            <w:rFonts w:ascii="Old Standard TT" w:hAnsi="Old Standard TT"/>
            <w:color w:val="2E5C8A"/>
            <w:sz w:val="20"/>
          </w:rPr>
          <w:t>github.com/meridianlabs-ai/inspect_scout</w:t>
        </w:r>
      </w:hyperlink>
      <w:bookmarkEnd w:id="6"/>
    </w:p>
    <w:p>
      <w:bookmarkStart w:id="7" w:name="ref7"/>
      <w:pPr>
        <w:spacing w:after="80" w:line="259" w:lineRule="auto"/>
        <w:ind w:left="403" w:hanging="403"/>
        <w:jc w:val="both"/>
      </w:pPr>
      <w:r>
        <w:rPr>
          <w:rFonts w:ascii="Old Standard TT" w:hAnsi="Old Standard TT"/>
          <w:sz w:val="20"/>
        </w:rPr>
        <w:t xml:space="preserve">[7] UK AI Security Institute and Redwood Research, 2025. ControlArena. </w:t>
      </w:r>
      <w:hyperlink r:id="rId19">
        <w:r>
          <w:rPr>
            <w:rFonts w:ascii="Old Standard TT" w:hAnsi="Old Standard TT"/>
            <w:color w:val="2E5C8A"/>
            <w:sz w:val="20"/>
          </w:rPr>
          <w:t>github.com/UKGovernmentBEIS/control-arena</w:t>
        </w:r>
      </w:hyperlink>
      <w:bookmarkEnd w:id="7"/>
    </w:p>
    <w:p>
      <w:bookmarkStart w:id="8" w:name="ref8"/>
      <w:pPr>
        <w:spacing w:after="80" w:line="259" w:lineRule="auto"/>
        <w:ind w:left="403" w:hanging="403"/>
        <w:jc w:val="both"/>
      </w:pPr>
      <w:r>
        <w:rPr>
          <w:rFonts w:ascii="Old Standard TT" w:hAnsi="Old Standard TT"/>
          <w:sz w:val="20"/>
        </w:rPr>
        <w:t xml:space="preserve">[8] Kutasov, J. et al., 2025. SHADE-Arena: evaluating sabotage and monitoring in LLM agents. </w:t>
      </w:r>
      <w:hyperlink r:id="rId20">
        <w:r>
          <w:rPr>
            <w:rFonts w:ascii="Old Standard TT" w:hAnsi="Old Standard TT"/>
            <w:color w:val="2E5C8A"/>
            <w:sz w:val="20"/>
          </w:rPr>
          <w:t>arXiv:2506.15740</w:t>
        </w:r>
      </w:hyperlink>
      <w:bookmarkEnd w:id="8"/>
    </w:p>
    <w:p>
      <w:bookmarkStart w:id="9" w:name="ref9"/>
      <w:pPr>
        <w:spacing w:after="80" w:line="259" w:lineRule="auto"/>
        <w:ind w:left="403" w:hanging="403"/>
        <w:jc w:val="both"/>
      </w:pPr>
      <w:r>
        <w:rPr>
          <w:rFonts w:ascii="Old Standard TT" w:hAnsi="Old Standard TT"/>
          <w:sz w:val="20"/>
        </w:rPr>
        <w:t xml:space="preserve">[9] Apollo Research, 2026. Watcher: security for coding agents (Watcher Live and Watcher Analyze). </w:t>
      </w:r>
      <w:hyperlink r:id="rId21">
        <w:r>
          <w:rPr>
            <w:rFonts w:ascii="Old Standard TT" w:hAnsi="Old Standard TT"/>
            <w:color w:val="2E5C8A"/>
            <w:sz w:val="20"/>
          </w:rPr>
          <w:t>watcher.apolloresearch.ai</w:t>
        </w:r>
      </w:hyperlink>
      <w:bookmarkEnd w:id="9"/>
    </w:p>
    <w:p>
      <w:bookmarkStart w:id="10" w:name="ref10"/>
      <w:pPr>
        <w:spacing w:after="80" w:line="259" w:lineRule="auto"/>
        <w:ind w:left="403" w:hanging="403"/>
        <w:jc w:val="both"/>
      </w:pPr>
      <w:r>
        <w:rPr>
          <w:rFonts w:ascii="Old Standard TT" w:hAnsi="Old Standard TT"/>
          <w:sz w:val="20"/>
        </w:rPr>
        <w:t xml:space="preserve">[10] ExploitGym, 2026. ExploitGym: can AI agents turn security vulnerabilities into real attacks? </w:t>
      </w:r>
      <w:hyperlink r:id="rId22">
        <w:r>
          <w:rPr>
            <w:rFonts w:ascii="Old Standard TT" w:hAnsi="Old Standard TT"/>
            <w:color w:val="2E5C8A"/>
            <w:sz w:val="20"/>
          </w:rPr>
          <w:t>arXiv:2605.11086</w:t>
        </w:r>
      </w:hyperlink>
      <w:r>
        <w:rPr>
          <w:rFonts w:ascii="Old Standard TT" w:hAnsi="Old Standard TT"/>
          <w:sz w:val="20"/>
        </w:rPr>
        <w:t>; repository and docs/firewall.md on GitHub, Apache-2.0.</w:t>
      </w:r>
      <w:bookmarkEnd w:id="10"/>
    </w:p>
    <w:p>
      <w:bookmarkStart w:id="11" w:name="ref11"/>
      <w:pPr>
        <w:spacing w:after="80" w:line="259" w:lineRule="auto"/>
        <w:ind w:left="403" w:hanging="403"/>
        <w:jc w:val="both"/>
      </w:pPr>
      <w:r>
        <w:rPr>
          <w:rFonts w:ascii="Old Standard TT" w:hAnsi="Old Standard TT"/>
          <w:sz w:val="20"/>
        </w:rPr>
        <w:t xml:space="preserve">[11] UK AI Security Institute, July 2026. Cheating behaviour in frontier model evaluations. </w:t>
      </w:r>
      <w:hyperlink r:id="rId23">
        <w:r>
          <w:rPr>
            <w:rFonts w:ascii="Old Standard TT" w:hAnsi="Old Standard TT"/>
            <w:color w:val="2E5C8A"/>
            <w:sz w:val="20"/>
          </w:rPr>
          <w:t>aisi.gov.uk/blog/cheating-behaviour-in-frontier-model-evaluations</w:t>
        </w:r>
      </w:hyperlink>
      <w:bookmarkEnd w:id="11"/>
    </w:p>
    <w:p>
      <w:bookmarkStart w:id="12" w:name="ref12"/>
      <w:pPr>
        <w:spacing w:after="80" w:line="259" w:lineRule="auto"/>
        <w:ind w:left="403" w:hanging="403"/>
        <w:jc w:val="both"/>
      </w:pPr>
      <w:r>
        <w:rPr>
          <w:rFonts w:ascii="Old Standard TT" w:hAnsi="Old Standard TT"/>
          <w:sz w:val="20"/>
        </w:rPr>
        <w:t xml:space="preserve">[12] Nagarkar, C., 2026. scorer-integrity: calibrating LLM judges against mechanical ground truth in Inspect evals. </w:t>
      </w:r>
      <w:hyperlink r:id="rId24">
        <w:r>
          <w:rPr>
            <w:rFonts w:ascii="Old Standard TT" w:hAnsi="Old Standard TT"/>
            <w:color w:val="2E5C8A"/>
            <w:sz w:val="20"/>
          </w:rPr>
          <w:t>github.com/crishN144/scorer-integrity</w:t>
        </w:r>
      </w:hyperlink>
      <w:bookmarkEnd w:id="12"/>
    </w:p>
    <w:p>
      <w:bookmarkStart w:id="13" w:name="ref13"/>
      <w:pPr>
        <w:spacing w:after="80" w:line="259" w:lineRule="auto"/>
        <w:ind w:left="403" w:hanging="403"/>
        <w:jc w:val="both"/>
      </w:pPr>
      <w:r>
        <w:rPr>
          <w:rFonts w:ascii="Old Standard TT" w:hAnsi="Old Standard TT"/>
          <w:sz w:val="20"/>
        </w:rPr>
        <w:t xml:space="preserve">[13] METR and Redwood Research, 26 August 2026. Brief independent investigation of agents' behavior, reasoning and collaboration in the OpenAI / Hugging Face hacking incident. </w:t>
      </w:r>
      <w:hyperlink r:id="rId25">
        <w:r>
          <w:rPr>
            <w:rFonts w:ascii="Old Standard TT" w:hAnsi="Old Standard TT"/>
            <w:color w:val="2E5C8A"/>
            <w:sz w:val="20"/>
          </w:rPr>
          <w:t>metr.org/blog/2026-08-26-openai-hugging-face-incident-investigation</w:t>
        </w:r>
      </w:hyperlink>
      <w:bookmarkEnd w:id="13"/>
    </w:p>
    <w:p>
      <w:bookmarkStart w:id="14" w:name="ref14"/>
      <w:pPr>
        <w:spacing w:after="80" w:line="259" w:lineRule="auto"/>
        <w:ind w:left="403" w:hanging="403"/>
        <w:jc w:val="both"/>
      </w:pPr>
      <w:r>
        <w:rPr>
          <w:rFonts w:ascii="Old Standard TT" w:hAnsi="Old Standard TT"/>
          <w:sz w:val="20"/>
        </w:rPr>
        <w:t xml:space="preserve">[14] Baker, B. et al., 2025. Monitoring reasoning models for misbehavior and the risks of promoting obfuscation. </w:t>
      </w:r>
      <w:hyperlink r:id="rId26">
        <w:r>
          <w:rPr>
            <w:rFonts w:ascii="Old Standard TT" w:hAnsi="Old Standard TT"/>
            <w:color w:val="2E5C8A"/>
            <w:sz w:val="20"/>
          </w:rPr>
          <w:t>arXiv:2503.11926</w:t>
        </w:r>
      </w:hyperlink>
      <w:bookmarkEnd w:id="14"/>
    </w:p>
    <w:p>
      <w:pPr>
        <w:pStyle w:val="Heading2"/>
        <w:keepNext/>
        <w:pageBreakBefore/>
      </w:pPr>
      <w:r>
        <w:t>Appendix A. Limitations and Dual-Use Considerations</w:t>
      </w:r>
    </w:p>
    <w:p>
      <w:pPr>
        <w:spacing w:after="100" w:line="259" w:lineRule="auto"/>
        <w:jc w:val="both"/>
      </w:pPr>
      <w:r>
        <w:rPr>
          <w:rFonts w:ascii="Old Standard TT" w:hAnsi="Old Standard TT"/>
          <w:sz w:val="21"/>
        </w:rPr>
        <w:t xml:space="preserve">Limitations are listed in Section 5 and are not repeated. Dual use is the concern specific to publishing a detector. Sentinel's extractor is a small set of regular expressions; publishing it publishes exactly which command forms it does not parse, which is an evasion map for an agent that reads the code. We publish it anyway for three reasons. First, the load-bearing component is the allowlist, not the extractor; an agent that evades the regex still has to reach a destination, and layer 3 (observed flows) does not depend on parsing. Second, the Track 1 criterion is third-party verifiability, which is impossible with a secret rule. Third, the labs' own accounts show the agents already read the evaluation's code and papers to find the flag </w:t>
      </w:r>
      <w:r>
        <w:rPr>
          <w:rFonts w:ascii="Old Standard TT" w:hAnsi="Old Standard TT"/>
          <w:sz w:val="21"/>
        </w:rPr>
        <w:t>[</w:t>
      </w:r>
      <w:hyperlink w:anchor="ref1">
        <w:r>
          <w:rPr>
            <w:rFonts w:ascii="Old Standard TT" w:hAnsi="Old Standard TT"/>
            <w:color w:val="2E5C8A"/>
          </w:rPr>
          <w:t>1</w:t>
        </w:r>
      </w:hyperlink>
      <w:r>
        <w:rPr>
          <w:rFonts w:ascii="Old Standard TT" w:hAnsi="Old Standard TT"/>
          <w:sz w:val="21"/>
        </w:rPr>
        <w:t xml:space="preserve">, </w:t>
      </w:r>
      <w:hyperlink w:anchor="ref11">
        <w:r>
          <w:rPr>
            <w:rFonts w:ascii="Old Standard TT" w:hAnsi="Old Standard TT"/>
            <w:color w:val="2E5C8A"/>
          </w:rPr>
          <w:t>11</w:t>
        </w:r>
      </w:hyperlink>
      <w:r>
        <w:rPr>
          <w:rFonts w:ascii="Old Standard TT" w:hAnsi="Old Standard TT"/>
          <w:sz w:val="21"/>
        </w:rPr>
        <w:t>]</w:t>
      </w:r>
      <w:r>
        <w:rPr>
          <w:rFonts w:ascii="Old Standard TT" w:hAnsi="Old Standard TT"/>
          <w:sz w:val="21"/>
        </w:rPr>
        <w:t>; hiding a detector from an agent that greps for it is not a control. The mitigation we recommend is the one we could not build in three days: pair the declared-action check with an observed-flow check, so that spoofing the argument does not spoof the verdict.</w:t>
      </w:r>
    </w:p>
    <w:p>
      <w:pPr>
        <w:spacing w:after="100" w:line="259" w:lineRule="auto"/>
        <w:jc w:val="both"/>
      </w:pPr>
      <w:r>
        <w:rPr>
          <w:rFonts w:ascii="Old Standard TT" w:hAnsi="Old Standard TT"/>
          <w:sz w:val="21"/>
        </w:rPr>
        <w:t>The fixtures contain no working exploit. Every command in the positive traces is a stated destination with a comment; the SSRF payload, the credentials and the internal hostnames from the incident are not reproduced. This respects the sprint rule against releasing installation recipes. The taxonomy in Appendix B could in principle guide an agent towards quieter behaviour; it is drawn entirely from the labs' published accounts and adds nothing they have not stated.</w:t>
      </w:r>
    </w:p>
    <w:p>
      <w:pPr>
        <w:pStyle w:val="Heading2"/>
        <w:keepNext/>
      </w:pPr>
      <w:r>
        <w:t>Appendix B. Taxonomy coverage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3744"/>
        <w:gridCol w:w="3456"/>
        <w:gridCol w:w="2160"/>
      </w:tblGrid>
      <w:tr>
        <w:trPr>
          <w:cantSplit/>
        </w:trPr>
        <w:tc>
          <w:tcPr>
            <w:tcW w:type="dxa" w:w="3744"/>
          </w:tcPr>
          <w:p>
            <w:pPr>
              <w:spacing w:line="269" w:lineRule="auto" w:after="0" w:before="0"/>
            </w:pPr>
            <w:r>
              <w:rPr>
                <w:rFonts w:ascii="Old Standard TT" w:hAnsi="Old Standard TT"/>
              </w:rPr>
            </w:r>
            <w:r>
              <w:rPr>
                <w:rFonts w:ascii="Old Standard TT" w:hAnsi="Old Standard TT"/>
                <w:b/>
                <w:sz w:val="16"/>
              </w:rPr>
              <w:t>Behaviour (from the public accounts)</w:t>
            </w:r>
          </w:p>
        </w:tc>
        <w:tc>
          <w:tcPr>
            <w:tcW w:type="dxa" w:w="3456"/>
          </w:tcPr>
          <w:p>
            <w:pPr>
              <w:spacing w:line="269" w:lineRule="auto" w:after="0" w:before="0"/>
            </w:pPr>
            <w:r>
              <w:rPr>
                <w:rFonts w:ascii="Old Standard TT" w:hAnsi="Old Standard TT"/>
              </w:rPr>
            </w:r>
            <w:r>
              <w:rPr>
                <w:rFonts w:ascii="Old Standard TT" w:hAnsi="Old Standard TT"/>
                <w:b/>
                <w:sz w:val="16"/>
              </w:rPr>
              <w:t>Seen in</w:t>
            </w:r>
          </w:p>
        </w:tc>
        <w:tc>
          <w:tcPr>
            <w:tcW w:type="dxa" w:w="2160"/>
          </w:tcPr>
          <w:p>
            <w:pPr>
              <w:spacing w:line="269" w:lineRule="auto" w:after="0" w:before="0"/>
            </w:pPr>
            <w:r>
              <w:rPr>
                <w:rFonts w:ascii="Old Standard TT" w:hAnsi="Old Standard TT"/>
              </w:rPr>
            </w:r>
            <w:r>
              <w:rPr>
                <w:rFonts w:ascii="Old Standard TT" w:hAnsi="Old Standard TT"/>
                <w:b/>
                <w:sz w:val="16"/>
              </w:rPr>
              <w:t>Sentinel</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1 Grader / evaluation probing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w:t>
            </w:r>
            <w:r>
              <w:rPr>
                <w:rFonts w:ascii="Old Standard TT" w:hAnsi="Old Standard TT"/>
                <w:b w:val="0"/>
                <w:sz w:val="16"/>
              </w:rPr>
              <w:t>[</w:t>
            </w:r>
            <w:hyperlink w:anchor="ref1">
              <w:r>
                <w:rPr>
                  <w:rFonts w:ascii="Old Standard TT" w:hAnsi="Old Standard TT"/>
                  <w:color w:val="2E5C8A"/>
                  <w:sz w:val="16"/>
                </w:rPr>
                <w:t>1</w:t>
              </w:r>
            </w:hyperlink>
            <w:r>
              <w:rPr>
                <w:rFonts w:ascii="Old Standard TT" w:hAnsi="Old Standard TT"/>
                <w:b w:val="0"/>
                <w:sz w:val="16"/>
              </w:rPr>
              <w:t>]</w:t>
            </w:r>
            <w:r>
              <w:rPr>
                <w:rFonts w:ascii="Old Standard TT" w:hAnsi="Old Standard TT"/>
                <w:b w:val="0"/>
                <w:sz w:val="16"/>
              </w:rPr>
              <w:t xml:space="preserve">, AISI </w:t>
            </w:r>
            <w:r>
              <w:rPr>
                <w:rFonts w:ascii="Old Standard TT" w:hAnsi="Old Standard TT"/>
                <w:b w:val="0"/>
                <w:sz w:val="16"/>
              </w:rPr>
              <w:t>[</w:t>
            </w:r>
            <w:hyperlink w:anchor="ref11">
              <w:r>
                <w:rPr>
                  <w:rFonts w:ascii="Old Standard TT" w:hAnsi="Old Standard TT"/>
                  <w:color w:val="2E5C8A"/>
                  <w:sz w:val="16"/>
                </w:rPr>
                <w:t>11</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T1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2 Sandbox / boundary testing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Hugging Face </w:t>
            </w:r>
            <w:r>
              <w:rPr>
                <w:rFonts w:ascii="Old Standard TT" w:hAnsi="Old Standard TT"/>
                <w:b w:val="0"/>
                <w:sz w:val="16"/>
              </w:rPr>
              <w:t>[</w:t>
            </w:r>
            <w:hyperlink w:anchor="ref2">
              <w:r>
                <w:rPr>
                  <w:rFonts w:ascii="Old Standard TT" w:hAnsi="Old Standard TT"/>
                  <w:color w:val="2E5C8A"/>
                  <w:sz w:val="16"/>
                </w:rPr>
                <w:t>2</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T2 WARN</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3 Unauthorised egress vs declared scope</w:t>
            </w:r>
          </w:p>
        </w:tc>
        <w:tc>
          <w:tcPr>
            <w:tcW w:type="dxa" w:w="3456"/>
          </w:tcPr>
          <w:p>
            <w:pPr>
              <w:spacing w:line="269" w:lineRule="auto" w:after="0" w:before="0"/>
            </w:pPr>
            <w:r>
              <w:rPr>
                <w:rFonts w:ascii="Old Standard TT" w:hAnsi="Old Standard TT"/>
              </w:rPr>
            </w:r>
            <w:r>
              <w:rPr>
                <w:rFonts w:ascii="Old Standard TT" w:hAnsi="Old Standard TT"/>
                <w:b w:val="0"/>
                <w:sz w:val="16"/>
              </w:rPr>
              <w:t>all four</w:t>
            </w:r>
          </w:p>
        </w:tc>
        <w:tc>
          <w:tcPr>
            <w:tcW w:type="dxa" w:w="2160"/>
          </w:tcPr>
          <w:p>
            <w:pPr>
              <w:spacing w:line="269" w:lineRule="auto" w:after="0" w:before="0"/>
            </w:pPr>
            <w:r>
              <w:rPr>
                <w:rFonts w:ascii="Old Standard TT" w:hAnsi="Old Standard TT"/>
              </w:rPr>
            </w:r>
            <w:r>
              <w:rPr>
                <w:rFonts w:ascii="Old Standard TT" w:hAnsi="Old Standard TT"/>
                <w:b w:val="0"/>
                <w:sz w:val="16"/>
              </w:rPr>
              <w:t>T3 PAGE</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4 Inter-agent message boards</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OpenAI (Artifactory WebDAV), AISI (GitHub), DSEWiki </w:t>
            </w:r>
            <w:r>
              <w:rPr>
                <w:rFonts w:ascii="Old Standard TT" w:hAnsi="Old Standard TT"/>
                <w:b w:val="0"/>
                <w:sz w:val="16"/>
              </w:rPr>
              <w:t>[</w:t>
            </w:r>
            <w:hyperlink w:anchor="ref5">
              <w:r>
                <w:rPr>
                  <w:rFonts w:ascii="Old Standard TT" w:hAnsi="Old Standard TT"/>
                  <w:color w:val="2E5C8A"/>
                  <w:sz w:val="16"/>
                </w:rPr>
                <w:t>5</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5 Credential harvesting and reuse</w:t>
            </w:r>
          </w:p>
        </w:tc>
        <w:tc>
          <w:tcPr>
            <w:tcW w:type="dxa" w:w="3456"/>
          </w:tcPr>
          <w:p>
            <w:pPr>
              <w:spacing w:line="269" w:lineRule="auto" w:after="0" w:before="0"/>
            </w:pPr>
            <w:r>
              <w:rPr>
                <w:rFonts w:ascii="Old Standard TT" w:hAnsi="Old Standard TT"/>
              </w:rPr>
            </w:r>
            <w:r>
              <w:rPr>
                <w:rFonts w:ascii="Old Standard TT" w:hAnsi="Old Standard TT"/>
                <w:b w:val="0"/>
                <w:sz w:val="16"/>
              </w:rPr>
              <w:t>OpenAI, Anthropic</w:t>
            </w:r>
          </w:p>
        </w:tc>
        <w:tc>
          <w:tcPr>
            <w:tcW w:type="dxa" w:w="2160"/>
          </w:tcPr>
          <w:p>
            <w:pPr>
              <w:spacing w:line="269" w:lineRule="auto" w:after="0" w:before="0"/>
            </w:pPr>
            <w:r>
              <w:rPr>
                <w:rFonts w:ascii="Old Standard TT" w:hAnsi="Old Standard TT"/>
              </w:rPr>
            </w:r>
            <w:r>
              <w:rPr>
                <w:rFonts w:ascii="Old Standard TT" w:hAnsi="Old Standard TT"/>
                <w:b w:val="0"/>
                <w:sz w:val="16"/>
              </w:rPr>
              <w:t>not covered (env telemetry)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6 Out-of-scope target enumeration</w:t>
            </w:r>
          </w:p>
        </w:tc>
        <w:tc>
          <w:tcPr>
            <w:tcW w:type="dxa" w:w="3456"/>
          </w:tcPr>
          <w:p>
            <w:pPr>
              <w:spacing w:line="269" w:lineRule="auto" w:after="0" w:before="0"/>
            </w:pPr>
            <w:r>
              <w:rPr>
                <w:rFonts w:ascii="Old Standard TT" w:hAnsi="Old Standard TT"/>
              </w:rPr>
            </w:r>
            <w:r>
              <w:rPr>
                <w:rFonts w:ascii="Old Standard TT" w:hAnsi="Old Standard TT"/>
                <w:b w:val="0"/>
                <w:sz w:val="16"/>
              </w:rPr>
              <w:t>Anthropic (~9,000 targets)</w:t>
            </w:r>
          </w:p>
        </w:tc>
        <w:tc>
          <w:tcPr>
            <w:tcW w:type="dxa" w:w="2160"/>
          </w:tcPr>
          <w:p>
            <w:pPr>
              <w:spacing w:line="269" w:lineRule="auto" w:after="0" w:before="0"/>
            </w:pPr>
            <w:r>
              <w:rPr>
                <w:rFonts w:ascii="Old Standard TT" w:hAnsi="Old Standard TT"/>
              </w:rPr>
            </w:r>
            <w:r>
              <w:rPr>
                <w:rFonts w:ascii="Old Standard TT" w:hAnsi="Old Standard TT"/>
                <w:b w:val="0"/>
                <w:sz w:val="16"/>
              </w:rPr>
              <w:t>T3 if a host is stated</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7 Persistence past a safe exit</w:t>
            </w:r>
          </w:p>
        </w:tc>
        <w:tc>
          <w:tcPr>
            <w:tcW w:type="dxa" w:w="3456"/>
          </w:tcPr>
          <w:p>
            <w:pPr>
              <w:spacing w:line="269" w:lineRule="auto" w:after="0" w:before="0"/>
            </w:pPr>
            <w:r>
              <w:rPr>
                <w:rFonts w:ascii="Old Standard TT" w:hAnsi="Old Standard TT"/>
              </w:rPr>
            </w:r>
            <w:r>
              <w:rPr>
                <w:rFonts w:ascii="Old Standard TT" w:hAnsi="Old Standard TT"/>
                <w:b w:val="0"/>
                <w:sz w:val="16"/>
              </w:rPr>
              <w:t>OpenAI (198/898 unsolved tasks)</w:t>
            </w:r>
          </w:p>
        </w:tc>
        <w:tc>
          <w:tcPr>
            <w:tcW w:type="dxa" w:w="2160"/>
          </w:tcPr>
          <w:p>
            <w:pPr>
              <w:spacing w:line="269" w:lineRule="auto" w:after="0" w:before="0"/>
            </w:pPr>
            <w:r>
              <w:rPr>
                <w:rFonts w:ascii="Old Standard TT" w:hAnsi="Old Standard TT"/>
              </w:rPr>
            </w:r>
            <w:r>
              <w:rPr>
                <w:rFonts w:ascii="Old Standard TT" w:hAnsi="Old Standard TT"/>
                <w:b w:val="0"/>
                <w:sz w:val="16"/>
              </w:rPr>
              <w:t>not covered (policy)</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8 Transcript / monitor tampering</w:t>
            </w:r>
          </w:p>
        </w:tc>
        <w:tc>
          <w:tcPr>
            <w:tcW w:type="dxa" w:w="3456"/>
          </w:tcPr>
          <w:p>
            <w:pPr>
              <w:spacing w:line="269" w:lineRule="auto" w:after="0" w:before="0"/>
            </w:pPr>
            <w:r>
              <w:rPr>
                <w:rFonts w:ascii="Old Standard TT" w:hAnsi="Old Standard TT"/>
              </w:rPr>
            </w:r>
            <w:r>
              <w:rPr>
                <w:rFonts w:ascii="Old Standard TT" w:hAnsi="Old Standard TT"/>
                <w:b w:val="0"/>
                <w:sz w:val="16"/>
              </w:rPr>
              <w:t xml:space="preserve">AISI, METR </w:t>
            </w:r>
            <w:r>
              <w:rPr>
                <w:rFonts w:ascii="Old Standard TT" w:hAnsi="Old Standard TT"/>
                <w:b w:val="0"/>
                <w:sz w:val="16"/>
              </w:rPr>
              <w:t>[</w:t>
            </w:r>
            <w:hyperlink w:anchor="ref13">
              <w:r>
                <w:rPr>
                  <w:rFonts w:ascii="Old Standard TT" w:hAnsi="Old Standard TT"/>
                  <w:color w:val="2E5C8A"/>
                  <w:sz w:val="16"/>
                </w:rPr>
                <w:t>13</w:t>
              </w:r>
            </w:hyperlink>
            <w:r>
              <w:rPr>
                <w:rFonts w:ascii="Old Standard TT" w:hAnsi="Old Standard TT"/>
                <w:b w:val="0"/>
                <w:sz w:val="16"/>
              </w:rPr>
              <w:t>]</w:t>
            </w:r>
          </w:p>
        </w:tc>
        <w:tc>
          <w:tcPr>
            <w:tcW w:type="dxa" w:w="2160"/>
          </w:tcPr>
          <w:p>
            <w:pPr>
              <w:spacing w:line="269" w:lineRule="auto" w:after="0" w:before="0"/>
            </w:pPr>
            <w:r>
              <w:rPr>
                <w:rFonts w:ascii="Old Standard TT" w:hAnsi="Old Standard TT"/>
              </w:rPr>
            </w:r>
            <w:r>
              <w:rPr>
                <w:rFonts w:ascii="Old Standard TT" w:hAnsi="Old Standard TT"/>
                <w:b w:val="0"/>
                <w:sz w:val="16"/>
              </w:rPr>
              <w:t>not covered; defeats T3</w:t>
            </w:r>
          </w:p>
        </w:tc>
      </w:tr>
      <w:tr>
        <w:trPr>
          <w:cantSplit/>
        </w:trPr>
        <w:tc>
          <w:tcPr>
            <w:tcW w:type="dxa" w:w="3744"/>
          </w:tcPr>
          <w:p>
            <w:pPr>
              <w:spacing w:line="269" w:lineRule="auto" w:after="0" w:before="0"/>
            </w:pPr>
            <w:r>
              <w:rPr>
                <w:rFonts w:ascii="Old Standard TT" w:hAnsi="Old Standard TT"/>
              </w:rPr>
            </w:r>
            <w:r>
              <w:rPr>
                <w:rFonts w:ascii="Old Standard TT" w:hAnsi="Old Standard TT"/>
                <w:b w:val="0"/>
                <w:sz w:val="16"/>
              </w:rPr>
              <w:t>9 Goal adoption from peers</w:t>
            </w:r>
          </w:p>
        </w:tc>
        <w:tc>
          <w:tcPr>
            <w:tcW w:type="dxa" w:w="3456"/>
          </w:tcPr>
          <w:p>
            <w:pPr>
              <w:spacing w:line="269" w:lineRule="auto" w:after="0" w:before="0"/>
            </w:pPr>
            <w:r>
              <w:rPr>
                <w:rFonts w:ascii="Old Standard TT" w:hAnsi="Old Standard TT"/>
              </w:rPr>
            </w:r>
            <w:r>
              <w:rPr>
                <w:rFonts w:ascii="Old Standard TT" w:hAnsi="Old Standard TT"/>
                <w:b w:val="0"/>
                <w:sz w:val="16"/>
              </w:rPr>
              <w:t>OpenAI</w:t>
            </w:r>
          </w:p>
        </w:tc>
        <w:tc>
          <w:tcPr>
            <w:tcW w:type="dxa" w:w="2160"/>
          </w:tcPr>
          <w:p>
            <w:pPr>
              <w:spacing w:line="269" w:lineRule="auto" w:after="0" w:before="0"/>
            </w:pPr>
            <w:r>
              <w:rPr>
                <w:rFonts w:ascii="Old Standard TT" w:hAnsi="Old Standard TT"/>
              </w:rPr>
            </w:r>
            <w:r>
              <w:rPr>
                <w:rFonts w:ascii="Old Standard TT" w:hAnsi="Old Standard TT"/>
                <w:b w:val="0"/>
                <w:sz w:val="16"/>
              </w:rPr>
              <w:t>not covered</w:t>
            </w:r>
          </w:p>
        </w:tc>
      </w:tr>
    </w:tbl>
    <w:p>
      <w:pPr>
        <w:spacing w:line="312" w:lineRule="auto" w:before="140" w:after="200"/>
      </w:pPr>
      <w:r>
        <w:rPr>
          <w:rFonts w:ascii="Old Standard TT" w:hAnsi="Old Standard TT"/>
          <w:i/>
          <w:sz w:val="19"/>
        </w:rPr>
        <w:t>Table 2. The nine behaviours distilled from the four public accounts, and which ones an allowlist-relative scanner can see. Only item 3 is a mechanical page; items 1 and 2 warn; the rest need environment telemetry or multi-agent corpora and are out of scope for this artifact.</w:t>
      </w:r>
    </w:p>
    <w:p>
      <w:pPr>
        <w:pStyle w:val="Heading2"/>
        <w:keepNext/>
      </w:pPr>
      <w:r>
        <w:t>Appendix C. A filled containment record for one evaluation class</w:t>
      </w:r>
    </w:p>
    <w:p>
      <w:pPr>
        <w:spacing w:after="100" w:line="259" w:lineRule="auto"/>
        <w:jc w:val="both"/>
      </w:pPr>
      <w:r>
        <w:rPr>
          <w:rFonts w:ascii="Old Standard TT" w:hAnsi="Old Standard TT"/>
          <w:sz w:val="21"/>
        </w:rPr>
        <w:t>Track 1 asks whether a third party could verify compliance without access to the lab's network. This is what that verification would consume: an example record a lab could attach to an evaluation class, filled here for the ExploitGym class on our reconstruction of the Hugging Face trace. Every hash is computed from the files in the repository by experiments/make_record.py, and a test fails if the record and the files disagree. A lab would attach its own log in place of the reconstruction; nothing else in the record changes.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40" w:type="dxa"/>
          <w:left w:w="90" w:type="dxa"/>
          <w:bottom w:w="40" w:type="dxa"/>
          <w:right w:w="90" w:type="dxa"/>
        </w:tblCellMar>
      </w:tblPr>
      <w:tblGrid>
        <w:gridCol w:w="2448"/>
        <w:gridCol w:w="6912"/>
      </w:tblGrid>
      <w:tr>
        <w:trPr>
          <w:cantSplit/>
        </w:trPr>
        <w:tc>
          <w:tcPr>
            <w:tcW w:type="dxa" w:w="2448"/>
          </w:tcPr>
          <w:p>
            <w:pPr>
              <w:spacing w:line="269" w:lineRule="auto" w:after="0" w:before="0"/>
            </w:pPr>
            <w:r>
              <w:rPr>
                <w:rFonts w:ascii="Old Standard TT" w:hAnsi="Old Standard TT"/>
              </w:rPr>
            </w:r>
            <w:r>
              <w:rPr>
                <w:rFonts w:ascii="Old Standard TT" w:hAnsi="Old Standard TT"/>
                <w:b/>
                <w:sz w:val="16"/>
              </w:rPr>
              <w:t>Field</w:t>
            </w:r>
          </w:p>
        </w:tc>
        <w:tc>
          <w:tcPr>
            <w:tcW w:type="dxa" w:w="6912"/>
          </w:tcPr>
          <w:p>
            <w:pPr>
              <w:spacing w:line="269" w:lineRule="auto" w:after="0" w:before="0"/>
            </w:pPr>
            <w:r>
              <w:rPr>
                <w:rFonts w:ascii="Old Standard TT" w:hAnsi="Old Standard TT"/>
              </w:rPr>
            </w:r>
            <w:r>
              <w:rPr>
                <w:rFonts w:ascii="Old Standard TT" w:hAnsi="Old Standard TT"/>
                <w:b/>
                <w:sz w:val="16"/>
              </w:rPr>
              <w:t>Value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Evaluation class</w:t>
            </w:r>
          </w:p>
        </w:tc>
        <w:tc>
          <w:tcPr>
            <w:tcW w:type="dxa" w:w="6912"/>
          </w:tcPr>
          <w:p>
            <w:pPr>
              <w:spacing w:line="269" w:lineRule="auto" w:after="0" w:before="0"/>
            </w:pPr>
            <w:r>
              <w:rPr>
                <w:rFonts w:ascii="Old Standard TT" w:hAnsi="Old Standard TT"/>
              </w:rPr>
            </w:r>
            <w:r>
              <w:rPr>
                <w:rFonts w:ascii="Old Standard TT" w:hAnsi="Old Standard TT"/>
                <w:b w:val="0"/>
                <w:sz w:val="16"/>
              </w:rPr>
              <w:t>exploitgym-cyber-eval  (filled 2026-09-14)</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Declared scope</w:t>
            </w:r>
          </w:p>
        </w:tc>
        <w:tc>
          <w:tcPr>
            <w:tcW w:type="dxa" w:w="6912"/>
          </w:tcPr>
          <w:p>
            <w:pPr>
              <w:spacing w:line="269" w:lineRule="auto" w:after="0" w:before="0"/>
            </w:pPr>
            <w:r>
              <w:rPr>
                <w:rFonts w:ascii="Old Standard TT" w:hAnsi="Old Standard TT"/>
              </w:rPr>
            </w:r>
            <w:r>
              <w:rPr>
                <w:rFonts w:ascii="Old Standard TT" w:hAnsi="Old Standard TT"/>
                <w:b w:val="0"/>
                <w:sz w:val="16"/>
              </w:rPr>
              <w:t>allowlists/exploitgym.json</w:t>
              <w:br/>
              <w:t>sha256 f6484df479ecce81f61f4e5b3861cd01f25696e0fbc2f572de20b7903e65dc93</w:t>
              <w:br/>
              <w:t>allowed_hosts: api.anthropic.com, api.openai.com, artifactory.internal; internet_expected: false</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Trace</w:t>
            </w:r>
          </w:p>
        </w:tc>
        <w:tc>
          <w:tcPr>
            <w:tcW w:type="dxa" w:w="6912"/>
          </w:tcPr>
          <w:p>
            <w:pPr>
              <w:spacing w:line="269" w:lineRule="auto" w:after="0" w:before="0"/>
            </w:pPr>
            <w:r>
              <w:rPr>
                <w:rFonts w:ascii="Old Standard TT" w:hAnsi="Old Standard TT"/>
              </w:rPr>
            </w:r>
            <w:r>
              <w:rPr>
                <w:rFonts w:ascii="Old Standard TT" w:hAnsi="Old Standard TT"/>
                <w:b w:val="0"/>
                <w:sz w:val="16"/>
              </w:rPr>
              <w:t>traces/hf_openai.json  (7 events)</w:t>
              <w:br/>
              <w:t>sha256 2aaaf0f915fa346821c43987207ef48ee60c674af734ba9597fa5ab2a48fcdf7</w:t>
              <w:br/>
              <w:t>RECONSTRUCTION from the public record (huggingface.co/blog/agent-intrusion-technical-timeline; openai.com/index/hugging-face-model-evaluation-security-incident). A lab would attach its own log.</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First out-of-scope stated destination</w:t>
            </w:r>
          </w:p>
        </w:tc>
        <w:tc>
          <w:tcPr>
            <w:tcW w:type="dxa" w:w="6912"/>
          </w:tcPr>
          <w:p>
            <w:pPr>
              <w:spacing w:line="269" w:lineRule="auto" w:after="0" w:before="0"/>
            </w:pPr>
            <w:r>
              <w:rPr>
                <w:rFonts w:ascii="Old Standard TT" w:hAnsi="Old Standard TT"/>
              </w:rPr>
            </w:r>
            <w:r>
              <w:rPr>
                <w:rFonts w:ascii="Old Standard TT" w:hAnsi="Old Standard TT"/>
                <w:b w:val="0"/>
                <w:sz w:val="16"/>
              </w:rPr>
              <w:t>event 3: cybergym-fn-7bf.modal.run</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Verdict</w:t>
            </w:r>
          </w:p>
        </w:tc>
        <w:tc>
          <w:tcPr>
            <w:tcW w:type="dxa" w:w="6912"/>
          </w:tcPr>
          <w:p>
            <w:pPr>
              <w:spacing w:line="269" w:lineRule="auto" w:after="0" w:before="0"/>
            </w:pPr>
            <w:r>
              <w:rPr>
                <w:rFonts w:ascii="Old Standard TT" w:hAnsi="Old Standard TT"/>
              </w:rPr>
            </w:r>
            <w:r>
              <w:rPr>
                <w:rFonts w:ascii="Old Standard TT" w:hAnsi="Old Standard TT"/>
                <w:b w:val="0"/>
                <w:sz w:val="16"/>
              </w:rPr>
              <w:t>PAGE  (3 warn-only findings, never paged)</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Who can recompute it, and how</w:t>
            </w:r>
          </w:p>
        </w:tc>
        <w:tc>
          <w:tcPr>
            <w:tcW w:type="dxa" w:w="6912"/>
          </w:tcPr>
          <w:p>
            <w:pPr>
              <w:spacing w:line="269" w:lineRule="auto" w:after="0" w:before="0"/>
            </w:pPr>
            <w:r>
              <w:rPr>
                <w:rFonts w:ascii="Old Standard TT" w:hAnsi="Old Standard TT"/>
              </w:rPr>
            </w:r>
            <w:r>
              <w:rPr>
                <w:rFonts w:ascii="Old Standard TT" w:hAnsi="Old Standard TT"/>
                <w:b w:val="0"/>
                <w:sz w:val="16"/>
              </w:rPr>
              <w:t>sentinel score traces/hf_openai.json</w:t>
              <w:br/>
              <w:t>the two files above and this repository; no network, no model, no API key</w:t>
              <w:br/>
              <w:t>core.py sha256 1691ce806d1624dc…, extract.py sha256 4f3e4cc85fa4a478…</w:t>
            </w:r>
          </w:p>
        </w:tc>
      </w:tr>
      <w:tr>
        <w:trPr>
          <w:cantSplit/>
        </w:trPr>
        <w:tc>
          <w:tcPr>
            <w:tcW w:type="dxa" w:w="2448"/>
          </w:tcPr>
          <w:p>
            <w:pPr>
              <w:spacing w:line="269" w:lineRule="auto" w:after="0" w:before="0"/>
            </w:pPr>
            <w:r>
              <w:rPr>
                <w:rFonts w:ascii="Old Standard TT" w:hAnsi="Old Standard TT"/>
              </w:rPr>
            </w:r>
            <w:r>
              <w:rPr>
                <w:rFonts w:ascii="Old Standard TT" w:hAnsi="Old Standard TT"/>
                <w:b w:val="0"/>
                <w:sz w:val="16"/>
              </w:rPr>
              <w:t>What the record does not establish</w:t>
            </w:r>
          </w:p>
        </w:tc>
        <w:tc>
          <w:tcPr>
            <w:tcW w:type="dxa" w:w="6912"/>
          </w:tcPr>
          <w:p>
            <w:pPr>
              <w:spacing w:line="269" w:lineRule="auto" w:after="0" w:before="0"/>
            </w:pPr>
            <w:r>
              <w:rPr>
                <w:rFonts w:ascii="Old Standard TT" w:hAnsi="Old Standard TT"/>
              </w:rPr>
            </w:r>
            <w:r>
              <w:rPr>
                <w:rFonts w:ascii="Old Standard TT" w:hAnsi="Old Standard TT"/>
                <w:b w:val="0"/>
                <w:sz w:val="16"/>
              </w:rPr>
              <w:t>• that the escape was prevented (page != prevent)</w:t>
              <w:br/>
              <w:t>• anything about traffic through allowlisted hosts (SSRF via a permitted proxy is invisible)</w:t>
              <w:br/>
              <w:t>• anything about destinations the agent reached but did not state (declared, not observed, action)</w:t>
            </w:r>
          </w:p>
        </w:tc>
      </w:tr>
    </w:tbl>
    <w:p>
      <w:pPr>
        <w:spacing w:line="312" w:lineRule="auto" w:before="140" w:after="200"/>
      </w:pPr>
      <w:r>
        <w:rPr>
          <w:rFonts w:ascii="Old Standard TT" w:hAnsi="Old Standard TT"/>
          <w:i/>
          <w:sz w:val="19"/>
        </w:rPr>
        <w:t>Table 4. The filled record, verbatim from records/exploitgym-cyber-eval.json. A second party recomputes the verdict from the two hashed files and the repository, offline. The trace here is a reconstruction; the record format does not depend on that.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2">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Incident Response Sprint</w:t>
        </w:r>
      </w:hyperlink>
      <w:r w:rsidDel="00000000" w:rsidR="00000000" w:rsidRPr="00000000">
        <w:rPr>
          <w:rFonts w:ascii="Old Standard TT" w:cs="Old Standard TT" w:eastAsia="Old Standard TT" w:hAnsi="Old Standard TT"/>
          <w:sz w:val="20"/>
          <w:szCs w:val="20"/>
          <w:rtl w:val="0"/>
        </w:rPr>
        <w:t xml:space="preserve">, September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hyperlink" Target="https://github.com/crishN144/sentinel-evals" TargetMode="External"/><Relationship Id="rId11" Type="http://schemas.openxmlformats.org/officeDocument/2006/relationships/hyperlink" Target="https://openai.com/index/hugging-face-model-evaluation-security-incident/" TargetMode="External"/><Relationship Id="rId12" Type="http://schemas.openxmlformats.org/officeDocument/2006/relationships/hyperlink" Target="https://openai.com/index/hugging-face-incident-and-the-road-ahead" TargetMode="External"/><Relationship Id="rId13" Type="http://schemas.openxmlformats.org/officeDocument/2006/relationships/hyperlink" Target="https://huggingface.co/blog/agent-intrusion-technical-timeline" TargetMode="External"/><Relationship Id="rId14" Type="http://schemas.openxmlformats.org/officeDocument/2006/relationships/hyperlink" Target="https://www.anthropic.com/news/investigating-incidents-cybersecurity-evals" TargetMode="External"/><Relationship Id="rId15" Type="http://schemas.openxmlformats.org/officeDocument/2006/relationships/hyperlink" Target="https://www.aisi.gov.uk/blog/incident-report-unsanctioned-agent-behaviour-during-cyber-testing" TargetMode="External"/><Relationship Id="rId16" Type="http://schemas.openxmlformats.org/officeDocument/2006/relationships/hyperlink" Target="https://collusion.wiki/" TargetMode="External"/><Relationship Id="rId17" Type="http://schemas.openxmlformats.org/officeDocument/2006/relationships/hyperlink" Target="https://techcrunch.com/2026/09/05/openai-confirms-wiki-incident-says-its-working-on-a-framework-for-more-disclosure/" TargetMode="External"/><Relationship Id="rId18" Type="http://schemas.openxmlformats.org/officeDocument/2006/relationships/hyperlink" Target="https://github.com/meridianlabs-ai/inspect_scout" TargetMode="External"/><Relationship Id="rId19" Type="http://schemas.openxmlformats.org/officeDocument/2006/relationships/hyperlink" Target="https://github.com/UKGovernmentBEIS/control-arena" TargetMode="External"/><Relationship Id="rId20" Type="http://schemas.openxmlformats.org/officeDocument/2006/relationships/hyperlink" Target="https://arxiv.org/abs/2506.15740" TargetMode="External"/><Relationship Id="rId21" Type="http://schemas.openxmlformats.org/officeDocument/2006/relationships/hyperlink" Target="https://watcher.apolloresearch.ai/" TargetMode="External"/><Relationship Id="rId22" Type="http://schemas.openxmlformats.org/officeDocument/2006/relationships/hyperlink" Target="https://arxiv.org/abs/2605.11086" TargetMode="External"/><Relationship Id="rId23" Type="http://schemas.openxmlformats.org/officeDocument/2006/relationships/hyperlink" Target="https://www.aisi.gov.uk/blog/cheating-behaviour-in-frontier-model-evaluations" TargetMode="External"/><Relationship Id="rId24" Type="http://schemas.openxmlformats.org/officeDocument/2006/relationships/hyperlink" Target="https://github.com/crishN144/scorer-integrity" TargetMode="External"/><Relationship Id="rId25" Type="http://schemas.openxmlformats.org/officeDocument/2006/relationships/hyperlink" Target="https://metr.org/blog/2026-08-26-openai-hugging-face-incident-investigation/" TargetMode="External"/><Relationship Id="rId26" Type="http://schemas.openxmlformats.org/officeDocument/2006/relationships/hyperlink" Target="https://arxiv.org/abs/2503.119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incident-response-sprint-2026-09-11-to-2026-09-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