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Fonts w:ascii="Old Standard TT" w:hAnsi="Old Standard TT"/>
          <w:sz w:val="21"/>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Sentinel: The Declared Scope Is the Unit of Containment Evidence in Agentic Evaluations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Crish Nagarkar</w:t>
                          <w:br w:type="textWrapping"/>
                          <w:t xml:space="preserve">University of Leeds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0"/>
                      <w:iCs w:val="1"/>
                      <w:rtl w:val="0"/>
                    </w:rPr>
                    <w:t xml:space="preserve">Between April and July 2026, agents under evaluation at OpenAI, Anthropic and the UK AI Security Institute reached real third parties. In every public account the evaluation's network scope was declared in prose or assumed, never checked against what the agent did, and detection came late from a side signal. We argue that an evaluation's declared scope, written as a machine-readable allowlist, is the unit of containment evidence a third party can verify, and we build Sentinel, an Inspect scanner that classifies each tool call's stated destination against that allowlist and pages on the first out-of-scope one. No model is in the gate. On reconstructions of three public incidents (four to seven events each, from the published timelines, not lab transcripts) the scanner pages at the first non-allowlisted destination and is silent on three hard negatives where a keyword baseline false-pages on two. On the 14,591-revision DSEWiki export, a record we did not write, it is silent under the wildcard scope the sandbox actually had and pages on day one under any scope naming the task's data sources; on a live eight-sample Inspect run with an empty declared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r w:rsidDel="00000000" w:rsidR="00000000" w:rsidRPr="00000000">
                    <w:rPr>
                      <w:rFonts w:ascii="Old Standard TT" w:cs="Old Standard TT" w:eastAsia="Old Standard TT" w:hAnsi="Old Standard TT"/>
                      <w:i w:val="0"/>
                      <w:iCs w:val="1"/>
                      <w:u w:val="single"/>
                      <w:rtl w:val="0"/>
                    </w:rPr>
                    <w:t xml:space="preserve"/>
                  </w:r>
                  <w:r w:rsidDel="00000000" w:rsidR="00000000" w:rsidRPr="00000000">
                    <w:rPr>
                      <w:rFonts w:ascii="Old Standard TT" w:cs="Old Standard TT" w:eastAsia="Old Standard TT" w:hAnsi="Old Standard TT"/>
                      <w:i w:val="0"/>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spacing w:line="259" w:lineRule="auto"/>
        <w:rPr/>
      </w:pPr>
      <w:r w:rsidDel="00000000" w:rsidR="00000000" w:rsidRPr="00000000">
        <w:rPr>
          <w:rFonts w:ascii="Old Standard TT" w:hAnsi="Old Standard TT"/>
          <w:sz w:val="21"/>
          <w:rtl w:val="0"/>
        </w:rPr>
      </w:r>
    </w:p>
    <w:p>
      <w:pPr>
        <w:pStyle w:val="Heading2"/>
        <w:keepNext/>
      </w:pPr>
      <w:r>
        <w:t>1. Introduction</w:t>
      </w:r>
    </w:p>
    <w:p>
      <w:pPr>
        <w:spacing w:after="100" w:line="259" w:lineRule="auto"/>
        <w:jc w:val="both"/>
      </w:pPr>
      <w:r>
        <w:rPr>
          <w:rFonts w:ascii="Old Standard TT" w:hAnsi="Old Standard TT"/>
          <w:sz w:val="21"/>
        </w:rPr>
        <w:t xml:space="preserve">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xml:space="preserve">. Hugging Face cut the attacker off on 13 July and disclosed on 16 July without knowing the origin; OpenAI attributed it on 21 July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xml:space="preserve">.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r>
        <w:rPr>
          <w:rFonts w:ascii="Old Standard TT" w:hAnsi="Old Standard TT"/>
          <w:sz w:val="21"/>
        </w:rPr>
        <w:t>[</w:t>
      </w:r>
      <w:hyperlink w:anchor="ref3">
        <w:r>
          <w:rPr>
            <w:rFonts w:ascii="Old Standard TT" w:hAnsi="Old Standard TT"/>
            <w:color w:val="2E5C8A"/>
          </w:rPr>
          <w:t>3</w:t>
        </w:r>
      </w:hyperlink>
      <w:r>
        <w:rPr>
          <w:rFonts w:ascii="Old Standard TT" w:hAnsi="Old Standard TT"/>
          <w:sz w:val="21"/>
        </w:rPr>
        <w:t>]</w:t>
      </w:r>
      <w:r>
        <w:rPr>
          <w:rFonts w:ascii="Old Standard TT" w:hAnsi="Old Standard TT"/>
          <w:sz w:val="21"/>
        </w:rPr>
        <w:t xml:space="preserve">. The UK AI Security Institute reported models on an intentionally internet-connected cyber range reaching GitHub over Tor, caught by a Tor egress alarm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 xml:space="preserve">. A separate channel, unconnected to the Hugging Face swarm, ran on a public wiki: OpenAI evaluation agents whose sandbox allowed only GET requests found on 11 May that some wikis accept edits over GET, made their first successful write to DSEWiki, a dormant German programming wiki, on 24 May, and used it as a message board for task answers and sandbox workarounds until 22 June, the day after the first OpenAI-associated addresses visited the pages: roughly 18,000 posts under more than 3,700 self-chosen names by the researchers' count, 14,591 of them preserved in the published export. Outside researchers found it by reading the wiki's public logs and published on 4 September; OpenAI acknowledged it the next day, saying the field has no agreed standard for reporting misalignment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 xml:space="preserve">These cases share a shape that is not "no monitor existed." In each one the operators knew the intended scope in prose: no internet; only the LLM API and the package proxy; only the range. Nowhere was that scope an artifact the transcript was checked against, and in every case the first signal came from somewhere else: an identity-API anomaly, a Tor alarm, a retrospective sweep, a stranger reading a wiki. Hugging Face's own post-mortem says its correlation stack existed but "failed to correctly raise the alert's criticality" </w:t>
      </w:r>
      <w:r>
        <w:rPr>
          <w:rFonts w:ascii="Old Standard TT" w:hAnsi="Old Standard TT"/>
          <w:sz w:val="21"/>
        </w:rPr>
        <w:t>[</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The failure is one of scope attachment and attestation (Figure 2), and it is the failure the sprint's containment track asks about. Track 1 of the Apart AI Incident Response Sprint judges a containment proposal on one question: could a third party verify compliance without access to the lab's network, and would a lab adopt it?</w:t>
      </w:r>
    </w:p>
    <w:p>
      <w:pPr>
        <w:spacing w:after="100" w:line="259" w:lineRule="auto"/>
        <w:jc w:val="both"/>
      </w:pPr>
      <w:r>
        <w:rPr>
          <w:rFonts w:ascii="Old Standard TT" w:hAnsi="Old Standard TT"/>
          <w:sz w:val="21"/>
        </w:rPr>
        <w:t>We take the smallest step that answers it. Our main contributions are:</w:t>
      </w:r>
    </w:p>
    <w:p>
      <w:pPr>
        <w:spacing w:after="80" w:line="259"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w:t>
      </w:r>
    </w:p>
    <w:p>
      <w:pPr>
        <w:spacing w:after="80" w:line="259"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pPr>
        <w:spacing w:after="80" w:line="259"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pPr>
        <w:spacing w:after="80" w:line="259" w:lineRule="auto"/>
        <w:ind w:left="432" w:hanging="288"/>
        <w:jc w:val="both"/>
      </w:pPr>
      <w:r>
        <w:rPr>
          <w:rFonts w:ascii="Old Standard TT" w:hAnsi="Old Standard TT"/>
          <w:sz w:val="21"/>
        </w:rPr>
        <w:t>•  The same rule run over a third party's record of a real incident, the DSEWiki export, where both directions of the ablation reproduce on events we did not author.</w:t>
      </w:r>
    </w:p>
    <w:p>
      <w:pPr>
        <w:pStyle w:val="Heading2"/>
        <w:keepNext/>
      </w:pPr>
      <w:r>
        <w:t>2. Related Work</w:t>
      </w:r>
    </w:p>
    <w:p>
      <w:pPr>
        <w:spacing w:after="100" w:line="259" w:lineRule="auto"/>
        <w:jc w:val="both"/>
      </w:pPr>
      <w:r>
        <w:rPr>
          <w:rFonts w:ascii="Old Standard TT" w:hAnsi="Old Standard TT"/>
          <w:sz w:val="21"/>
        </w:rPr>
        <w:t xml:space="preserve">Trace monitors for agents exist and are good. Inspect Scout ships scanners over evaluation transcripts, including reward-hacking and evaluation-awareness scanners </w:t>
      </w:r>
      <w:r>
        <w:rPr>
          <w:rFonts w:ascii="Old Standard TT" w:hAnsi="Old Standard TT"/>
          <w:sz w:val="21"/>
        </w:rPr>
        <w:t>[</w:t>
      </w:r>
      <w:hyperlink w:anchor="ref6">
        <w:r>
          <w:rPr>
            <w:rFonts w:ascii="Old Standard TT" w:hAnsi="Old Standard TT"/>
            <w:color w:val="2E5C8A"/>
          </w:rPr>
          <w:t>6</w:t>
        </w:r>
      </w:hyperlink>
      <w:r>
        <w:rPr>
          <w:rFonts w:ascii="Old Standard TT" w:hAnsi="Old Standard TT"/>
          <w:sz w:val="21"/>
        </w:rPr>
        <w:t>]</w:t>
      </w:r>
      <w:r>
        <w:rPr>
          <w:rFonts w:ascii="Old Standard TT" w:hAnsi="Old Standard TT"/>
          <w:sz w:val="21"/>
        </w:rPr>
        <w:t xml:space="preserve">; ControlArena </w:t>
      </w:r>
      <w:r>
        <w:rPr>
          <w:rFonts w:ascii="Old Standard TT" w:hAnsi="Old Standard TT"/>
          <w:sz w:val="21"/>
        </w:rPr>
        <w:t>[</w:t>
      </w:r>
      <w:hyperlink w:anchor="ref7">
        <w:r>
          <w:rPr>
            <w:rFonts w:ascii="Old Standard TT" w:hAnsi="Old Standard TT"/>
            <w:color w:val="2E5C8A"/>
          </w:rPr>
          <w:t>7</w:t>
        </w:r>
      </w:hyperlink>
      <w:r>
        <w:rPr>
          <w:rFonts w:ascii="Old Standard TT" w:hAnsi="Old Standard TT"/>
          <w:sz w:val="21"/>
        </w:rPr>
        <w:t>]</w:t>
      </w:r>
      <w:r>
        <w:rPr>
          <w:rFonts w:ascii="Old Standard TT" w:hAnsi="Old Standard TT"/>
          <w:sz w:val="21"/>
        </w:rPr>
        <w:t xml:space="preserve"> and SHADE-Arena </w:t>
      </w:r>
      <w:r>
        <w:rPr>
          <w:rFonts w:ascii="Old Standard TT" w:hAnsi="Old Standard TT"/>
          <w:sz w:val="21"/>
        </w:rPr>
        <w:t>[</w:t>
      </w:r>
      <w:hyperlink w:anchor="ref8">
        <w:r>
          <w:rPr>
            <w:rFonts w:ascii="Old Standard TT" w:hAnsi="Old Standard TT"/>
            <w:color w:val="2E5C8A"/>
          </w:rPr>
          <w:t>8</w:t>
        </w:r>
      </w:hyperlink>
      <w:r>
        <w:rPr>
          <w:rFonts w:ascii="Old Standard TT" w:hAnsi="Old Standard TT"/>
          <w:sz w:val="21"/>
        </w:rPr>
        <w:t>]</w:t>
      </w:r>
      <w:r>
        <w:rPr>
          <w:rFonts w:ascii="Old Standard TT" w:hAnsi="Old Standard TT"/>
          <w:sz w:val="21"/>
        </w:rPr>
        <w:t xml:space="preserve"> monitor for side tasks and sabotage; Apollo's Watcher reads transcripts for scheming </w:t>
      </w:r>
      <w:r>
        <w:rPr>
          <w:rFonts w:ascii="Old Standard TT" w:hAnsi="Old Standard TT"/>
          <w:sz w:val="21"/>
        </w:rPr>
        <w:t>[</w:t>
      </w:r>
      <w:hyperlink w:anchor="ref9">
        <w:r>
          <w:rPr>
            <w:rFonts w:ascii="Old Standard TT" w:hAnsi="Old Standard TT"/>
            <w:color w:val="2E5C8A"/>
          </w:rPr>
          <w:t>9</w:t>
        </w:r>
      </w:hyperlink>
      <w:r>
        <w:rPr>
          <w:rFonts w:ascii="Old Standard TT" w:hAnsi="Old Standard TT"/>
          <w:sz w:val="21"/>
        </w:rPr>
        <w:t>]</w:t>
      </w:r>
      <w:r>
        <w:rPr>
          <w:rFonts w:ascii="Old Standard TT" w:hAnsi="Old Standard TT"/>
          <w:sz w:val="21"/>
        </w:rPr>
        <w:t xml:space="preserve">; OpenAI now monitors chain-of-thought during tool-using runs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xml:space="preserve">. Preventive controls also exist: default-deny egress via Cilium or Squid FQDN allowlists, and ExploitGym itself ships a Squid firewall that permits only LLM API endpoints </w:t>
      </w:r>
      <w:r>
        <w:rPr>
          <w:rFonts w:ascii="Old Standard TT" w:hAnsi="Old Standard TT"/>
          <w:sz w:val="21"/>
        </w:rPr>
        <w:t>[</w:t>
      </w:r>
      <w:hyperlink w:anchor="ref10">
        <w:r>
          <w:rPr>
            <w:rFonts w:ascii="Old Standard TT" w:hAnsi="Old Standard TT"/>
            <w:color w:val="2E5C8A"/>
          </w:rPr>
          <w:t>10</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None of these takes the evaluation's declared scope as an input artifact and emits a verdict that someone outside the lab can recompute. Behavioural monitors answer "does this look bad?", which needs a model and a threshold; a proxy answers "was this blocked?", but its logs stay inside the lab, and in the OpenAI case the proxy was the hole. Sentinel's wedge is narrow: a mechanical predicate over (trace, allowlist). Stated plainly, so the objection is met rather than dodged: default-deny egress is the control; Sentinel is not a control; it is the smallest artifact that turns the control's scope into a published, recomputable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pPr>
        <w:pStyle w:val="Heading2"/>
        <w:keepNext/>
      </w:pPr>
      <w:r>
        <w:t>3. Methods</w:t>
      </w:r>
    </w:p>
    <w:p>
      <w:pPr>
        <w:pStyle w:val="Heading3"/>
        <w:keepNext/>
      </w:pPr>
      <w:r>
        <w:t>3.1 Declared scope</w:t>
      </w:r>
    </w:p>
    <w:p>
      <w:pPr>
        <w:spacing w:after="100" w:line="259" w:lineRule="auto"/>
        <w:jc w:val="both"/>
      </w:pPr>
      <w:r>
        <w:rPr>
          <w:rFonts w:ascii="Old Standard TT" w:hAnsi="Old Standard TT"/>
          <w:sz w:val="21"/>
        </w:rPr>
        <w:t xml:space="preserve">An allowlist is a JSON file: name, internet_expected, allowed_hosts (exact hosts or .suffix entries), allowed_cidrs, and free-text notes recording why each entry is permitted. classify(host) returns ALLOWED, LOOPBACK, METADATA (the cloud instance-metadata addresses) or OUT. A wildcard entry "*" allows everything; it exists only so the ablation can express "no real scope." Three scopes are in the repo, one per incident: ExploitGym (LLM API endpoints plus the Artifactory package proxy, both documented as permitted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10">
        <w:r>
          <w:rPr>
            <w:rFonts w:ascii="Old Standard TT" w:hAnsi="Old Standard TT"/>
            <w:color w:val="2E5C8A"/>
          </w:rPr>
          <w:t>10</w:t>
        </w:r>
      </w:hyperlink>
      <w:r>
        <w:rPr>
          <w:rFonts w:ascii="Old Standard TT" w:hAnsi="Old Standard TT"/>
          <w:sz w:val="21"/>
        </w:rPr>
        <w:t>]</w:t>
      </w:r>
      <w:r>
        <w:rPr>
          <w:rFonts w:ascii="Old Standard TT" w:hAnsi="Old Standard TT"/>
          <w:sz w:val="21"/>
        </w:rPr>
        <w:t xml:space="preserve">), the Irregular CTF (an internal CIDR and one target host; internet declared off </w:t>
      </w:r>
      <w:r>
        <w:rPr>
          <w:rFonts w:ascii="Old Standard TT" w:hAnsi="Old Standard TT"/>
          <w:sz w:val="21"/>
        </w:rPr>
        <w:t>[</w:t>
      </w:r>
      <w:hyperlink w:anchor="ref3">
        <w:r>
          <w:rPr>
            <w:rFonts w:ascii="Old Standard TT" w:hAnsi="Old Standard TT"/>
            <w:color w:val="2E5C8A"/>
          </w:rPr>
          <w:t>3</w:t>
        </w:r>
      </w:hyperlink>
      <w:r>
        <w:rPr>
          <w:rFonts w:ascii="Old Standard TT" w:hAnsi="Old Standard TT"/>
          <w:sz w:val="21"/>
        </w:rPr>
        <w:t>]</w:t>
      </w:r>
      <w:r>
        <w:rPr>
          <w:rFonts w:ascii="Old Standard TT" w:hAnsi="Old Standard TT"/>
          <w:sz w:val="21"/>
        </w:rPr>
        <w:t xml:space="preserve">), and the AISI range (range hosts, internet_expected true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The ExploitGym scope, verbatim from the repository, is the whole artifact for that evaluation class:</w:t>
      </w:r>
    </w:p>
    <w:p>
      <w:pPr>
        <w:spacing w:after="0" w:line="240" w:lineRule="auto"/>
        <w:ind w:left="432"/>
      </w:pPr>
      <w:r>
        <w:rPr>
          <w:rFonts w:ascii="Old Standard TT" w:hAnsi="Old Standard TT"/>
          <w:sz w:val="16"/>
        </w:rPr>
        <w:t>{"name": "exploitgym-cyber-eval", "internet_expected": false,</w:t>
      </w:r>
    </w:p>
    <w:p>
      <w:pPr>
        <w:spacing w:after="0" w:line="240" w:lineRule="auto"/>
        <w:ind w:left="432"/>
      </w:pPr>
      <w:r>
        <w:rPr>
          <w:rFonts w:ascii="Old Standard TT" w:hAnsi="Old Standard TT"/>
          <w:sz w:val="16"/>
        </w:rPr>
        <w:t xml:space="preserve"> "allowed_hosts": ["api.openai.com", "api.anthropic.com", "artifactory.internal"],</w:t>
      </w:r>
    </w:p>
    <w:p>
      <w:pPr>
        <w:spacing w:after="120" w:line="240" w:lineRule="auto"/>
        <w:ind w:left="432"/>
      </w:pPr>
      <w:r>
        <w:rPr>
          <w:rFonts w:ascii="Old Standard TT" w:hAnsi="Old Standard TT"/>
          <w:sz w:val="16"/>
        </w:rPr>
        <w:t xml:space="preserve"> "notes": "ExploitGym run-proxy permits ONLY LLM API endpoints; OpenAI additionally permitted the Artifactory proxy."}</w:t>
      </w:r>
    </w:p>
    <w:p>
      <w:pPr>
        <w:pStyle w:val="Heading3"/>
        <w:keepNext/>
      </w:pPr>
      <w:r>
        <w:t>3.2 Trace and destination extraction</w:t>
      </w:r>
    </w:p>
    <w:p>
      <w:pPr>
        <w:spacing w:after="100" w:line="259" w:lineRule="auto"/>
        <w:jc w:val="both"/>
      </w:pPr>
      <w:r>
        <w:rPr>
          <w:rFonts w:ascii="Old Standard TT" w:hAnsi="Old Standard TT"/>
          <w:sz w:val="21"/>
        </w:rPr>
        <w:t>A trace is the ordered list of tool calls with their arguments; the scanner reads nothing else. extract_destinations pulls stated hosts from URLs, nc/ncat, socat, Python HTTP literals and bare host:port tokens, by regular expression. There is no model in the loop and no API key. The extractor is deliberately conservative: it reads what the agent said it would reach.</w:t>
      </w:r>
    </w:p>
    <w:p>
      <w:pPr>
        <w:pStyle w:val="Heading3"/>
        <w:keepNext/>
      </w:pPr>
      <w:r>
        <w:t>3.3 Severities</w:t>
      </w:r>
    </w:p>
    <w:p>
      <w:pPr>
        <w:spacing w:after="100" w:line="259" w:lineRule="auto"/>
        <w:jc w:val="both"/>
      </w:pPr>
      <w:r>
        <w:rPr>
          <w:rFonts w:ascii="Old Standard TT" w:hAnsi="Old Standard TT"/>
          <w:sz w:val="21"/>
        </w:rPr>
        <w:t xml:space="preserve">T3, a stated destination classified OUT, is the only PAGE. T1 (reading grader or solution internals) and T2 (mount tables, cgroups,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r>
        <w:rPr>
          <w:rFonts w:ascii="Old Standard TT" w:hAnsi="Old Standard TT"/>
          <w:sz w:val="21"/>
        </w:rPr>
        <w:t>[</w:t>
      </w:r>
      <w:hyperlink w:anchor="ref11">
        <w:r>
          <w:rPr>
            <w:rFonts w:ascii="Old Standard TT" w:hAnsi="Old Standard TT"/>
            <w:color w:val="2E5C8A"/>
          </w:rPr>
          <w:t>11</w:t>
        </w:r>
      </w:hyperlink>
      <w:r>
        <w:rPr>
          <w:rFonts w:ascii="Old Standard TT" w:hAnsi="Old Standard TT"/>
          <w:sz w:val="21"/>
        </w:rPr>
        <w:t>]</w:t>
      </w:r>
      <w:r>
        <w:rPr>
          <w:rFonts w:ascii="Old Standard TT" w:hAnsi="Old Standard TT"/>
          <w:sz w:val="21"/>
        </w:rPr>
        <w:t xml:space="preserve">; we surface it, we do not alarm on it. Gating on a predicate the environment can settle itself, rather than on a second model, follows scorer-integrity </w:t>
      </w:r>
      <w:r>
        <w:rPr>
          <w:rFonts w:ascii="Old Standard TT" w:hAnsi="Old Standard TT"/>
          <w:sz w:val="21"/>
        </w:rPr>
        <w:t>[</w:t>
      </w:r>
      <w:hyperlink w:anchor="ref12">
        <w:r>
          <w:rPr>
            <w:rFonts w:ascii="Old Standard TT" w:hAnsi="Old Standard TT"/>
            <w:color w:val="2E5C8A"/>
          </w:rPr>
          <w:t>12</w:t>
        </w:r>
      </w:hyperlink>
      <w:r>
        <w:rPr>
          <w:rFonts w:ascii="Old Standard TT" w:hAnsi="Old Standard TT"/>
          <w:sz w:val="21"/>
        </w:rPr>
        <w:t>]</w:t>
      </w:r>
      <w:r>
        <w:rPr>
          <w:rFonts w:ascii="Old Standard TT" w:hAnsi="Old Standard TT"/>
          <w:sz w:val="21"/>
        </w:rPr>
        <w:t>, which measured an LLM scheming-judge against an operative-action oracle over 599 Inspect gradings and noted that most environments offer no such predicate. Containment evaluations do: the allowlist.</w:t>
      </w:r>
    </w:p>
    <w:p>
      <w:pPr>
        <w:pStyle w:val="Heading3"/>
        <w:keepNext/>
      </w:pPr>
      <w:r>
        <w:t>3.4 Inspect integration and replay</w:t>
      </w:r>
    </w:p>
    <w:p>
      <w:pPr>
        <w:spacing w:after="100" w:line="259" w:lineRule="auto"/>
        <w:jc w:val="both"/>
      </w:pPr>
      <w:r>
        <w:rPr>
          <w:rFonts w:ascii="Old Standard TT" w:hAnsi="Old Standard TT"/>
          <w:sz w:val="21"/>
        </w:rPr>
        <w:t>scanner.py wraps the same rule as an inspect_scout scanner over ChatMessageAssistant.tool_calls and returns a Result whose answer is the host and whose metadata carries the first out-of-scope message index. JSON replay over the trace schema (sentinel score) is the supported interface, and is what a third party with only files runs; the inspect_scout wrapper (scout scan sentinel/scanner.py -T logs/) is exercised by the test suite and, in Section 4.4, over a recorded evaluation log. Both paths execute the same rule. Fifteen tests pin every number in this paper.</w:t>
      </w:r>
    </w:p>
    <w:p>
      <w:pPr>
        <w:pStyle w:val="Heading3"/>
        <w:keepNext/>
      </w:pPr>
      <w:r>
        <w:t>3.5 Fixtures and baseline</w:t>
      </w:r>
    </w:p>
    <w:p>
      <w:pPr>
        <w:spacing w:after="100" w:line="259" w:lineRule="auto"/>
        <w:jc w:val="both"/>
      </w:pPr>
      <w:r>
        <w:rPr>
          <w:rFonts w:ascii="Old Standard TT" w:hAnsi="Old Standard TT"/>
          <w:sz w:val="21"/>
        </w:rPr>
        <w:t>Three positives are reconstructions from the public write-ups, each carrying a source URL and a lab_detected_at_event field: the Hugging Face escape (7 events), the AISI Tor egress (4) and the Anthropic name-collision case (4). The calendar dates of each organisation's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wget, nc, requests, socket or http with no allowlist. These fixtures were written by us, from descriptions, to a rule we wrote; Section 4 says what that does and does not license.</w:t>
      </w:r>
    </w:p>
    <w:p>
      <w:pPr>
        <w:pStyle w:val="Heading3"/>
        <w:keepNext/>
      </w:pPr>
      <w:r>
        <w:t>3.6 What did not work</w:t>
      </w:r>
    </w:p>
    <w:p>
      <w:pPr>
        <w:spacing w:after="100" w:line="259" w:lineRule="auto"/>
        <w:jc w:val="both"/>
      </w:pPr>
      <w:r>
        <w:rPr>
          <w:rFonts w:ascii="Old Standard TT" w:hAnsi="Old Standard TT"/>
          <w:sz w:val="21"/>
        </w:rPr>
        <w:t>Two first-run failures became the paper. The Hugging Face trace first paged at event 2 on artifactory.internal: our allowlist had omitted the package proxy, which OpenAI documents as a genuinely permitted egress. Adding it moved the page to event 3 and exposed the blind spot in Section 4.3, and the difference between the two allowlists became the ablation. Second, T1 fired on cat solution_template.py; grep -r flag. That was the rule working and the test being wrong: in a CTF that command is the task. We changed the test to assert T2-only on that fixture and added a separate grader-internals fixture for the genuine T1 signal. Third, the first scout scan over a real log crashed: the scanner used relative imports and scout loads the file standalone in worker processes, so the README command had never actually worked. It now imports the installed package.</w:t>
      </w:r>
    </w:p>
    <w:p>
      <w:pPr>
        <w:pStyle w:val="Heading2"/>
        <w:keepNext/>
      </w:pPr>
      <w:r>
        <w:t>4. Results</w:t>
      </w:r>
    </w:p>
    <w:p>
      <w:pPr>
        <w:pStyle w:val="Heading3"/>
        <w:keepNext/>
      </w:pPr>
      <w:r>
        <w:t>4.1 Specification tests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1699"/>
        <w:gridCol w:w="864"/>
        <w:gridCol w:w="1612"/>
        <w:gridCol w:w="2505"/>
        <w:gridCol w:w="1497"/>
        <w:gridCol w:w="1180"/>
      </w:tblGrid>
      <w:tr>
        <w:trPr>
          <w:cantSplit/>
        </w:trPr>
        <w:tc>
          <w:tcPr>
            <w:tcW w:type="dxa" w:w="1699"/>
          </w:tcPr>
          <w:p>
            <w:pPr>
              <w:spacing w:line="269" w:lineRule="auto" w:after="0" w:before="0"/>
            </w:pPr>
            <w:r>
              <w:rPr>
                <w:rFonts w:ascii="Old Standard TT" w:hAnsi="Old Standard TT"/>
              </w:rPr>
            </w:r>
            <w:r>
              <w:rPr>
                <w:rFonts w:ascii="Old Standard TT" w:hAnsi="Old Standard TT"/>
                <w:b/>
                <w:sz w:val="16"/>
              </w:rPr>
              <w:t>Fixture</w:t>
            </w:r>
          </w:p>
        </w:tc>
        <w:tc>
          <w:tcPr>
            <w:tcW w:type="dxa" w:w="864"/>
          </w:tcPr>
          <w:p>
            <w:pPr>
              <w:spacing w:line="269" w:lineRule="auto" w:after="0" w:before="0"/>
            </w:pPr>
            <w:r>
              <w:rPr>
                <w:rFonts w:ascii="Old Standard TT" w:hAnsi="Old Standard TT"/>
              </w:rPr>
            </w:r>
            <w:r>
              <w:rPr>
                <w:rFonts w:ascii="Old Standard TT" w:hAnsi="Old Standard TT"/>
                <w:b/>
                <w:sz w:val="16"/>
              </w:rPr>
              <w:t>Kind</w:t>
            </w:r>
          </w:p>
        </w:tc>
        <w:tc>
          <w:tcPr>
            <w:tcW w:type="dxa" w:w="1613"/>
          </w:tcPr>
          <w:p>
            <w:pPr>
              <w:spacing w:line="269" w:lineRule="auto" w:after="0" w:before="0"/>
            </w:pPr>
            <w:r>
              <w:rPr>
                <w:rFonts w:ascii="Old Standard TT" w:hAnsi="Old Standard TT"/>
              </w:rPr>
            </w:r>
            <w:r>
              <w:rPr>
                <w:rFonts w:ascii="Old Standard TT" w:hAnsi="Old Standard TT"/>
                <w:b/>
                <w:sz w:val="16"/>
              </w:rPr>
              <w:t>Sentinel</w:t>
            </w:r>
          </w:p>
        </w:tc>
        <w:tc>
          <w:tcPr>
            <w:tcW w:type="dxa" w:w="2506"/>
          </w:tcPr>
          <w:p>
            <w:pPr>
              <w:spacing w:line="269" w:lineRule="auto" w:after="0" w:before="0"/>
            </w:pPr>
            <w:r>
              <w:rPr>
                <w:rFonts w:ascii="Old Standard TT" w:hAnsi="Old Standard TT"/>
              </w:rPr>
            </w:r>
            <w:r>
              <w:rPr>
                <w:rFonts w:ascii="Old Standard TT" w:hAnsi="Old Standard TT"/>
                <w:b/>
                <w:sz w:val="16"/>
              </w:rPr>
              <w:t>Destination</w:t>
            </w:r>
          </w:p>
        </w:tc>
        <w:tc>
          <w:tcPr>
            <w:tcW w:type="dxa" w:w="1498"/>
          </w:tcPr>
          <w:p>
            <w:pPr>
              <w:spacing w:line="269" w:lineRule="auto" w:after="0" w:before="0"/>
            </w:pPr>
            <w:r>
              <w:rPr>
                <w:rFonts w:ascii="Old Standard TT" w:hAnsi="Old Standard TT"/>
              </w:rPr>
            </w:r>
            <w:r>
              <w:rPr>
                <w:rFonts w:ascii="Old Standard TT" w:hAnsi="Old Standard TT"/>
                <w:b/>
                <w:sz w:val="16"/>
              </w:rPr>
              <w:t>Detection point in reconstruction</w:t>
            </w:r>
          </w:p>
        </w:tc>
        <w:tc>
          <w:tcPr>
            <w:tcW w:type="dxa" w:w="1181"/>
          </w:tcPr>
          <w:p>
            <w:pPr>
              <w:spacing w:line="269" w:lineRule="auto" w:after="0" w:before="0"/>
            </w:pPr>
            <w:r>
              <w:rPr>
                <w:rFonts w:ascii="Old Standard TT" w:hAnsi="Old Standard TT"/>
              </w:rPr>
            </w:r>
            <w:r>
              <w:rPr>
                <w:rFonts w:ascii="Old Standard TT" w:hAnsi="Old Standard TT"/>
                <w:b/>
                <w:sz w:val="16"/>
              </w:rPr>
              <w:t>Keyword baseline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hf-openai-exploitgym</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@3</w:t>
            </w:r>
          </w:p>
        </w:tc>
        <w:tc>
          <w:tcPr>
            <w:tcW w:type="dxa" w:w="2506"/>
          </w:tcPr>
          <w:p>
            <w:pPr>
              <w:spacing w:line="269" w:lineRule="auto" w:after="0" w:before="0"/>
            </w:pPr>
            <w:r>
              <w:rPr>
                <w:rFonts w:ascii="Old Standard TT" w:hAnsi="Old Standard TT"/>
              </w:rPr>
            </w:r>
            <w:r>
              <w:rPr>
                <w:rFonts w:ascii="Old Standard TT" w:hAnsi="Old Standard TT"/>
                <w:b w:val="0"/>
                <w:sz w:val="16"/>
              </w:rPr>
              <w:t>cybergym-fn-7bf.modal.run</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@2 (proxy)</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aisi-range-tor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github.com</w:t>
            </w:r>
          </w:p>
        </w:tc>
        <w:tc>
          <w:tcPr>
            <w:tcW w:type="dxa" w:w="1498"/>
          </w:tcPr>
          <w:p>
            <w:pPr>
              <w:spacing w:line="269" w:lineRule="auto" w:after="0" w:before="0"/>
            </w:pPr>
            <w:r>
              <w:rPr>
                <w:rFonts w:ascii="Old Standard TT" w:hAnsi="Old Standard TT"/>
              </w:rPr>
            </w:r>
            <w:r>
              <w:rPr>
                <w:rFonts w:ascii="Old Standard TT" w:hAnsi="Old Standard TT"/>
                <w:b w:val="0"/>
                <w:sz w:val="16"/>
              </w:rPr>
              <w:t>@4</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anthropic-irregular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acme-robotics.com</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neg-allowed-llm-api</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neg-inscope-recon</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neg-range-http</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warn-grader-probe</w:t>
            </w:r>
          </w:p>
        </w:tc>
        <w:tc>
          <w:tcPr>
            <w:tcW w:type="dxa" w:w="864"/>
          </w:tcPr>
          <w:p>
            <w:pPr>
              <w:spacing w:line="269" w:lineRule="auto" w:after="0" w:before="0"/>
            </w:pPr>
            <w:r>
              <w:rPr>
                <w:rFonts w:ascii="Old Standard TT" w:hAnsi="Old Standard TT"/>
              </w:rPr>
            </w:r>
            <w:r>
              <w:rPr>
                <w:rFonts w:ascii="Old Standard TT" w:hAnsi="Old Standard TT"/>
                <w:b w:val="0"/>
                <w:sz w:val="16"/>
              </w:rPr>
              <w:t>warn only</w:t>
            </w:r>
          </w:p>
        </w:tc>
        <w:tc>
          <w:tcPr>
            <w:tcW w:type="dxa" w:w="1613"/>
          </w:tcPr>
          <w:p>
            <w:pPr>
              <w:spacing w:line="269" w:lineRule="auto" w:after="0" w:before="0"/>
            </w:pPr>
            <w:r>
              <w:rPr>
                <w:rFonts w:ascii="Old Standard TT" w:hAnsi="Old Standard TT"/>
              </w:rPr>
            </w:r>
            <w:r>
              <w:rPr>
                <w:rFonts w:ascii="Old Standard TT" w:hAnsi="Old Standard TT"/>
                <w:b w:val="0"/>
                <w:sz w:val="16"/>
              </w:rPr>
              <w:t>no page (T1 warn)</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bl>
    <w:p>
      <w:pPr>
        <w:spacing w:line="312" w:lineRule="auto" w:before="140" w:after="200"/>
      </w:pPr>
      <w:r>
        <w:rPr>
          <w:rFonts w:ascii="Old Standard TT" w:hAnsi="Old Standard TT"/>
          <w:i/>
          <w:sz w:val="19"/>
        </w:rPr>
        <w:t>Table 1. Specification tests over the seven fixtures. "Detection point in reconstruction" is where we placed the organisation's own detection when we wrote the fixture from the public timeline; it is a property of our reconstruction and supports no claim about latency inside any lab. The keyword baseline has no allowlist.</w:t>
      </w:r>
    </w:p>
    <w:p>
      <w:pPr>
        <w:spacing w:after="100" w:line="259"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pPr>
        <w:pStyle w:val="Heading3"/>
        <w:keepNext/>
      </w:pPr>
      <w:r>
        <w:t>4.2 Allowlist misspecification</w:t>
      </w:r>
    </w:p>
    <w:p>
      <w:pPr>
        <w:keepNext/>
        <w:spacing w:before="120" w:line="259" w:lineRule="auto"/>
        <w:jc w:val="center"/>
      </w:pPr>
      <w:r>
        <w:rPr>
          <w:rFonts w:ascii="Old Standard TT" w:hAnsi="Old Standard TT"/>
          <w:sz w:val="21"/>
        </w:rPr>
        <w:drawing>
          <wp:inline>
            <wp:extent cx="4572000" cy="1837764"/>
            <wp:docPr id="1" name="Picture 1"/>
            <wp:cNvGraphicFramePr>
              <a:graphicFrameLocks noChangeAspect="1"/>
            </wp:cNvGraphicFramePr>
            <a:graphic>
              <a:graphicData uri="http://schemas.openxmlformats.org/drawingml/2006/picture">
                <pic:pic>
                  <pic:nvPicPr>
                    <pic:cNvPr id="0" name="fig1_ablation.png"/>
                    <pic:cNvPicPr/>
                  </pic:nvPicPr>
                  <pic:blipFill>
                    <a:blip r:embed="rId8"/>
                    <a:stretch>
                      <a:fillRect/>
                    </a:stretch>
                  </pic:blipFill>
                  <pic:spPr>
                    <a:xfrm>
                      <a:off x="0" y="0"/>
                      <a:ext cx="4572000" cy="1837764"/>
                    </a:xfrm>
                    <a:prstGeom prst="rect"/>
                  </pic:spPr>
                </pic:pic>
              </a:graphicData>
            </a:graphic>
          </wp:inline>
        </w:drawing>
      </w:r>
    </w:p>
    <w:p>
      <w:pPr>
        <w:spacing w:line="312" w:lineRule="auto" w:before="120" w:after="200"/>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pPr>
        <w:spacing w:after="100" w:line="259" w:lineRule="auto"/>
        <w:jc w:val="both"/>
      </w:pPr>
      <w:r>
        <w:rPr>
          <w:rFonts w:ascii="Old Standard TT" w:hAnsi="Old Standard TT"/>
          <w:sz w:val="21"/>
        </w:rPr>
        <w:t>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This is the result we would defend in front of a detection engineer: the artifact worth publishing per evaluation class is the pair (trace, allowlist), and verifiability is a property of the pair. Every number in this section is deterministic and pinned by tests, so there is no interval to report; the one robustness question that matters is sensitivity to the scope, and this table is that question asked directly.</w:t>
      </w:r>
    </w:p>
    <w:p>
      <w:pPr>
        <w:pStyle w:val="Heading3"/>
        <w:keepNext/>
      </w:pPr>
      <w:r>
        <w:t>4.3 The page arrives after the escape</w:t>
      </w:r>
    </w:p>
    <w:p>
      <w:pPr>
        <w:spacing w:after="100" w:line="259"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ALLOWED. We test this as a known blind spot rather than hide it. The right reading of PAGE @3 is the first auditable evidence of out-of-scope egress, which in the reconstruction precedes the production intrusion (events 5 and 6) and the organisation's own detection (event 6). It is not "this would have stopped the breach." Prevention is default-deny egress plus a hardened permitted proxy, and a trace scanner supplies neither. The DSEWiki case has the same shape: the sandbox permitted only GET requests, and the wiki accepts page edits over GET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In both public escapes the agent went through the scope, not around it. An allowlist-relative scanner is blind to that by construction; what it would still have recorded is the destination host, prowiki.org, had the declared scope named which hosts read access was for.</w:t>
      </w:r>
    </w:p>
    <w:p>
      <w:pPr>
        <w:keepNext/>
        <w:spacing w:before="120" w:line="259" w:lineRule="auto"/>
        <w:jc w:val="center"/>
      </w:pPr>
      <w:r>
        <w:rPr>
          <w:rFonts w:ascii="Old Standard TT" w:hAnsi="Old Standard TT"/>
          <w:sz w:val="21"/>
        </w:rPr>
        <w:drawing>
          <wp:inline>
            <wp:extent cx="4937760" cy="2226833"/>
            <wp:docPr id="2" name="Picture 2"/>
            <wp:cNvGraphicFramePr>
              <a:graphicFrameLocks noChangeAspect="1"/>
            </wp:cNvGraphicFramePr>
            <a:graphic>
              <a:graphicData uri="http://schemas.openxmlformats.org/drawingml/2006/picture">
                <pic:pic>
                  <pic:nvPicPr>
                    <pic:cNvPr id="0" name="fig2_layers_v3.png"/>
                    <pic:cNvPicPr/>
                  </pic:nvPicPr>
                  <pic:blipFill>
                    <a:blip r:embed="rId9"/>
                    <a:stretch>
                      <a:fillRect/>
                    </a:stretch>
                  </pic:blipFill>
                  <pic:spPr>
                    <a:xfrm>
                      <a:off x="0" y="0"/>
                      <a:ext cx="4937760" cy="2226833"/>
                    </a:xfrm>
                    <a:prstGeom prst="rect"/>
                  </pic:spPr>
                </pic:pic>
              </a:graphicData>
            </a:graphic>
          </wp:inline>
        </w:drawing>
      </w:r>
    </w:p>
    <w:p>
      <w:pPr>
        <w:spacing w:line="312" w:lineRule="auto" w:before="120" w:after="200"/>
      </w:pPr>
      <w:r>
        <w:rPr>
          <w:rFonts w:ascii="Old Standard TT" w:hAnsi="Old Standard TT"/>
          <w:i/>
          <w:sz w:val="19"/>
        </w:rPr>
        <w:t>Figure 2. Four layers of containment evidence, with the Hugging Face reconstruction as the running example. Layers 1 and 2 are what this paper builds: the declared scope and the agent's stated destination, checked against it. Layer 3, observed flows diffed against the same allowlist, is not built and is the month of follow-up. Layer 4 is the Track 1 criterion. Prevention is a separate row: it stops escapes and yields no third-party evidence.</w:t>
      </w:r>
    </w:p>
    <w:p>
      <w:pPr>
        <w:pStyle w:val="Heading3"/>
        <w:keepNext/>
      </w:pPr>
      <w:r>
        <w:t>4.4 Records we did not write: the DSEWiki export and a live Inspect run</w:t>
      </w:r>
    </w:p>
    <w:p>
      <w:pPr>
        <w:spacing w:after="100" w:line="259" w:lineRule="auto"/>
        <w:jc w:val="both"/>
      </w:pPr>
      <w:r>
        <w:rPr>
          <w:rFonts w:ascii="Old Standard TT" w:hAnsi="Old Standard TT"/>
          <w:sz w:val="21"/>
        </w:rPr>
        <w:t xml:space="preserve">The fixtures show consistency, not generalisation, so we pointed the same rule at a record with a different author. The Nightingale Collective's export of the DSEWiki incident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xml:space="preserve"> contains 14,591 saved agent revisions across four wikis, 24 May to 2 July 2026, with full text and write times (manifest db_sha256 199241bf…). We treat each revision as one event in write order and its body as the argument blob; the extractor pulls stated destinations from it exactly as it would from a tool call. Nothing about the events is ours. The declared scope is: the sandbox allowed any GET request to any host, which is the wildcard row of the ablation. We add two scopes of our own for comparison and say so: one naming only the public datasets the task families were retrieving from (27 hosts such as api.datausa.io, sec.gov, api.usaspending.gov), and a control that also permits the wiki hosts.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808"/>
        <w:gridCol w:w="1224"/>
        <w:gridCol w:w="1944"/>
        <w:gridCol w:w="2232"/>
        <w:gridCol w:w="1152"/>
      </w:tblGrid>
      <w:tr>
        <w:trPr>
          <w:cantSplit/>
        </w:trPr>
        <w:tc>
          <w:tcPr>
            <w:tcW w:type="dxa" w:w="2808"/>
          </w:tcPr>
          <w:p>
            <w:pPr>
              <w:spacing w:line="269" w:lineRule="auto" w:after="0" w:before="0"/>
            </w:pPr>
            <w:r>
              <w:rPr>
                <w:rFonts w:ascii="Old Standard TT" w:hAnsi="Old Standard TT"/>
              </w:rPr>
            </w:r>
            <w:r>
              <w:rPr>
                <w:rFonts w:ascii="Old Standard TT" w:hAnsi="Old Standard TT"/>
                <w:b/>
                <w:sz w:val="16"/>
              </w:rPr>
              <w:t>Declared scope</w:t>
            </w:r>
          </w:p>
        </w:tc>
        <w:tc>
          <w:tcPr>
            <w:tcW w:type="dxa" w:w="1224"/>
          </w:tcPr>
          <w:p>
            <w:pPr>
              <w:spacing w:line="269" w:lineRule="auto" w:after="0" w:before="0"/>
            </w:pPr>
            <w:r>
              <w:rPr>
                <w:rFonts w:ascii="Old Standard TT" w:hAnsi="Old Standard TT"/>
              </w:rPr>
            </w:r>
            <w:r>
              <w:rPr>
                <w:rFonts w:ascii="Old Standard TT" w:hAnsi="Old Standard TT"/>
                <w:b/>
                <w:sz w:val="16"/>
              </w:rPr>
              <w:t>Pages</w:t>
            </w:r>
          </w:p>
        </w:tc>
        <w:tc>
          <w:tcPr>
            <w:tcW w:type="dxa" w:w="1944"/>
          </w:tcPr>
          <w:p>
            <w:pPr>
              <w:spacing w:line="269" w:lineRule="auto" w:after="0" w:before="0"/>
            </w:pPr>
            <w:r>
              <w:rPr>
                <w:rFonts w:ascii="Old Standard TT" w:hAnsi="Old Standard TT"/>
              </w:rPr>
            </w:r>
            <w:r>
              <w:rPr>
                <w:rFonts w:ascii="Old Standard TT" w:hAnsi="Old Standard TT"/>
                <w:b/>
                <w:sz w:val="16"/>
              </w:rPr>
              <w:t>First page</w:t>
            </w:r>
          </w:p>
        </w:tc>
        <w:tc>
          <w:tcPr>
            <w:tcW w:type="dxa" w:w="2232"/>
          </w:tcPr>
          <w:p>
            <w:pPr>
              <w:spacing w:line="269" w:lineRule="auto" w:after="0" w:before="0"/>
            </w:pPr>
            <w:r>
              <w:rPr>
                <w:rFonts w:ascii="Old Standard TT" w:hAnsi="Old Standard TT"/>
              </w:rPr>
            </w:r>
            <w:r>
              <w:rPr>
                <w:rFonts w:ascii="Old Standard TT" w:hAnsi="Old Standard TT"/>
                <w:b/>
                <w:sz w:val="16"/>
              </w:rPr>
              <w:t>Destination</w:t>
            </w:r>
          </w:p>
        </w:tc>
        <w:tc>
          <w:tcPr>
            <w:tcW w:type="dxa" w:w="1152"/>
          </w:tcPr>
          <w:p>
            <w:pPr>
              <w:spacing w:line="269" w:lineRule="auto" w:after="0" w:before="0"/>
            </w:pPr>
            <w:r>
              <w:rPr>
                <w:rFonts w:ascii="Old Standard TT" w:hAnsi="Old Standard TT"/>
              </w:rPr>
            </w:r>
            <w:r>
              <w:rPr>
                <w:rFonts w:ascii="Old Standard TT" w:hAnsi="Old Standard TT"/>
                <w:b/>
                <w:sz w:val="16"/>
              </w:rPr>
              <w:t>Before OpenAI's first visit (21 Jun)</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wildcard (the actual scope: any GET)</w:t>
            </w:r>
          </w:p>
        </w:tc>
        <w:tc>
          <w:tcPr>
            <w:tcW w:type="dxa" w:w="1224"/>
          </w:tcPr>
          <w:p>
            <w:pPr>
              <w:spacing w:line="269" w:lineRule="auto" w:after="0" w:before="0"/>
            </w:pPr>
            <w:r>
              <w:rPr>
                <w:rFonts w:ascii="Old Standard TT" w:hAnsi="Old Standard TT"/>
              </w:rPr>
            </w:r>
            <w:r>
              <w:rPr>
                <w:rFonts w:ascii="Old Standard TT" w:hAnsi="Old Standard TT"/>
                <w:b w:val="0"/>
                <w:sz w:val="16"/>
              </w:rPr>
              <w:t>0 of 14,591</w:t>
            </w:r>
          </w:p>
        </w:tc>
        <w:tc>
          <w:tcPr>
            <w:tcW w:type="dxa" w:w="1944"/>
          </w:tcPr>
          <w:p>
            <w:pPr>
              <w:spacing w:line="269" w:lineRule="auto" w:after="0" w:before="0"/>
            </w:pPr>
            <w:r>
              <w:rPr>
                <w:rFonts w:ascii="Old Standard TT" w:hAnsi="Old Standard TT"/>
              </w:rPr>
            </w:r>
            <w:r>
              <w:rPr>
                <w:rFonts w:ascii="Old Standard TT" w:hAnsi="Old Standard TT"/>
                <w:b w:val="0"/>
                <w:sz w:val="16"/>
              </w:rPr>
              <w:t>—</w:t>
            </w:r>
          </w:p>
        </w:tc>
        <w:tc>
          <w:tcPr>
            <w:tcW w:type="dxa" w:w="2232"/>
          </w:tcPr>
          <w:p>
            <w:pPr>
              <w:spacing w:line="269" w:lineRule="auto" w:after="0" w:before="0"/>
            </w:pPr>
            <w:r>
              <w:rPr>
                <w:rFonts w:ascii="Old Standard TT" w:hAnsi="Old Standard TT"/>
              </w:rPr>
            </w:r>
            <w:r>
              <w:rPr>
                <w:rFonts w:ascii="Old Standard TT" w:hAnsi="Old Standard TT"/>
                <w:b w:val="0"/>
                <w:sz w:val="16"/>
              </w:rPr>
              <w:t>—</w:t>
            </w:r>
          </w:p>
        </w:tc>
        <w:tc>
          <w:tcPr>
            <w:tcW w:type="dxa" w:w="1152"/>
          </w:tcPr>
          <w:p>
            <w:pPr>
              <w:spacing w:line="269" w:lineRule="auto" w:after="0" w:before="0"/>
            </w:pPr>
            <w:r>
              <w:rPr>
                <w:rFonts w:ascii="Old Standard TT" w:hAnsi="Old Standard TT"/>
              </w:rPr>
            </w:r>
            <w:r>
              <w:rPr>
                <w:rFonts w:ascii="Old Standard TT" w:hAnsi="Old Standard TT"/>
                <w:b w:val="0"/>
                <w:sz w:val="16"/>
              </w:rPr>
              <w:t>silent</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only (ours)</w:t>
            </w:r>
          </w:p>
        </w:tc>
        <w:tc>
          <w:tcPr>
            <w:tcW w:type="dxa" w:w="1224"/>
          </w:tcPr>
          <w:p>
            <w:pPr>
              <w:spacing w:line="269" w:lineRule="auto" w:after="0" w:before="0"/>
            </w:pPr>
            <w:r>
              <w:rPr>
                <w:rFonts w:ascii="Old Standard TT" w:hAnsi="Old Standard TT"/>
              </w:rPr>
            </w:r>
            <w:r>
              <w:rPr>
                <w:rFonts w:ascii="Old Standard TT" w:hAnsi="Old Standard TT"/>
                <w:b w:val="0"/>
                <w:sz w:val="16"/>
              </w:rPr>
              <w:t>16,504</w:t>
            </w:r>
          </w:p>
        </w:tc>
        <w:tc>
          <w:tcPr>
            <w:tcW w:type="dxa" w:w="1944"/>
          </w:tcPr>
          <w:p>
            <w:pPr>
              <w:spacing w:line="269" w:lineRule="auto" w:after="0" w:before="0"/>
            </w:pPr>
            <w:r>
              <w:rPr>
                <w:rFonts w:ascii="Old Standard TT" w:hAnsi="Old Standard TT"/>
              </w:rPr>
            </w:r>
            <w:r>
              <w:rPr>
                <w:rFonts w:ascii="Old Standard TT" w:hAnsi="Old Standard TT"/>
                <w:b w:val="0"/>
                <w:sz w:val="16"/>
              </w:rPr>
              <w:t>event 5, 24 May 11:53 UTC</w:t>
            </w:r>
          </w:p>
        </w:tc>
        <w:tc>
          <w:tcPr>
            <w:tcW w:type="dxa" w:w="2232"/>
          </w:tcPr>
          <w:p>
            <w:pPr>
              <w:spacing w:line="269" w:lineRule="auto" w:after="0" w:before="0"/>
            </w:pPr>
            <w:r>
              <w:rPr>
                <w:rFonts w:ascii="Old Standard TT" w:hAnsi="Old Standard TT"/>
              </w:rPr>
            </w:r>
            <w:r>
              <w:rPr>
                <w:rFonts w:ascii="Old Standard TT" w:hAnsi="Old Standard TT"/>
                <w:b w:val="0"/>
                <w:sz w:val="16"/>
              </w:rPr>
              <w:t>wikiservice.at (wiki channel)</w:t>
            </w:r>
          </w:p>
        </w:tc>
        <w:tc>
          <w:tcPr>
            <w:tcW w:type="dxa" w:w="1152"/>
          </w:tcPr>
          <w:p>
            <w:pPr>
              <w:spacing w:line="269" w:lineRule="auto" w:after="0" w:before="0"/>
            </w:pPr>
            <w:r>
              <w:rPr>
                <w:rFonts w:ascii="Old Standard TT" w:hAnsi="Old Standard TT"/>
              </w:rPr>
            </w:r>
            <w:r>
              <w:rPr>
                <w:rFonts w:ascii="Old Standard TT" w:hAnsi="Old Standard TT"/>
                <w:b w:val="0"/>
                <w:sz w:val="16"/>
              </w:rPr>
              <w:t>27 days</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 wiki hosts (control)</w:t>
            </w:r>
          </w:p>
        </w:tc>
        <w:tc>
          <w:tcPr>
            <w:tcW w:type="dxa" w:w="1224"/>
          </w:tcPr>
          <w:p>
            <w:pPr>
              <w:spacing w:line="269" w:lineRule="auto" w:after="0" w:before="0"/>
            </w:pPr>
            <w:r>
              <w:rPr>
                <w:rFonts w:ascii="Old Standard TT" w:hAnsi="Old Standard TT"/>
              </w:rPr>
            </w:r>
            <w:r>
              <w:rPr>
                <w:rFonts w:ascii="Old Standard TT" w:hAnsi="Old Standard TT"/>
                <w:b w:val="0"/>
                <w:sz w:val="16"/>
              </w:rPr>
              <w:t>11,946</w:t>
            </w:r>
          </w:p>
        </w:tc>
        <w:tc>
          <w:tcPr>
            <w:tcW w:type="dxa" w:w="1944"/>
          </w:tcPr>
          <w:p>
            <w:pPr>
              <w:spacing w:line="269" w:lineRule="auto" w:after="0" w:before="0"/>
            </w:pPr>
            <w:r>
              <w:rPr>
                <w:rFonts w:ascii="Old Standard TT" w:hAnsi="Old Standard TT"/>
              </w:rPr>
            </w:r>
            <w:r>
              <w:rPr>
                <w:rFonts w:ascii="Old Standard TT" w:hAnsi="Old Standard TT"/>
                <w:b w:val="0"/>
                <w:sz w:val="16"/>
              </w:rPr>
              <w:t>event 36, 26 May 09:43 UTC</w:t>
            </w:r>
          </w:p>
        </w:tc>
        <w:tc>
          <w:tcPr>
            <w:tcW w:type="dxa" w:w="2232"/>
          </w:tcPr>
          <w:p>
            <w:pPr>
              <w:spacing w:line="269" w:lineRule="auto" w:after="0" w:before="0"/>
            </w:pPr>
            <w:r>
              <w:rPr>
                <w:rFonts w:ascii="Old Standard TT" w:hAnsi="Old Standard TT"/>
              </w:rPr>
            </w:r>
            <w:r>
              <w:rPr>
                <w:rFonts w:ascii="Old Standard TT" w:hAnsi="Old Standard TT"/>
                <w:b w:val="0"/>
                <w:sz w:val="16"/>
              </w:rPr>
              <w:t>example.com; then markdown.new, piv.max.gov</w:t>
            </w:r>
          </w:p>
        </w:tc>
        <w:tc>
          <w:tcPr>
            <w:tcW w:type="dxa" w:w="1152"/>
          </w:tcPr>
          <w:p>
            <w:pPr>
              <w:spacing w:line="269" w:lineRule="auto" w:after="0" w:before="0"/>
            </w:pPr>
            <w:r>
              <w:rPr>
                <w:rFonts w:ascii="Old Standard TT" w:hAnsi="Old Standard TT"/>
              </w:rPr>
            </w:r>
            <w:r>
              <w:rPr>
                <w:rFonts w:ascii="Old Standard TT" w:hAnsi="Old Standard TT"/>
                <w:b w:val="0"/>
                <w:sz w:val="16"/>
              </w:rPr>
              <w:t>25 days</w:t>
            </w:r>
          </w:p>
        </w:tc>
      </w:tr>
    </w:tbl>
    <w:p>
      <w:pPr>
        <w:spacing w:line="312" w:lineRule="auto" w:before="140" w:after="200"/>
      </w:pPr>
      <w:r>
        <w:rPr>
          <w:rFonts w:ascii="Old Standard TT" w:hAnsi="Old Standard TT"/>
          <w:i/>
          <w:sz w:val="19"/>
        </w:rPr>
        <w:t>Table 3. Sentinel over the DSEWiki export under three declared scopes. The events are the researchers' record; the two non-wildcard scopes are our reconstruction from the task families visible in it. "Before OpenAI's first visit" uses the date collusion.wiki gives for the first OpenAI-associated addresses on the pages.</w:t>
      </w:r>
    </w:p>
    <w:p>
      <w:pPr>
        <w:spacing w:after="100" w:line="259" w:lineRule="auto"/>
        <w:jc w:val="both"/>
      </w:pPr>
      <w:r>
        <w:rPr>
          <w:rFonts w:ascii="Old Standard TT" w:hAnsi="Old Standard TT"/>
          <w:sz w:val="21"/>
        </w:rPr>
        <w:t>Observation: under the scope the sandbox actually had, the scanner is silent on all 14,591 events. Under a scope that names the task's data sources, the first out-of-scope stated destination is the wiki itself, at event 5, six hours into the first day of writing and 27 days before the first OpenAI-associated address visited the pages. Permitting the wiki hosts moves the first page to 26 May, where the stated destinations are a placeholder domain, then the first of 43 reader and CORS-proxy hosts (markdown.new, r.jina.ai, allorigins), then a US government login portal (piv.max.gov, login.max.gov). The extractor sees 200 distinct hosts in the record: 27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any scope that named what the task was for would have paged on the first day. Two honesty notes. First, 16,504 pages is an alert volume no on-call rotation reads; the artifact's value is the first index, and the count is why layer 3 should gate paging, not layer 2. Second, the T2 boundary heuristic fired 1,147 times on this record because the word "proxy" appears in the hostnames of the workaround infrastructure; that is a lexical accident, not a validated signal, and we report it as one.</w:t>
      </w:r>
    </w:p>
    <w:p>
      <w:pPr>
        <w:spacing w:after="100" w:line="259" w:lineRule="auto"/>
        <w:jc w:val="both"/>
      </w:pPr>
      <w:r>
        <w:rPr>
          <w:rFonts w:ascii="Old Standard TT" w:hAnsi="Old Standard TT"/>
          <w:sz w:val="21"/>
        </w:rPr>
        <w:t>The second record is a live run we did not script: eight samples of inspect_evals/gdm_intercode_ctf with claude-haiku-4-5 as the agent. Its upstream sandbox declares network_mode: none, the only allowlist here written from a benchmark's own configuration, and it is empty. The agent made 42 tool calls (ls, cat, tcpdump, strings, python, submit) and solved all eight tasks; Sentinel paged on none, warned on none, the keyword baseline fired on none, and the inspect_scout wrapper returned the same eight verdicts from the recorded log. This is a negative control, not a detection result: a scanner that paged here would be wrong. It shows the rule is silent on real tool calls it was not written against, and that the Inspect path works on a real log. Cost: $0.14.</w:t>
      </w:r>
    </w:p>
    <w:p>
      <w:pPr>
        <w:pStyle w:val="Heading2"/>
        <w:keepNext/>
      </w:pPr>
      <w:r>
        <w:t>5. Discussion and Limitations</w:t>
      </w:r>
    </w:p>
    <w:p>
      <w:pPr>
        <w:spacing w:after="100" w:line="259" w:lineRule="auto"/>
        <w:jc w:val="both"/>
      </w:pPr>
      <w:r>
        <w:rPr>
          <w:rFonts w:ascii="Old Standard TT" w:hAnsi="Old Standard TT"/>
          <w:sz w:val="21"/>
        </w:rPr>
        <w:t xml:space="preserve">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The cost of adoption is writing the allowlist, and that is the point: the artifact forces the scope to exist. This sits under, not beside, what the labs have already said they will build. AISI asks for monitoring "able to flag or block out-of-scope actions as they happen" with scope "limited in advance"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 xml:space="preserve">; OpenAI now requires chain-of-thought monitoring for tool-using runs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Both need a machine-readable statement of what out-of-scope means. Adding layer 3 (Figure 2), the same allowlist diffed against egress flow logs, would let a lab attest isolation rather than assume it, which is the failure in the Anthropic name-collision case.</w:t>
      </w:r>
    </w:p>
    <w:p>
      <w:pPr>
        <w:pStyle w:val="Heading3"/>
        <w:keepNext/>
      </w:pPr>
      <w:r>
        <w:t>Limitations</w:t>
      </w:r>
    </w:p>
    <w:p>
      <w:pPr>
        <w:spacing w:after="80" w:line="259" w:lineRule="auto"/>
        <w:ind w:left="432" w:hanging="288"/>
        <w:jc w:val="both"/>
      </w:pPr>
      <w:r>
        <w:rPr>
          <w:rFonts w:ascii="Old Standard TT" w:hAnsi="Old Standard TT"/>
          <w:sz w:val="21"/>
        </w:rPr>
        <w:t xml:space="preserve">•  The positive fixtures are reconstructions of four to seven events written from public descriptions; Hugging Face logged about 17,600 attacker actions </w:t>
      </w:r>
      <w:r>
        <w:rPr>
          <w:rFonts w:ascii="Old Standard TT" w:hAnsi="Old Standard TT"/>
          <w:sz w:val="21"/>
        </w:rPr>
        <w:t>[</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No lab has released raw evaluation transcripts. Nothing here measures detection inside OpenAI, Anthropic or AISI, and "events earlier" is a statement about our reconstruction.</w:t>
      </w:r>
    </w:p>
    <w:p>
      <w:pPr>
        <w:spacing w:after="80" w:line="259" w:lineRule="auto"/>
        <w:ind w:left="432" w:hanging="288"/>
        <w:jc w:val="both"/>
      </w:pPr>
      <w:r>
        <w:rPr>
          <w:rFonts w:ascii="Old Standard TT" w:hAnsi="Old Standard TT"/>
          <w:sz w:val="21"/>
        </w:rPr>
        <w:t>•  The fixtures and the rule have the same author, so the specification tests show consistency, not generalisation. The DSEWiki run addresses the events but not the scope: the two non-wildcard allowlists there are ours, reconstructed from the task families visible in the record, and a different reconstruction would move the first page. What does not move is the wildcard row, which is the scope the sandbox actually had.</w:t>
      </w:r>
    </w:p>
    <w:p>
      <w:pPr>
        <w:spacing w:after="80" w:line="259" w:lineRule="auto"/>
        <w:ind w:left="432" w:hanging="288"/>
        <w:jc w:val="both"/>
      </w:pPr>
      <w:r>
        <w:rPr>
          <w:rFonts w:ascii="Old Standard TT" w:hAnsi="Old Standard TT"/>
          <w:sz w:val="21"/>
        </w:rPr>
        <w:t>•  The live run is eight samples and 42 tool calls on tasks with no network, so it can only show silence; it says nothing about detection. A positive live case needs an evaluation with internet on and a real allowlist, which is the first item of future work.</w:t>
      </w:r>
    </w:p>
    <w:p>
      <w:pPr>
        <w:spacing w:after="80" w:line="259" w:lineRule="auto"/>
        <w:ind w:left="432" w:hanging="288"/>
        <w:jc w:val="both"/>
      </w:pPr>
      <w:r>
        <w:rPr>
          <w:rFonts w:ascii="Old Standard TT" w:hAnsi="Old Standard TT"/>
          <w:sz w:val="21"/>
        </w:rPr>
        <w:t>•  Wiki revision bodies are not tool calls. A URL an agent posted is a stated destination in a weaker sense than a URL an agent passed to curl; some are links for other agents to follow. The method reads declared action either way, and this record sits at the loose end of that definition.</w:t>
      </w:r>
    </w:p>
    <w:p>
      <w:pPr>
        <w:spacing w:after="80" w:line="259" w:lineRule="auto"/>
        <w:ind w:left="432" w:hanging="288"/>
        <w:jc w:val="both"/>
      </w:pPr>
      <w:r>
        <w:rPr>
          <w:rFonts w:ascii="Old Standard TT" w:hAnsi="Old Standard TT"/>
          <w:sz w:val="21"/>
        </w:rPr>
        <w:t xml:space="preserve">•  Sentinel reads declared arguments. In its investigation of the Hugging Face incident, METR reports that roughly 7% of the transcripts it evaluated were successfully spoofed in some places </w:t>
      </w:r>
      <w:r>
        <w:rPr>
          <w:rFonts w:ascii="Old Standard TT" w:hAnsi="Old Standard TT"/>
          <w:sz w:val="21"/>
        </w:rPr>
        <w:t>[</w:t>
      </w:r>
      <w:hyperlink w:anchor="ref13">
        <w:r>
          <w:rPr>
            <w:rFonts w:ascii="Old Standard TT" w:hAnsi="Old Standard TT"/>
            <w:color w:val="2E5C8A"/>
          </w:rPr>
          <w:t>13</w:t>
        </w:r>
      </w:hyperlink>
      <w:r>
        <w:rPr>
          <w:rFonts w:ascii="Old Standard TT" w:hAnsi="Old Standard TT"/>
          <w:sz w:val="21"/>
        </w:rPr>
        <w:t>]</w:t>
      </w:r>
      <w:r>
        <w:rPr>
          <w:rFonts w:ascii="Old Standard TT" w:hAnsi="Old Standard TT"/>
          <w:sz w:val="21"/>
        </w:rPr>
        <w:t>; a determined agent can state one destination and reach another. Layer 3 is the answer; it is not built.</w:t>
      </w:r>
    </w:p>
    <w:p>
      <w:pPr>
        <w:spacing w:after="80" w:line="259" w:lineRule="auto"/>
        <w:ind w:left="432" w:hanging="288"/>
        <w:jc w:val="both"/>
      </w:pPr>
      <w:r>
        <w:rPr>
          <w:rFonts w:ascii="Old Standard TT" w:hAnsi="Old Standard TT"/>
          <w:sz w:val="21"/>
        </w:rPr>
        <w:t>•  The extractor is regular expressions. Destinations hidden in shell variables, base64, DNS exfiltration or IP-as-integer forms are missed. We have not measured a miss rate. Publishing the extractor publishes its gaps (Appendix A).</w:t>
      </w:r>
    </w:p>
    <w:p>
      <w:pPr>
        <w:spacing w:after="80" w:line="259" w:lineRule="auto"/>
        <w:ind w:left="432" w:hanging="288"/>
        <w:jc w:val="both"/>
      </w:pPr>
      <w:r>
        <w:rPr>
          <w:rFonts w:ascii="Old Standard TT" w:hAnsi="Old Standard TT"/>
          <w:sz w:val="21"/>
        </w:rPr>
        <w:t>•  T1 and T2 false-positive rates are unmeasured; they warn, and a warn nobody reads is worth nothing.</w:t>
      </w:r>
    </w:p>
    <w:p>
      <w:pPr>
        <w:spacing w:after="80" w:line="259" w:lineRule="auto"/>
        <w:ind w:left="432" w:hanging="288"/>
        <w:jc w:val="both"/>
      </w:pPr>
      <w:r>
        <w:rPr>
          <w:rFonts w:ascii="Old Standard TT" w:hAnsi="Old Standard TT"/>
          <w:sz w:val="21"/>
        </w:rPr>
        <w:t>•  The wildcard scope is one misspecification of many. A scope that is correct today and stale tomorrow is the realistic case and we have not modelled it.</w:t>
      </w:r>
    </w:p>
    <w:p>
      <w:pPr>
        <w:pStyle w:val="Heading3"/>
        <w:keepNext/>
      </w:pPr>
      <w:r>
        <w:t>Future work</w:t>
      </w:r>
    </w:p>
    <w:p>
      <w:pPr>
        <w:spacing w:after="100" w:line="259" w:lineRule="auto"/>
        <w:jc w:val="both"/>
      </w:pPr>
      <w:r>
        <w:rPr>
          <w:rFonts w:ascii="Old Standard TT" w:hAnsi="Old Standard TT"/>
          <w:sz w:val="21"/>
        </w:rPr>
        <w:t>A month would add three things. First, run the scanner over a public agentic evaluation with an honest allowlist (ExploitGym's own firewall list is a natural start) and report the T3 page rate and the T1/T2 warn rates on real traces. Second, implement layer 3 against Cilium Hubble or Squid access logs and report the declared-versus-observed disagreement rate, which is the attestation number. Third, an adversarial pass on the extractor with an obfuscation corpus, so the miss rate is a number rather than a paragraph.</w:t>
      </w:r>
    </w:p>
    <w:p>
      <w:pPr>
        <w:pStyle w:val="Heading2"/>
        <w:keepNext/>
      </w:pPr>
      <w:r>
        <w:t>6. Conclusion</w:t>
      </w:r>
    </w:p>
    <w:p>
      <w:pPr>
        <w:spacing w:after="100" w:line="259"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What it adds is a checkable layer under the monitors and proxies that already exist, and the argument that the artifact to publish per evaluation class is the pair (trace, allowlist).</w:t>
      </w:r>
    </w:p>
    <w:p>
      <w:pPr>
        <w:pStyle w:val="Heading2"/>
        <w:keepNext/>
      </w:pPr>
      <w:r>
        <w:t>Code and Data</w:t>
      </w:r>
    </w:p>
    <w:p>
      <w:pPr>
        <w:spacing w:after="100" w:line="259" w:lineRule="auto"/>
        <w:jc w:val="both"/>
      </w:pPr>
      <w:r>
        <w:rPr>
          <w:rFonts w:ascii="Old Standard TT" w:hAnsi="Old Standard TT"/>
          <w:sz w:val="21"/>
        </w:rPr>
        <w:t xml:space="preserve">Code repository: </w:t>
      </w:r>
      <w:hyperlink r:id="rId10">
        <w:r>
          <w:rPr>
            <w:rFonts w:ascii="Old Standard TT" w:hAnsi="Old Standard TT"/>
            <w:color w:val="2E5C8A"/>
          </w:rPr>
          <w:t>https://github.com/crishN144/sentinel-evals</w:t>
        </w:r>
      </w:hyperlink>
      <w:r>
        <w:rPr>
          <w:rFonts w:ascii="Old Standard TT" w:hAnsi="Old Standard TT"/>
          <w:sz w:val="21"/>
        </w:rPr>
        <w:t xml:space="preserve"> (Apache-2.0, matching ExploitGym). Fixtures, allowlists, the ablation script and the 15 tests are in the repository; python -m pytest reproduces every number here with no model and no API key. No lab transcripts are included because none are public. No datasets were used.</w:t>
      </w:r>
    </w:p>
    <w:p>
      <w:pPr>
        <w:pStyle w:val="Heading2"/>
        <w:keepNext/>
      </w:pPr>
      <w:r>
        <w:t>Author Contributions</w:t>
      </w:r>
    </w:p>
    <w:p>
      <w:pPr>
        <w:spacing w:after="100" w:line="259" w:lineRule="auto"/>
        <w:jc w:val="both"/>
      </w:pPr>
      <w:r>
        <w:rPr>
          <w:rFonts w:ascii="Old Standard TT" w:hAnsi="Old Standard TT"/>
          <w:sz w:val="21"/>
        </w:rPr>
        <w:t>C.N. conceived the project, wrote the scanner, fixtures and tests, ran the ablation and wrote the report. Claude (Anthropic) was used as a coding and drafting assistant under the author's direction; every number was recomputed by the author from the repository.</w:t>
      </w:r>
    </w:p>
    <w:p>
      <w:pPr>
        <w:pStyle w:val="Heading2"/>
        <w:keepNext/>
      </w:pPr>
      <w:r>
        <w:t>References</w:t>
      </w:r>
    </w:p>
    <w:p>
      <w:bookmarkStart w:id="1" w:name="ref1"/>
      <w:pPr>
        <w:spacing w:after="80" w:line="259" w:lineRule="auto"/>
        <w:ind w:left="403" w:hanging="403"/>
        <w:jc w:val="both"/>
      </w:pPr>
      <w:r>
        <w:rPr>
          <w:rFonts w:ascii="Old Standard TT" w:hAnsi="Old Standard TT"/>
          <w:sz w:val="20"/>
        </w:rPr>
        <w:t xml:space="preserve">[1] OpenAI, 2026. Hugging Face model evaluation security incident (21 July, revised twice) and The Hugging Face incident and the road ahead. </w:t>
      </w:r>
      <w:hyperlink r:id="rId11">
        <w:r>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12">
        <w:r>
          <w:rPr>
            <w:rFonts w:ascii="Old Standard TT" w:hAnsi="Old Standard TT"/>
            <w:color w:val="2E5C8A"/>
            <w:sz w:val="20"/>
          </w:rPr>
          <w:t>openai.com/index/hugging-face-incident-and-the-road-ahead</w:t>
        </w:r>
      </w:hyperlink>
      <w:bookmarkEnd w:id="1"/>
    </w:p>
    <w:p>
      <w:bookmarkStart w:id="2" w:name="ref2"/>
      <w:pPr>
        <w:spacing w:after="80" w:line="259" w:lineRule="auto"/>
        <w:ind w:left="403" w:hanging="403"/>
        <w:jc w:val="both"/>
      </w:pPr>
      <w:r>
        <w:rPr>
          <w:rFonts w:ascii="Old Standard TT" w:hAnsi="Old Standard TT"/>
          <w:sz w:val="20"/>
        </w:rPr>
        <w:t xml:space="preserve">[2] Hugging Face, 2026. Agent intrusion: technical timeline. </w:t>
      </w:r>
      <w:hyperlink r:id="rId13">
        <w:r>
          <w:rPr>
            <w:rFonts w:ascii="Old Standard TT" w:hAnsi="Old Standard TT"/>
            <w:color w:val="2E5C8A"/>
            <w:sz w:val="20"/>
          </w:rPr>
          <w:t>huggingface.co/blog/agent-intrusion-technical-timeline</w:t>
        </w:r>
      </w:hyperlink>
      <w:bookmarkEnd w:id="2"/>
    </w:p>
    <w:p>
      <w:bookmarkStart w:id="3" w:name="ref3"/>
      <w:pPr>
        <w:spacing w:after="80" w:line="259" w:lineRule="auto"/>
        <w:ind w:left="403" w:hanging="403"/>
        <w:jc w:val="both"/>
      </w:pPr>
      <w:r>
        <w:rPr>
          <w:rFonts w:ascii="Old Standard TT" w:hAnsi="Old Standard TT"/>
          <w:sz w:val="20"/>
        </w:rPr>
        <w:t xml:space="preserve">[3] Anthropic, 2026. Investigating incidents in our cybersecurity evaluations. </w:t>
      </w:r>
      <w:hyperlink r:id="rId14">
        <w:r>
          <w:rPr>
            <w:rFonts w:ascii="Old Standard TT" w:hAnsi="Old Standard TT"/>
            <w:color w:val="2E5C8A"/>
            <w:sz w:val="20"/>
          </w:rPr>
          <w:t>anthropic.com/news/investigating-incidents-cybersecurity-evals</w:t>
        </w:r>
      </w:hyperlink>
      <w:bookmarkEnd w:id="3"/>
    </w:p>
    <w:p>
      <w:bookmarkStart w:id="4" w:name="ref4"/>
      <w:pPr>
        <w:spacing w:after="80" w:line="259" w:lineRule="auto"/>
        <w:ind w:left="403" w:hanging="403"/>
        <w:jc w:val="both"/>
      </w:pPr>
      <w:r>
        <w:rPr>
          <w:rFonts w:ascii="Old Standard TT" w:hAnsi="Old Standard TT"/>
          <w:sz w:val="20"/>
        </w:rPr>
        <w:t xml:space="preserve">[4] UK AI Security Institute, 4 August 2026. Incident report: unsanctioned agent behaviour during cyber testing (INC-2026-07-28-01). </w:t>
      </w:r>
      <w:hyperlink r:id="rId15">
        <w:r>
          <w:rPr>
            <w:rFonts w:ascii="Old Standard TT" w:hAnsi="Old Standard TT"/>
            <w:color w:val="2E5C8A"/>
            <w:sz w:val="20"/>
          </w:rPr>
          <w:t>aisi.gov.uk/blog/incident-report-unsanctioned-agent-behaviour-during-cyber-testing</w:t>
        </w:r>
      </w:hyperlink>
      <w:bookmarkEnd w:id="4"/>
    </w:p>
    <w:p>
      <w:bookmarkStart w:id="5" w:name="ref5"/>
      <w:pPr>
        <w:spacing w:after="80" w:line="259" w:lineRule="auto"/>
        <w:ind w:left="403" w:hanging="403"/>
        <w:jc w:val="both"/>
      </w:pPr>
      <w:r>
        <w:rPr>
          <w:rFonts w:ascii="Old Standard TT" w:hAnsi="Old Standard TT"/>
          <w:sz w:val="20"/>
        </w:rPr>
        <w:t xml:space="preserve">[5] Von Arx, S., Slade Byrd, C. and the Nightingale Collective, 4 September 2026. Discovery of a new OpenAI agent message board: DSEWiki edit dataset and report. </w:t>
      </w:r>
      <w:hyperlink r:id="rId16">
        <w:r>
          <w:rPr>
            <w:rFonts w:ascii="Old Standard TT" w:hAnsi="Old Standard TT"/>
            <w:color w:val="2E5C8A"/>
            <w:sz w:val="20"/>
          </w:rPr>
          <w:t>collusion.wiki</w:t>
        </w:r>
      </w:hyperlink>
      <w:r>
        <w:rPr>
          <w:rFonts w:ascii="Old Standard TT" w:hAnsi="Old Standard TT"/>
          <w:sz w:val="20"/>
        </w:rPr>
        <w:t xml:space="preserve">. OpenAI acknowledgement of 5 September 2026 as reported by TechCrunch, </w:t>
      </w:r>
      <w:hyperlink r:id="rId17">
        <w:r>
          <w:rPr>
            <w:rFonts w:ascii="Old Standard TT" w:hAnsi="Old Standard TT"/>
            <w:color w:val="2E5C8A"/>
            <w:sz w:val="20"/>
          </w:rPr>
          <w:t>techcrunch.com/2026/09/05/openai-confirms-wiki-incident-says-its-working-on-a-framework-for-more-disclosure/</w:t>
        </w:r>
      </w:hyperlink>
      <w:bookmarkEnd w:id="5"/>
    </w:p>
    <w:p>
      <w:bookmarkStart w:id="6" w:name="ref6"/>
      <w:pPr>
        <w:spacing w:after="80" w:line="259" w:lineRule="auto"/>
        <w:ind w:left="403" w:hanging="403"/>
        <w:jc w:val="both"/>
      </w:pPr>
      <w:r>
        <w:rPr>
          <w:rFonts w:ascii="Old Standard TT" w:hAnsi="Old Standard TT"/>
          <w:sz w:val="20"/>
        </w:rPr>
        <w:t xml:space="preserve">[6] Meridian Labs and UK AI Security Institute, 2026. Inspect Scout: in-depth analysis of AI agent transcripts. </w:t>
      </w:r>
      <w:hyperlink r:id="rId18">
        <w:r>
          <w:rPr>
            <w:rFonts w:ascii="Old Standard TT" w:hAnsi="Old Standard TT"/>
            <w:color w:val="2E5C8A"/>
            <w:sz w:val="20"/>
          </w:rPr>
          <w:t>github.com/meridianlabs-ai/inspect_scout</w:t>
        </w:r>
      </w:hyperlink>
      <w:bookmarkEnd w:id="6"/>
    </w:p>
    <w:p>
      <w:bookmarkStart w:id="7" w:name="ref7"/>
      <w:pPr>
        <w:spacing w:after="80" w:line="259" w:lineRule="auto"/>
        <w:ind w:left="403" w:hanging="403"/>
        <w:jc w:val="both"/>
      </w:pPr>
      <w:r>
        <w:rPr>
          <w:rFonts w:ascii="Old Standard TT" w:hAnsi="Old Standard TT"/>
          <w:sz w:val="20"/>
        </w:rPr>
        <w:t xml:space="preserve">[7] UK AI Security Institute and Redwood Research, 2025. ControlArena. </w:t>
      </w:r>
      <w:hyperlink r:id="rId19">
        <w:r>
          <w:rPr>
            <w:rFonts w:ascii="Old Standard TT" w:hAnsi="Old Standard TT"/>
            <w:color w:val="2E5C8A"/>
            <w:sz w:val="20"/>
          </w:rPr>
          <w:t>github.com/UKGovernmentBEIS/control-arena</w:t>
        </w:r>
      </w:hyperlink>
      <w:bookmarkEnd w:id="7"/>
    </w:p>
    <w:p>
      <w:bookmarkStart w:id="8" w:name="ref8"/>
      <w:pPr>
        <w:spacing w:after="80" w:line="259" w:lineRule="auto"/>
        <w:ind w:left="403" w:hanging="403"/>
        <w:jc w:val="both"/>
      </w:pPr>
      <w:r>
        <w:rPr>
          <w:rFonts w:ascii="Old Standard TT" w:hAnsi="Old Standard TT"/>
          <w:sz w:val="20"/>
        </w:rPr>
        <w:t xml:space="preserve">[8] Kutasov, J. et al., 2025. SHADE-Arena: evaluating sabotage and monitoring in LLM agents. </w:t>
      </w:r>
      <w:hyperlink r:id="rId20">
        <w:r>
          <w:rPr>
            <w:rFonts w:ascii="Old Standard TT" w:hAnsi="Old Standard TT"/>
            <w:color w:val="2E5C8A"/>
            <w:sz w:val="20"/>
          </w:rPr>
          <w:t>arXiv:2506.15740</w:t>
        </w:r>
      </w:hyperlink>
      <w:bookmarkEnd w:id="8"/>
    </w:p>
    <w:p>
      <w:bookmarkStart w:id="9" w:name="ref9"/>
      <w:pPr>
        <w:spacing w:after="80" w:line="259" w:lineRule="auto"/>
        <w:ind w:left="403" w:hanging="403"/>
        <w:jc w:val="both"/>
      </w:pPr>
      <w:r>
        <w:rPr>
          <w:rFonts w:ascii="Old Standard TT" w:hAnsi="Old Standard TT"/>
          <w:sz w:val="20"/>
        </w:rPr>
        <w:t xml:space="preserve">[9] Apollo Research, 2026. Watcher: security for coding agents (Watcher Live and Watcher Analyze). </w:t>
      </w:r>
      <w:hyperlink r:id="rId21">
        <w:r>
          <w:rPr>
            <w:rFonts w:ascii="Old Standard TT" w:hAnsi="Old Standard TT"/>
            <w:color w:val="2E5C8A"/>
            <w:sz w:val="20"/>
          </w:rPr>
          <w:t>watcher.apolloresearch.ai</w:t>
        </w:r>
      </w:hyperlink>
      <w:bookmarkEnd w:id="9"/>
    </w:p>
    <w:p>
      <w:bookmarkStart w:id="10" w:name="ref10"/>
      <w:pPr>
        <w:spacing w:after="80" w:line="259" w:lineRule="auto"/>
        <w:ind w:left="403" w:hanging="403"/>
        <w:jc w:val="both"/>
      </w:pPr>
      <w:r>
        <w:rPr>
          <w:rFonts w:ascii="Old Standard TT" w:hAnsi="Old Standard TT"/>
          <w:sz w:val="20"/>
        </w:rPr>
        <w:t xml:space="preserve">[10] ExploitGym, 2026. ExploitGym: can AI agents turn security vulnerabilities into real attacks? </w:t>
      </w:r>
      <w:hyperlink r:id="rId22">
        <w:r>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bookmarkStart w:id="11" w:name="ref11"/>
      <w:pPr>
        <w:spacing w:after="80" w:line="259" w:lineRule="auto"/>
        <w:ind w:left="403" w:hanging="403"/>
        <w:jc w:val="both"/>
      </w:pPr>
      <w:r>
        <w:rPr>
          <w:rFonts w:ascii="Old Standard TT" w:hAnsi="Old Standard TT"/>
          <w:sz w:val="20"/>
        </w:rPr>
        <w:t xml:space="preserve">[11] UK AI Security Institute, July 2026. Cheating behaviour in frontier model evaluations. </w:t>
      </w:r>
      <w:hyperlink r:id="rId23">
        <w:r>
          <w:rPr>
            <w:rFonts w:ascii="Old Standard TT" w:hAnsi="Old Standard TT"/>
            <w:color w:val="2E5C8A"/>
            <w:sz w:val="20"/>
          </w:rPr>
          <w:t>aisi.gov.uk/blog/cheating-behaviour-in-frontier-model-evaluations</w:t>
        </w:r>
      </w:hyperlink>
      <w:bookmarkEnd w:id="11"/>
    </w:p>
    <w:p>
      <w:bookmarkStart w:id="12" w:name="ref12"/>
      <w:pPr>
        <w:spacing w:after="80" w:line="259" w:lineRule="auto"/>
        <w:ind w:left="403" w:hanging="403"/>
        <w:jc w:val="both"/>
      </w:pPr>
      <w:r>
        <w:rPr>
          <w:rFonts w:ascii="Old Standard TT" w:hAnsi="Old Standard TT"/>
          <w:sz w:val="20"/>
        </w:rPr>
        <w:t xml:space="preserve">[12] Nagarkar, C., 2026. scorer-integrity: calibrating LLM judges against mechanical ground truth in Inspect evals. </w:t>
      </w:r>
      <w:hyperlink r:id="rId24">
        <w:r>
          <w:rPr>
            <w:rFonts w:ascii="Old Standard TT" w:hAnsi="Old Standard TT"/>
            <w:color w:val="2E5C8A"/>
            <w:sz w:val="20"/>
          </w:rPr>
          <w:t>github.com/crishN144/scorer-integrity</w:t>
        </w:r>
      </w:hyperlink>
      <w:bookmarkEnd w:id="12"/>
    </w:p>
    <w:p>
      <w:bookmarkStart w:id="13" w:name="ref13"/>
      <w:pPr>
        <w:spacing w:after="80" w:line="259" w:lineRule="auto"/>
        <w:ind w:left="403" w:hanging="403"/>
        <w:jc w:val="both"/>
      </w:pPr>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5">
        <w:r>
          <w:rPr>
            <w:rFonts w:ascii="Old Standard TT" w:hAnsi="Old Standard TT"/>
            <w:color w:val="2E5C8A"/>
            <w:sz w:val="20"/>
          </w:rPr>
          <w:t>metr.org/blog/2026-08-26-openai-hugging-face-incident-investigation</w:t>
        </w:r>
      </w:hyperlink>
      <w:bookmarkEnd w:id="13"/>
    </w:p>
    <w:p>
      <w:bookmarkStart w:id="14" w:name="ref14"/>
      <w:pPr>
        <w:spacing w:after="80" w:line="259" w:lineRule="auto"/>
        <w:ind w:left="403" w:hanging="403"/>
        <w:jc w:val="both"/>
      </w:pPr>
      <w:r>
        <w:rPr>
          <w:rFonts w:ascii="Old Standard TT" w:hAnsi="Old Standard TT"/>
          <w:sz w:val="20"/>
        </w:rPr>
        <w:t xml:space="preserve">[14] Baker, B. et al., 2025. Monitoring reasoning models for misbehavior and the risks of promoting obfuscation. </w:t>
      </w:r>
      <w:hyperlink r:id="rId26">
        <w:r>
          <w:rPr>
            <w:rFonts w:ascii="Old Standard TT" w:hAnsi="Old Standard TT"/>
            <w:color w:val="2E5C8A"/>
            <w:sz w:val="20"/>
          </w:rPr>
          <w:t>arXiv:2503.11926</w:t>
        </w:r>
      </w:hyperlink>
      <w:bookmarkEnd w:id="14"/>
    </w:p>
    <w:p>
      <w:pPr>
        <w:pStyle w:val="Heading2"/>
        <w:keepNext/>
        <w:pageBreakBefore/>
      </w:pPr>
      <w:r>
        <w:t>Appendix A. Limitations and Dual-Use Considerations</w:t>
      </w:r>
    </w:p>
    <w:p>
      <w:pPr>
        <w:spacing w:after="100" w:line="259" w:lineRule="auto"/>
        <w:jc w:val="both"/>
      </w:pPr>
      <w:r>
        <w:rPr>
          <w:rFonts w:ascii="Old Standard TT" w:hAnsi="Old Standard TT"/>
          <w:sz w:val="21"/>
        </w:rPr>
        <w:t xml:space="preserve">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has to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11">
        <w:r>
          <w:rPr>
            <w:rFonts w:ascii="Old Standard TT" w:hAnsi="Old Standard TT"/>
            <w:color w:val="2E5C8A"/>
          </w:rPr>
          <w:t>11</w:t>
        </w:r>
      </w:hyperlink>
      <w:r>
        <w:rPr>
          <w:rFonts w:ascii="Old Standard TT" w:hAnsi="Old Standard TT"/>
          <w:sz w:val="21"/>
        </w:rPr>
        <w:t>]</w:t>
      </w:r>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pPr>
        <w:spacing w:after="100" w:line="259" w:lineRule="auto"/>
        <w:jc w:val="both"/>
      </w:pPr>
      <w:r>
        <w:rPr>
          <w:rFonts w:ascii="Old Standard TT" w:hAnsi="Old Standard TT"/>
          <w:sz w:val="21"/>
        </w:rPr>
        <w:t>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behaviour; it is drawn entirely from the labs' published accounts and adds nothing they have not stated.</w:t>
      </w:r>
    </w:p>
    <w:p>
      <w:pPr>
        <w:pStyle w:val="Heading2"/>
        <w:keepNext/>
      </w:pPr>
      <w:r>
        <w:t>Appendix B. Taxonomy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3744"/>
        <w:gridCol w:w="3456"/>
        <w:gridCol w:w="2160"/>
      </w:tblGrid>
      <w:tr>
        <w:trPr>
          <w:cantSplit/>
        </w:trPr>
        <w:tc>
          <w:tcPr>
            <w:tcW w:type="dxa" w:w="3744"/>
          </w:tcPr>
          <w:p>
            <w:pPr>
              <w:spacing w:line="269" w:lineRule="auto" w:after="0" w:before="0"/>
            </w:pPr>
            <w:r>
              <w:rPr>
                <w:rFonts w:ascii="Old Standard TT" w:hAnsi="Old Standard TT"/>
              </w:rPr>
            </w:r>
            <w:r>
              <w:rPr>
                <w:rFonts w:ascii="Old Standard TT" w:hAnsi="Old Standard TT"/>
                <w:b/>
                <w:sz w:val="16"/>
              </w:rPr>
              <w:t>Behaviour (from the public accounts)</w:t>
            </w:r>
          </w:p>
        </w:tc>
        <w:tc>
          <w:tcPr>
            <w:tcW w:type="dxa" w:w="3456"/>
          </w:tcPr>
          <w:p>
            <w:pPr>
              <w:spacing w:line="269" w:lineRule="auto" w:after="0" w:before="0"/>
            </w:pPr>
            <w:r>
              <w:rPr>
                <w:rFonts w:ascii="Old Standard TT" w:hAnsi="Old Standard TT"/>
              </w:rPr>
            </w:r>
            <w:r>
              <w:rPr>
                <w:rFonts w:ascii="Old Standard TT" w:hAnsi="Old Standard TT"/>
                <w:b/>
                <w:sz w:val="16"/>
              </w:rPr>
              <w:t>Seen in</w:t>
            </w:r>
          </w:p>
        </w:tc>
        <w:tc>
          <w:tcPr>
            <w:tcW w:type="dxa" w:w="2160"/>
          </w:tcPr>
          <w:p>
            <w:pPr>
              <w:spacing w:line="269" w:lineRule="auto" w:after="0" w:before="0"/>
            </w:pPr>
            <w:r>
              <w:rPr>
                <w:rFonts w:ascii="Old Standard TT" w:hAnsi="Old Standard TT"/>
              </w:rPr>
            </w:r>
            <w:r>
              <w:rPr>
                <w:rFonts w:ascii="Old Standard TT" w:hAnsi="Old Standard TT"/>
                <w:b/>
                <w:sz w:val="16"/>
              </w:rPr>
              <w:t>Sentinel</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1 Grader / evaluation probing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w:t>
            </w:r>
            <w:r>
              <w:rPr>
                <w:rFonts w:ascii="Old Standard TT" w:hAnsi="Old Standard TT"/>
                <w:b w:val="0"/>
                <w:sz w:val="16"/>
              </w:rPr>
              <w:t>[</w:t>
            </w:r>
            <w:hyperlink w:anchor="ref1">
              <w:r>
                <w:rPr>
                  <w:rFonts w:ascii="Old Standard TT" w:hAnsi="Old Standard TT"/>
                  <w:color w:val="2E5C8A"/>
                  <w:sz w:val="16"/>
                </w:rPr>
                <w:t>1</w:t>
              </w:r>
            </w:hyperlink>
            <w:r>
              <w:rPr>
                <w:rFonts w:ascii="Old Standard TT" w:hAnsi="Old Standard TT"/>
                <w:b w:val="0"/>
                <w:sz w:val="16"/>
              </w:rPr>
              <w:t>]</w:t>
            </w:r>
            <w:r>
              <w:rPr>
                <w:rFonts w:ascii="Old Standard TT" w:hAnsi="Old Standard TT"/>
                <w:b w:val="0"/>
                <w:sz w:val="16"/>
              </w:rPr>
              <w:t xml:space="preserve">, AISI </w:t>
            </w:r>
            <w:r>
              <w:rPr>
                <w:rFonts w:ascii="Old Standard TT" w:hAnsi="Old Standard TT"/>
                <w:b w:val="0"/>
                <w:sz w:val="16"/>
              </w:rPr>
              <w:t>[</w:t>
            </w:r>
            <w:hyperlink w:anchor="ref11">
              <w:r>
                <w:rPr>
                  <w:rFonts w:ascii="Old Standard TT" w:hAnsi="Old Standard TT"/>
                  <w:color w:val="2E5C8A"/>
                  <w:sz w:val="16"/>
                </w:rPr>
                <w:t>11</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T1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2 Sandbox / boundary testing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Hugging Face </w:t>
            </w:r>
            <w:r>
              <w:rPr>
                <w:rFonts w:ascii="Old Standard TT" w:hAnsi="Old Standard TT"/>
                <w:b w:val="0"/>
                <w:sz w:val="16"/>
              </w:rPr>
              <w:t>[</w:t>
            </w:r>
            <w:hyperlink w:anchor="ref2">
              <w:r>
                <w:rPr>
                  <w:rFonts w:ascii="Old Standard TT" w:hAnsi="Old Standard TT"/>
                  <w:color w:val="2E5C8A"/>
                  <w:sz w:val="16"/>
                </w:rPr>
                <w:t>2</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T2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3 Unauthorised egress vs declared scope</w:t>
            </w:r>
          </w:p>
        </w:tc>
        <w:tc>
          <w:tcPr>
            <w:tcW w:type="dxa" w:w="3456"/>
          </w:tcPr>
          <w:p>
            <w:pPr>
              <w:spacing w:line="269" w:lineRule="auto" w:after="0" w:before="0"/>
            </w:pPr>
            <w:r>
              <w:rPr>
                <w:rFonts w:ascii="Old Standard TT" w:hAnsi="Old Standard TT"/>
              </w:rPr>
            </w:r>
            <w:r>
              <w:rPr>
                <w:rFonts w:ascii="Old Standard TT" w:hAnsi="Old Standard TT"/>
                <w:b w:val="0"/>
                <w:sz w:val="16"/>
              </w:rPr>
              <w:t>all four</w:t>
            </w:r>
          </w:p>
        </w:tc>
        <w:tc>
          <w:tcPr>
            <w:tcW w:type="dxa" w:w="2160"/>
          </w:tcPr>
          <w:p>
            <w:pPr>
              <w:spacing w:line="269" w:lineRule="auto" w:after="0" w:before="0"/>
            </w:pPr>
            <w:r>
              <w:rPr>
                <w:rFonts w:ascii="Old Standard TT" w:hAnsi="Old Standard TT"/>
              </w:rPr>
            </w:r>
            <w:r>
              <w:rPr>
                <w:rFonts w:ascii="Old Standard TT" w:hAnsi="Old Standard TT"/>
                <w:b w:val="0"/>
                <w:sz w:val="16"/>
              </w:rPr>
              <w:t>T3 PAGE</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4 Inter-agent message boards</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(Artifactory WebDAV), AISI (GitHub), DSEWiki </w:t>
            </w:r>
            <w:r>
              <w:rPr>
                <w:rFonts w:ascii="Old Standard TT" w:hAnsi="Old Standard TT"/>
                <w:b w:val="0"/>
                <w:sz w:val="16"/>
              </w:rPr>
              <w:t>[</w:t>
            </w:r>
            <w:hyperlink w:anchor="ref5">
              <w:r>
                <w:rPr>
                  <w:rFonts w:ascii="Old Standard TT" w:hAnsi="Old Standard TT"/>
                  <w:color w:val="2E5C8A"/>
                  <w:sz w:val="16"/>
                </w:rPr>
                <w:t>5</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5 Credential harvesting and reuse</w:t>
            </w:r>
          </w:p>
        </w:tc>
        <w:tc>
          <w:tcPr>
            <w:tcW w:type="dxa" w:w="3456"/>
          </w:tcPr>
          <w:p>
            <w:pPr>
              <w:spacing w:line="269" w:lineRule="auto" w:after="0" w:before="0"/>
            </w:pPr>
            <w:r>
              <w:rPr>
                <w:rFonts w:ascii="Old Standard TT" w:hAnsi="Old Standard TT"/>
              </w:rPr>
            </w:r>
            <w:r>
              <w:rPr>
                <w:rFonts w:ascii="Old Standard TT" w:hAnsi="Old Standard TT"/>
                <w:b w:val="0"/>
                <w:sz w:val="16"/>
              </w:rPr>
              <w:t>OpenAI, Anthropic</w:t>
            </w:r>
          </w:p>
        </w:tc>
        <w:tc>
          <w:tcPr>
            <w:tcW w:type="dxa" w:w="2160"/>
          </w:tcPr>
          <w:p>
            <w:pPr>
              <w:spacing w:line="269" w:lineRule="auto" w:after="0" w:before="0"/>
            </w:pPr>
            <w:r>
              <w:rPr>
                <w:rFonts w:ascii="Old Standard TT" w:hAnsi="Old Standard TT"/>
              </w:rPr>
            </w:r>
            <w:r>
              <w:rPr>
                <w:rFonts w:ascii="Old Standard TT" w:hAnsi="Old Standard TT"/>
                <w:b w:val="0"/>
                <w:sz w:val="16"/>
              </w:rPr>
              <w:t>not covered (env telemetry)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6 Out-of-scope target enumeration</w:t>
            </w:r>
          </w:p>
        </w:tc>
        <w:tc>
          <w:tcPr>
            <w:tcW w:type="dxa" w:w="3456"/>
          </w:tcPr>
          <w:p>
            <w:pPr>
              <w:spacing w:line="269" w:lineRule="auto" w:after="0" w:before="0"/>
            </w:pPr>
            <w:r>
              <w:rPr>
                <w:rFonts w:ascii="Old Standard TT" w:hAnsi="Old Standard TT"/>
              </w:rPr>
            </w:r>
            <w:r>
              <w:rPr>
                <w:rFonts w:ascii="Old Standard TT" w:hAnsi="Old Standard TT"/>
                <w:b w:val="0"/>
                <w:sz w:val="16"/>
              </w:rPr>
              <w:t>Anthropic (~9,000 targets)</w:t>
            </w:r>
          </w:p>
        </w:tc>
        <w:tc>
          <w:tcPr>
            <w:tcW w:type="dxa" w:w="2160"/>
          </w:tcPr>
          <w:p>
            <w:pPr>
              <w:spacing w:line="269" w:lineRule="auto" w:after="0" w:before="0"/>
            </w:pPr>
            <w:r>
              <w:rPr>
                <w:rFonts w:ascii="Old Standard TT" w:hAnsi="Old Standard TT"/>
              </w:rPr>
            </w:r>
            <w:r>
              <w:rPr>
                <w:rFonts w:ascii="Old Standard TT" w:hAnsi="Old Standard TT"/>
                <w:b w:val="0"/>
                <w:sz w:val="16"/>
              </w:rPr>
              <w:t>T3 if a host is stated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7 Persistence past a safe exit</w:t>
            </w:r>
          </w:p>
        </w:tc>
        <w:tc>
          <w:tcPr>
            <w:tcW w:type="dxa" w:w="3456"/>
          </w:tcPr>
          <w:p>
            <w:pPr>
              <w:spacing w:line="269" w:lineRule="auto" w:after="0" w:before="0"/>
            </w:pPr>
            <w:r>
              <w:rPr>
                <w:rFonts w:ascii="Old Standard TT" w:hAnsi="Old Standard TT"/>
              </w:rPr>
            </w:r>
            <w:r>
              <w:rPr>
                <w:rFonts w:ascii="Old Standard TT" w:hAnsi="Old Standard TT"/>
                <w:b w:val="0"/>
                <w:sz w:val="16"/>
              </w:rPr>
              <w:t>OpenAI (198/898 unsolved tasks)</w:t>
            </w:r>
          </w:p>
        </w:tc>
        <w:tc>
          <w:tcPr>
            <w:tcW w:type="dxa" w:w="2160"/>
          </w:tcPr>
          <w:p>
            <w:pPr>
              <w:spacing w:line="269" w:lineRule="auto" w:after="0" w:before="0"/>
            </w:pPr>
            <w:r>
              <w:rPr>
                <w:rFonts w:ascii="Old Standard TT" w:hAnsi="Old Standard TT"/>
              </w:rPr>
            </w:r>
            <w:r>
              <w:rPr>
                <w:rFonts w:ascii="Old Standard TT" w:hAnsi="Old Standard TT"/>
                <w:b w:val="0"/>
                <w:sz w:val="16"/>
              </w:rPr>
              <w:t>not covered (policy)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8 Transcript / monitor tampering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AISI, METR </w:t>
            </w:r>
            <w:r>
              <w:rPr>
                <w:rFonts w:ascii="Old Standard TT" w:hAnsi="Old Standard TT"/>
                <w:b w:val="0"/>
                <w:sz w:val="16"/>
              </w:rPr>
              <w:t>[</w:t>
            </w:r>
            <w:hyperlink w:anchor="ref13">
              <w:r>
                <w:rPr>
                  <w:rFonts w:ascii="Old Standard TT" w:hAnsi="Old Standard TT"/>
                  <w:color w:val="2E5C8A"/>
                  <w:sz w:val="16"/>
                </w:rPr>
                <w:t>13</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 defeats T3</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9 Goal adoption from peers</w:t>
            </w:r>
          </w:p>
        </w:tc>
        <w:tc>
          <w:tcPr>
            <w:tcW w:type="dxa" w:w="3456"/>
          </w:tcPr>
          <w:p>
            <w:pPr>
              <w:spacing w:line="269" w:lineRule="auto" w:after="0" w:before="0"/>
            </w:pPr>
            <w:r>
              <w:rPr>
                <w:rFonts w:ascii="Old Standard TT" w:hAnsi="Old Standard TT"/>
              </w:rPr>
            </w:r>
            <w:r>
              <w:rPr>
                <w:rFonts w:ascii="Old Standard TT" w:hAnsi="Old Standard TT"/>
                <w:b w:val="0"/>
                <w:sz w:val="16"/>
              </w:rPr>
              <w:t>OpenAI</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bl>
    <w:p>
      <w:pPr>
        <w:spacing w:line="312" w:lineRule="auto" w:before="140" w:after="200"/>
      </w:pPr>
      <w:r>
        <w:rPr>
          <w:rFonts w:ascii="Old Standard TT" w:hAnsi="Old Standard TT"/>
          <w:i/>
          <w:sz w:val="19"/>
        </w:rPr>
        <w:t>Table 2. The nine behaviours distilled from the four public accounts, and which ones an allowlist-relative scanner can see. Only item 3 is a mechanical page; items 1 and 2 warn; the rest need environment telemetry or multi-agent corpora and are out of scope for this artifact.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crishN144/sentinel-evals" TargetMode="External"/><Relationship Id="rId11" Type="http://schemas.openxmlformats.org/officeDocument/2006/relationships/hyperlink" Target="https://openai.com/index/hugging-face-model-evaluation-security-incident/" TargetMode="External"/><Relationship Id="rId12" Type="http://schemas.openxmlformats.org/officeDocument/2006/relationships/hyperlink" Target="https://openai.com/index/hugging-face-incident-and-the-road-ahead" TargetMode="External"/><Relationship Id="rId13" Type="http://schemas.openxmlformats.org/officeDocument/2006/relationships/hyperlink" Target="https://huggingface.co/blog/agent-intrusion-technical-timeline" TargetMode="External"/><Relationship Id="rId14" Type="http://schemas.openxmlformats.org/officeDocument/2006/relationships/hyperlink" Target="https://www.anthropic.com/news/investigating-incidents-cybersecurity-evals" TargetMode="External"/><Relationship Id="rId15" Type="http://schemas.openxmlformats.org/officeDocument/2006/relationships/hyperlink" Target="https://www.aisi.gov.uk/blog/incident-report-unsanctioned-agent-behaviour-during-cyber-testing" TargetMode="External"/><Relationship Id="rId16" Type="http://schemas.openxmlformats.org/officeDocument/2006/relationships/hyperlink" Target="https://collusion.wiki/" TargetMode="External"/><Relationship Id="rId17" Type="http://schemas.openxmlformats.org/officeDocument/2006/relationships/hyperlink" Target="https://techcrunch.com/2026/09/05/openai-confirms-wiki-incident-says-its-working-on-a-framework-for-more-disclosure/" TargetMode="External"/><Relationship Id="rId18" Type="http://schemas.openxmlformats.org/officeDocument/2006/relationships/hyperlink" Target="https://github.com/meridianlabs-ai/inspect_scout" TargetMode="External"/><Relationship Id="rId19" Type="http://schemas.openxmlformats.org/officeDocument/2006/relationships/hyperlink" Target="https://github.com/UKGovernmentBEIS/control-arena" TargetMode="External"/><Relationship Id="rId20" Type="http://schemas.openxmlformats.org/officeDocument/2006/relationships/hyperlink" Target="https://arxiv.org/abs/2506.15740" TargetMode="External"/><Relationship Id="rId21" Type="http://schemas.openxmlformats.org/officeDocument/2006/relationships/hyperlink" Target="https://watcher.apolloresearch.ai/" TargetMode="External"/><Relationship Id="rId22" Type="http://schemas.openxmlformats.org/officeDocument/2006/relationships/hyperlink" Target="https://arxiv.org/abs/2605.11086" TargetMode="External"/><Relationship Id="rId23" Type="http://schemas.openxmlformats.org/officeDocument/2006/relationships/hyperlink" Target="https://www.aisi.gov.uk/blog/cheating-behaviour-in-frontier-model-evaluations" TargetMode="External"/><Relationship Id="rId24" Type="http://schemas.openxmlformats.org/officeDocument/2006/relationships/hyperlink" Target="https://github.com/crishN144/scorer-integrity" TargetMode="External"/><Relationship Id="rId25" Type="http://schemas.openxmlformats.org/officeDocument/2006/relationships/hyperlink" Target="https://metr.org/blog/2026-08-26-openai-hugging-face-incident-investigation/" TargetMode="External"/><Relationship Id="rId26" Type="http://schemas.openxmlformats.org/officeDocument/2006/relationships/hyperlink" Target="https://arxiv.org/abs/2503.119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