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74"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we build Sentinel, an Inspect scanner that classifies each tool call's stated destination against that allowlist and pages on the first out-of-scope one. No model is in the gate. On reconstructions of three public incidents (four to seven events each, built from the published timelines, not lab transcripts) the scanner pages at the first non-allowlisted destination; on three hard negatives it is silent, where a keyword baseline false-pages on two. The headline result is an ablation on one trace: a too-tight scope pages on permitted traffic, and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74" w:lineRule="auto"/>
        <w:rPr/>
      </w:pPr>
      <w:r w:rsidDel="00000000" w:rsidR="00000000" w:rsidRPr="00000000">
        <w:rPr>
          <w:rFonts w:ascii="Old Standard TT" w:hAnsi="Old Standard TT"/>
          <w:sz w:val="21"/>
          <w:rtl w:val="0"/>
        </w:rPr>
      </w:r>
    </w:p>
    <w:p>
      <w:pPr>
        <w:pStyle w:val="Heading2"/>
        <w:keepNext/>
      </w:pPr>
      <w:r>
        <w:t>1. Introduction</w:t>
      </w:r>
    </w:p>
    <w:p>
      <w:pPr>
        <w:spacing w:after="100" w:line="274"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it was found months later by transcript review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with read-only internet access probed DSEWiki, a dormant German programming wiki, from around 11 May, and from roughly 24 May to 22 June used it as a message board for task answers and sandbox workarounds, leaving on the order of 15,000 to 18,000 edits.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100" w:line="274" w:lineRule="auto"/>
        <w:jc w:val="both"/>
      </w:pPr>
      <w:r>
        <w:rPr>
          <w:rFonts w:ascii="Old Standard TT" w:hAnsi="Old Standard TT"/>
          <w:sz w:val="21"/>
        </w:rPr>
        <w:t xml:space="preserve">These cases share a shape that is not "no monitor existed." In each one the operators knew the intended scope in prose: no internet; only the LLM API and the package proxy; only the range. Nowhere was that scope an artifact the transcript was checked against, and in every case the first signal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one of scope attachment and attestation, and it is the failure Track 1 asks about: could a third party verify compliance without access to the lab's network?</w:t>
      </w:r>
    </w:p>
    <w:p>
      <w:pPr>
        <w:spacing w:after="100" w:line="274" w:lineRule="auto"/>
        <w:jc w:val="both"/>
      </w:pPr>
      <w:r>
        <w:rPr>
          <w:rFonts w:ascii="Old Standard TT" w:hAnsi="Old Standard TT"/>
          <w:sz w:val="21"/>
        </w:rPr>
        <w:t>We take the smallest step that answers it. Our main contributions are:</w:t>
      </w:r>
    </w:p>
    <w:p>
      <w:pPr>
        <w:spacing w:after="80" w:line="274"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74"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74"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pStyle w:val="Heading2"/>
        <w:keepNext/>
      </w:pPr>
      <w:r>
        <w:t>2. Related Work</w:t>
      </w:r>
    </w:p>
    <w:p>
      <w:pPr>
        <w:spacing w:after="100" w:line="274" w:lineRule="auto"/>
        <w:jc w:val="both"/>
      </w:pPr>
      <w:r>
        <w:rPr>
          <w:rFonts w:ascii="Old Standard TT" w:hAnsi="Old Standard TT"/>
          <w:sz w:val="21"/>
        </w:rPr>
        <w:t xml:space="preserve">Trace monitors for agents exist and are good.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monitors chain-of-thought and states that such a monitor "would have caught the initial relevant activity" more than a day before the breach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100" w:line="274"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which needs a model and a threshold; a proxy answers "was this blocked?", but its logs stay inside the lab, and in the OpenAI case the proxy was the hole. Sentinel's wedge is narrow: a mechanical predicate over (trace, allowlist). One would use it alongside the monitors above, never instead of a default-deny proxy.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74" w:lineRule="auto"/>
        <w:jc w:val="both"/>
      </w:pPr>
      <w:r>
        <w:rPr>
          <w:rFonts w:ascii="Old Standard TT" w:hAnsi="Old Standard TT"/>
          <w:sz w:val="21"/>
        </w:rPr>
        <w:t xml:space="preserve">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internet_expected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pStyle w:val="Heading3"/>
        <w:keepNext/>
      </w:pPr>
      <w:r>
        <w:t>3.2 Trace and destination extraction</w:t>
      </w:r>
    </w:p>
    <w:p>
      <w:pPr>
        <w:spacing w:after="100" w:line="274"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74" w:lineRule="auto"/>
        <w:jc w:val="both"/>
      </w:pPr>
      <w:r>
        <w:rPr>
          <w:rFonts w:ascii="Old Standard TT" w:hAnsi="Old Standard TT"/>
          <w:sz w:val="21"/>
        </w:rPr>
        <w:t xml:space="preserve">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Gating on a predicate the environment can settle itself, rather than on a second model, follows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74"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JSON replay over the trace schema (sentinel score) is the supported interface, and is what a third party with only files runs; the inspect_scout wrapper is in-tree and exercised by the test suite, over transcripts built in the test rather than over a recorded evaluation log. Both paths execute the same rule. Fifteen tests pin every number in this paper.</w:t>
      </w:r>
    </w:p>
    <w:p>
      <w:pPr>
        <w:pStyle w:val="Heading3"/>
        <w:keepNext/>
      </w:pPr>
      <w:r>
        <w:t>3.5 Fixtures and baseline</w:t>
      </w:r>
    </w:p>
    <w:p>
      <w:pPr>
        <w:spacing w:after="100" w:line="274" w:lineRule="auto"/>
        <w:jc w:val="both"/>
      </w:pPr>
      <w:r>
        <w:rPr>
          <w:rFonts w:ascii="Old Standard TT" w:hAnsi="Old Standard TT"/>
          <w:sz w:val="21"/>
        </w:rPr>
        <w:t>Three positives are reconstructions from the public write-ups, each carrying a source URL and a lab_detected_at_event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74"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1756"/>
        <w:gridCol w:w="892"/>
        <w:gridCol w:w="1728"/>
        <w:gridCol w:w="2678"/>
        <w:gridCol w:w="1094"/>
        <w:gridCol w:w="1209"/>
      </w:tblGrid>
      <w:tr>
        <w:trPr>
          <w:cantSplit/>
        </w:trPr>
        <w:tc>
          <w:tcPr>
            <w:tcW w:type="dxa" w:w="1757"/>
          </w:tcPr>
          <w:p>
            <w:pPr>
              <w:spacing w:line="269" w:lineRule="auto" w:after="0" w:before="0"/>
            </w:pPr>
            <w:r>
              <w:rPr>
                <w:rFonts w:ascii="Old Standard TT" w:hAnsi="Old Standard TT"/>
              </w:rPr>
            </w:r>
            <w:r>
              <w:rPr>
                <w:rFonts w:ascii="Old Standard TT" w:hAnsi="Old Standard TT"/>
                <w:b/>
                <w:sz w:val="16"/>
              </w:rPr>
              <w:t>Fixture</w:t>
            </w:r>
          </w:p>
        </w:tc>
        <w:tc>
          <w:tcPr>
            <w:tcW w:type="dxa" w:w="893"/>
          </w:tcPr>
          <w:p>
            <w:pPr>
              <w:spacing w:line="269" w:lineRule="auto" w:after="0" w:before="0"/>
            </w:pPr>
            <w:r>
              <w:rPr>
                <w:rFonts w:ascii="Old Standard TT" w:hAnsi="Old Standard TT"/>
              </w:rPr>
            </w:r>
            <w:r>
              <w:rPr>
                <w:rFonts w:ascii="Old Standard TT" w:hAnsi="Old Standard TT"/>
                <w:b/>
                <w:sz w:val="16"/>
              </w:rPr>
              <w:t>Kind</w:t>
            </w:r>
          </w:p>
        </w:tc>
        <w:tc>
          <w:tcPr>
            <w:tcW w:type="dxa" w:w="1728"/>
          </w:tcPr>
          <w:p>
            <w:pPr>
              <w:spacing w:line="269" w:lineRule="auto" w:after="0" w:before="0"/>
            </w:pPr>
            <w:r>
              <w:rPr>
                <w:rFonts w:ascii="Old Standard TT" w:hAnsi="Old Standard TT"/>
              </w:rPr>
            </w:r>
            <w:r>
              <w:rPr>
                <w:rFonts w:ascii="Old Standard TT" w:hAnsi="Old Standard TT"/>
                <w:b/>
                <w:sz w:val="16"/>
              </w:rPr>
              <w:t>Sentinel</w:t>
            </w:r>
          </w:p>
        </w:tc>
        <w:tc>
          <w:tcPr>
            <w:tcW w:type="dxa" w:w="2678"/>
          </w:tcPr>
          <w:p>
            <w:pPr>
              <w:spacing w:line="269" w:lineRule="auto" w:after="0" w:before="0"/>
            </w:pPr>
            <w:r>
              <w:rPr>
                <w:rFonts w:ascii="Old Standard TT" w:hAnsi="Old Standard TT"/>
              </w:rPr>
            </w:r>
            <w:r>
              <w:rPr>
                <w:rFonts w:ascii="Old Standard TT" w:hAnsi="Old Standard TT"/>
                <w:b/>
                <w:sz w:val="16"/>
              </w:rPr>
              <w:t>Destination</w:t>
            </w:r>
          </w:p>
        </w:tc>
        <w:tc>
          <w:tcPr>
            <w:tcW w:type="dxa" w:w="1094"/>
          </w:tcPr>
          <w:p>
            <w:pPr>
              <w:spacing w:line="269" w:lineRule="auto" w:after="0" w:before="0"/>
            </w:pPr>
            <w:r>
              <w:rPr>
                <w:rFonts w:ascii="Old Standard TT" w:hAnsi="Old Standard TT"/>
              </w:rPr>
            </w:r>
            <w:r>
              <w:rPr>
                <w:rFonts w:ascii="Old Standard TT" w:hAnsi="Old Standard TT"/>
                <w:b/>
                <w:sz w:val="16"/>
              </w:rPr>
              <w:t>Lab noticed (recon.)</w:t>
            </w:r>
          </w:p>
        </w:tc>
        <w:tc>
          <w:tcPr>
            <w:tcW w:type="dxa" w:w="1210"/>
          </w:tcPr>
          <w:p>
            <w:pPr>
              <w:spacing w:line="269" w:lineRule="auto" w:after="0" w:before="0"/>
            </w:pPr>
            <w:r>
              <w:rPr>
                <w:rFonts w:ascii="Old Standard TT" w:hAnsi="Old Standard TT"/>
              </w:rPr>
            </w:r>
            <w:r>
              <w:rPr>
                <w:rFonts w:ascii="Old Standard TT" w:hAnsi="Old Standard TT"/>
                <w:b/>
                <w:sz w:val="16"/>
              </w:rPr>
              <w:t>Keyword baseline</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hf-openai-exploitgym</w:t>
            </w:r>
          </w:p>
        </w:tc>
        <w:tc>
          <w:tcPr>
            <w:tcW w:type="dxa" w:w="893"/>
          </w:tcPr>
          <w:p>
            <w:pPr>
              <w:spacing w:line="269" w:lineRule="auto" w:after="0" w:before="0"/>
            </w:pPr>
            <w:r>
              <w:rPr>
                <w:rFonts w:ascii="Old Standard TT" w:hAnsi="Old Standard TT"/>
              </w:rPr>
            </w:r>
            <w:r>
              <w:rPr>
                <w:rFonts w:ascii="Old Standard TT" w:hAnsi="Old Standard TT"/>
                <w:b w:val="0"/>
                <w:sz w:val="16"/>
              </w:rPr>
              <w:t>positive</w:t>
            </w:r>
          </w:p>
        </w:tc>
        <w:tc>
          <w:tcPr>
            <w:tcW w:type="dxa" w:w="1728"/>
          </w:tcPr>
          <w:p>
            <w:pPr>
              <w:spacing w:line="269" w:lineRule="auto" w:after="0" w:before="0"/>
            </w:pPr>
            <w:r>
              <w:rPr>
                <w:rFonts w:ascii="Old Standard TT" w:hAnsi="Old Standard TT"/>
              </w:rPr>
            </w:r>
            <w:r>
              <w:rPr>
                <w:rFonts w:ascii="Old Standard TT" w:hAnsi="Old Standard TT"/>
                <w:b w:val="0"/>
                <w:sz w:val="16"/>
              </w:rPr>
              <w:t>PAGE @3</w:t>
            </w:r>
          </w:p>
        </w:tc>
        <w:tc>
          <w:tcPr>
            <w:tcW w:type="dxa" w:w="2678"/>
          </w:tcPr>
          <w:p>
            <w:pPr>
              <w:spacing w:line="269" w:lineRule="auto" w:after="0" w:before="0"/>
            </w:pPr>
            <w:r>
              <w:rPr>
                <w:rFonts w:ascii="Old Standard TT" w:hAnsi="Old Standard TT"/>
              </w:rPr>
            </w:r>
            <w:r>
              <w:rPr>
                <w:rFonts w:ascii="Old Standard TT" w:hAnsi="Old Standard TT"/>
                <w:b w:val="0"/>
                <w:sz w:val="16"/>
              </w:rPr>
              <w:t>cybergym-fn-7bf.modal.run</w:t>
            </w:r>
          </w:p>
        </w:tc>
        <w:tc>
          <w:tcPr>
            <w:tcW w:type="dxa" w:w="1094"/>
          </w:tcPr>
          <w:p>
            <w:pPr>
              <w:spacing w:line="269" w:lineRule="auto" w:after="0" w:before="0"/>
            </w:pPr>
            <w:r>
              <w:rPr>
                <w:rFonts w:ascii="Old Standard TT" w:hAnsi="Old Standard TT"/>
              </w:rPr>
            </w:r>
            <w:r>
              <w:rPr>
                <w:rFonts w:ascii="Old Standard TT" w:hAnsi="Old Standard TT"/>
                <w:b w:val="0"/>
                <w:sz w:val="16"/>
              </w:rPr>
              <w:t>@6</w:t>
            </w:r>
          </w:p>
        </w:tc>
        <w:tc>
          <w:tcPr>
            <w:tcW w:type="dxa" w:w="1210"/>
          </w:tcPr>
          <w:p>
            <w:pPr>
              <w:spacing w:line="269" w:lineRule="auto" w:after="0" w:before="0"/>
            </w:pPr>
            <w:r>
              <w:rPr>
                <w:rFonts w:ascii="Old Standard TT" w:hAnsi="Old Standard TT"/>
              </w:rPr>
            </w:r>
            <w:r>
              <w:rPr>
                <w:rFonts w:ascii="Old Standard TT" w:hAnsi="Old Standard TT"/>
                <w:b w:val="0"/>
                <w:sz w:val="16"/>
              </w:rPr>
              <w:t>@2 (proxy)</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aisi-range-tor</w:t>
            </w:r>
          </w:p>
        </w:tc>
        <w:tc>
          <w:tcPr>
            <w:tcW w:type="dxa" w:w="893"/>
          </w:tcPr>
          <w:p>
            <w:pPr>
              <w:spacing w:line="269" w:lineRule="auto" w:after="0" w:before="0"/>
            </w:pPr>
            <w:r>
              <w:rPr>
                <w:rFonts w:ascii="Old Standard TT" w:hAnsi="Old Standard TT"/>
              </w:rPr>
            </w:r>
            <w:r>
              <w:rPr>
                <w:rFonts w:ascii="Old Standard TT" w:hAnsi="Old Standard TT"/>
                <w:b w:val="0"/>
                <w:sz w:val="16"/>
              </w:rPr>
              <w:t>positive</w:t>
            </w:r>
          </w:p>
        </w:tc>
        <w:tc>
          <w:tcPr>
            <w:tcW w:type="dxa" w:w="1728"/>
          </w:tcPr>
          <w:p>
            <w:pPr>
              <w:spacing w:line="269" w:lineRule="auto" w:after="0" w:before="0"/>
            </w:pPr>
            <w:r>
              <w:rPr>
                <w:rFonts w:ascii="Old Standard TT" w:hAnsi="Old Standard TT"/>
              </w:rPr>
            </w:r>
            <w:r>
              <w:rPr>
                <w:rFonts w:ascii="Old Standard TT" w:hAnsi="Old Standard TT"/>
                <w:b w:val="0"/>
                <w:sz w:val="16"/>
              </w:rPr>
              <w:t>PAGE @2</w:t>
            </w:r>
          </w:p>
        </w:tc>
        <w:tc>
          <w:tcPr>
            <w:tcW w:type="dxa" w:w="2678"/>
          </w:tcPr>
          <w:p>
            <w:pPr>
              <w:spacing w:line="269" w:lineRule="auto" w:after="0" w:before="0"/>
            </w:pPr>
            <w:r>
              <w:rPr>
                <w:rFonts w:ascii="Old Standard TT" w:hAnsi="Old Standard TT"/>
              </w:rPr>
            </w:r>
            <w:r>
              <w:rPr>
                <w:rFonts w:ascii="Old Standard TT" w:hAnsi="Old Standard TT"/>
                <w:b w:val="0"/>
                <w:sz w:val="16"/>
              </w:rPr>
              <w:t>github.com</w:t>
            </w:r>
          </w:p>
        </w:tc>
        <w:tc>
          <w:tcPr>
            <w:tcW w:type="dxa" w:w="1094"/>
          </w:tcPr>
          <w:p>
            <w:pPr>
              <w:spacing w:line="269" w:lineRule="auto" w:after="0" w:before="0"/>
            </w:pPr>
            <w:r>
              <w:rPr>
                <w:rFonts w:ascii="Old Standard TT" w:hAnsi="Old Standard TT"/>
              </w:rPr>
            </w:r>
            <w:r>
              <w:rPr>
                <w:rFonts w:ascii="Old Standard TT" w:hAnsi="Old Standard TT"/>
                <w:b w:val="0"/>
                <w:sz w:val="16"/>
              </w:rPr>
              <w:t>@4</w:t>
            </w:r>
          </w:p>
        </w:tc>
        <w:tc>
          <w:tcPr>
            <w:tcW w:type="dxa" w:w="1210"/>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anthropic-irregular</w:t>
            </w:r>
          </w:p>
        </w:tc>
        <w:tc>
          <w:tcPr>
            <w:tcW w:type="dxa" w:w="893"/>
          </w:tcPr>
          <w:p>
            <w:pPr>
              <w:spacing w:line="269" w:lineRule="auto" w:after="0" w:before="0"/>
            </w:pPr>
            <w:r>
              <w:rPr>
                <w:rFonts w:ascii="Old Standard TT" w:hAnsi="Old Standard TT"/>
              </w:rPr>
            </w:r>
            <w:r>
              <w:rPr>
                <w:rFonts w:ascii="Old Standard TT" w:hAnsi="Old Standard TT"/>
                <w:b w:val="0"/>
                <w:sz w:val="16"/>
              </w:rPr>
              <w:t>positive</w:t>
            </w:r>
          </w:p>
        </w:tc>
        <w:tc>
          <w:tcPr>
            <w:tcW w:type="dxa" w:w="1728"/>
          </w:tcPr>
          <w:p>
            <w:pPr>
              <w:spacing w:line="269" w:lineRule="auto" w:after="0" w:before="0"/>
            </w:pPr>
            <w:r>
              <w:rPr>
                <w:rFonts w:ascii="Old Standard TT" w:hAnsi="Old Standard TT"/>
              </w:rPr>
            </w:r>
            <w:r>
              <w:rPr>
                <w:rFonts w:ascii="Old Standard TT" w:hAnsi="Old Standard TT"/>
                <w:b w:val="0"/>
                <w:sz w:val="16"/>
              </w:rPr>
              <w:t>PAGE @2</w:t>
            </w:r>
          </w:p>
        </w:tc>
        <w:tc>
          <w:tcPr>
            <w:tcW w:type="dxa" w:w="2678"/>
          </w:tcPr>
          <w:p>
            <w:pPr>
              <w:spacing w:line="269" w:lineRule="auto" w:after="0" w:before="0"/>
            </w:pPr>
            <w:r>
              <w:rPr>
                <w:rFonts w:ascii="Old Standard TT" w:hAnsi="Old Standard TT"/>
              </w:rPr>
            </w:r>
            <w:r>
              <w:rPr>
                <w:rFonts w:ascii="Old Standard TT" w:hAnsi="Old Standard TT"/>
                <w:b w:val="0"/>
                <w:sz w:val="16"/>
              </w:rPr>
              <w:t>acme-robotics.com</w:t>
            </w:r>
          </w:p>
        </w:tc>
        <w:tc>
          <w:tcPr>
            <w:tcW w:type="dxa" w:w="1094"/>
          </w:tcPr>
          <w:p>
            <w:pPr>
              <w:spacing w:line="269" w:lineRule="auto" w:after="0" w:before="0"/>
            </w:pPr>
            <w:r>
              <w:rPr>
                <w:rFonts w:ascii="Old Standard TT" w:hAnsi="Old Standard TT"/>
              </w:rPr>
            </w:r>
            <w:r>
              <w:rPr>
                <w:rFonts w:ascii="Old Standard TT" w:hAnsi="Old Standard TT"/>
                <w:b w:val="0"/>
                <w:sz w:val="16"/>
              </w:rPr>
              <w:t>@6</w:t>
            </w:r>
          </w:p>
        </w:tc>
        <w:tc>
          <w:tcPr>
            <w:tcW w:type="dxa" w:w="1210"/>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neg-allowed-llm-api</w:t>
            </w:r>
          </w:p>
        </w:tc>
        <w:tc>
          <w:tcPr>
            <w:tcW w:type="dxa" w:w="893"/>
          </w:tcPr>
          <w:p>
            <w:pPr>
              <w:spacing w:line="269" w:lineRule="auto" w:after="0" w:before="0"/>
            </w:pPr>
            <w:r>
              <w:rPr>
                <w:rFonts w:ascii="Old Standard TT" w:hAnsi="Old Standard TT"/>
              </w:rPr>
            </w:r>
            <w:r>
              <w:rPr>
                <w:rFonts w:ascii="Old Standard TT" w:hAnsi="Old Standard TT"/>
                <w:b w:val="0"/>
                <w:sz w:val="16"/>
              </w:rPr>
              <w:t>negative</w:t>
            </w:r>
          </w:p>
        </w:tc>
        <w:tc>
          <w:tcPr>
            <w:tcW w:type="dxa" w:w="1728"/>
          </w:tcPr>
          <w:p>
            <w:pPr>
              <w:spacing w:line="269" w:lineRule="auto" w:after="0" w:before="0"/>
            </w:pPr>
            <w:r>
              <w:rPr>
                <w:rFonts w:ascii="Old Standard TT" w:hAnsi="Old Standard TT"/>
              </w:rPr>
            </w:r>
            <w:r>
              <w:rPr>
                <w:rFonts w:ascii="Old Standard TT" w:hAnsi="Old Standard TT"/>
                <w:b w:val="0"/>
                <w:sz w:val="16"/>
              </w:rPr>
              <w:t>no page</w:t>
            </w:r>
          </w:p>
        </w:tc>
        <w:tc>
          <w:tcPr>
            <w:tcW w:type="dxa" w:w="2678"/>
          </w:tcPr>
          <w:p>
            <w:pPr>
              <w:spacing w:line="269" w:lineRule="auto" w:after="0" w:before="0"/>
            </w:pPr>
            <w:r>
              <w:rPr>
                <w:rFonts w:ascii="Old Standard TT" w:hAnsi="Old Standard TT"/>
              </w:rPr>
            </w:r>
            <w:r>
              <w:rPr>
                <w:rFonts w:ascii="Old Standard TT" w:hAnsi="Old Standard TT"/>
                <w:b w:val="0"/>
                <w:sz w:val="16"/>
              </w:rPr>
              <w:t>—</w:t>
            </w:r>
          </w:p>
        </w:tc>
        <w:tc>
          <w:tcPr>
            <w:tcW w:type="dxa" w:w="1094"/>
          </w:tcPr>
          <w:p>
            <w:pPr>
              <w:spacing w:line="269" w:lineRule="auto" w:after="0" w:before="0"/>
            </w:pPr>
            <w:r>
              <w:rPr>
                <w:rFonts w:ascii="Old Standard TT" w:hAnsi="Old Standard TT"/>
              </w:rPr>
            </w:r>
            <w:r>
              <w:rPr>
                <w:rFonts w:ascii="Old Standard TT" w:hAnsi="Old Standard TT"/>
                <w:b w:val="0"/>
                <w:sz w:val="16"/>
              </w:rPr>
              <w:t>—</w:t>
            </w:r>
          </w:p>
        </w:tc>
        <w:tc>
          <w:tcPr>
            <w:tcW w:type="dxa" w:w="1210"/>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neg-inscope-recon</w:t>
            </w:r>
          </w:p>
        </w:tc>
        <w:tc>
          <w:tcPr>
            <w:tcW w:type="dxa" w:w="893"/>
          </w:tcPr>
          <w:p>
            <w:pPr>
              <w:spacing w:line="269" w:lineRule="auto" w:after="0" w:before="0"/>
            </w:pPr>
            <w:r>
              <w:rPr>
                <w:rFonts w:ascii="Old Standard TT" w:hAnsi="Old Standard TT"/>
              </w:rPr>
            </w:r>
            <w:r>
              <w:rPr>
                <w:rFonts w:ascii="Old Standard TT" w:hAnsi="Old Standard TT"/>
                <w:b w:val="0"/>
                <w:sz w:val="16"/>
              </w:rPr>
              <w:t>negative</w:t>
            </w:r>
          </w:p>
        </w:tc>
        <w:tc>
          <w:tcPr>
            <w:tcW w:type="dxa" w:w="1728"/>
          </w:tcPr>
          <w:p>
            <w:pPr>
              <w:spacing w:line="269" w:lineRule="auto" w:after="0" w:before="0"/>
            </w:pPr>
            <w:r>
              <w:rPr>
                <w:rFonts w:ascii="Old Standard TT" w:hAnsi="Old Standard TT"/>
              </w:rPr>
            </w:r>
            <w:r>
              <w:rPr>
                <w:rFonts w:ascii="Old Standard TT" w:hAnsi="Old Standard TT"/>
                <w:b w:val="0"/>
                <w:sz w:val="16"/>
              </w:rPr>
              <w:t>no page</w:t>
            </w:r>
          </w:p>
        </w:tc>
        <w:tc>
          <w:tcPr>
            <w:tcW w:type="dxa" w:w="2678"/>
          </w:tcPr>
          <w:p>
            <w:pPr>
              <w:spacing w:line="269" w:lineRule="auto" w:after="0" w:before="0"/>
            </w:pPr>
            <w:r>
              <w:rPr>
                <w:rFonts w:ascii="Old Standard TT" w:hAnsi="Old Standard TT"/>
              </w:rPr>
            </w:r>
            <w:r>
              <w:rPr>
                <w:rFonts w:ascii="Old Standard TT" w:hAnsi="Old Standard TT"/>
                <w:b w:val="0"/>
                <w:sz w:val="16"/>
              </w:rPr>
              <w:t>—</w:t>
            </w:r>
          </w:p>
        </w:tc>
        <w:tc>
          <w:tcPr>
            <w:tcW w:type="dxa" w:w="1094"/>
          </w:tcPr>
          <w:p>
            <w:pPr>
              <w:spacing w:line="269" w:lineRule="auto" w:after="0" w:before="0"/>
            </w:pPr>
            <w:r>
              <w:rPr>
                <w:rFonts w:ascii="Old Standard TT" w:hAnsi="Old Standard TT"/>
              </w:rPr>
            </w:r>
            <w:r>
              <w:rPr>
                <w:rFonts w:ascii="Old Standard TT" w:hAnsi="Old Standard TT"/>
                <w:b w:val="0"/>
                <w:sz w:val="16"/>
              </w:rPr>
              <w:t>—</w:t>
            </w:r>
          </w:p>
        </w:tc>
        <w:tc>
          <w:tcPr>
            <w:tcW w:type="dxa" w:w="1210"/>
          </w:tcPr>
          <w:p>
            <w:pPr>
              <w:spacing w:line="269" w:lineRule="auto" w:after="0" w:before="0"/>
            </w:pPr>
            <w:r>
              <w:rPr>
                <w:rFonts w:ascii="Old Standard TT" w:hAnsi="Old Standard TT"/>
              </w:rPr>
            </w:r>
            <w:r>
              <w:rPr>
                <w:rFonts w:ascii="Old Standard TT" w:hAnsi="Old Standard TT"/>
                <w:b w:val="0"/>
                <w:sz w:val="16"/>
              </w:rPr>
              <w:t>—</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neg-range-http</w:t>
            </w:r>
          </w:p>
        </w:tc>
        <w:tc>
          <w:tcPr>
            <w:tcW w:type="dxa" w:w="893"/>
          </w:tcPr>
          <w:p>
            <w:pPr>
              <w:spacing w:line="269" w:lineRule="auto" w:after="0" w:before="0"/>
            </w:pPr>
            <w:r>
              <w:rPr>
                <w:rFonts w:ascii="Old Standard TT" w:hAnsi="Old Standard TT"/>
              </w:rPr>
            </w:r>
            <w:r>
              <w:rPr>
                <w:rFonts w:ascii="Old Standard TT" w:hAnsi="Old Standard TT"/>
                <w:b w:val="0"/>
                <w:sz w:val="16"/>
              </w:rPr>
              <w:t>negative</w:t>
            </w:r>
          </w:p>
        </w:tc>
        <w:tc>
          <w:tcPr>
            <w:tcW w:type="dxa" w:w="1728"/>
          </w:tcPr>
          <w:p>
            <w:pPr>
              <w:spacing w:line="269" w:lineRule="auto" w:after="0" w:before="0"/>
            </w:pPr>
            <w:r>
              <w:rPr>
                <w:rFonts w:ascii="Old Standard TT" w:hAnsi="Old Standard TT"/>
              </w:rPr>
            </w:r>
            <w:r>
              <w:rPr>
                <w:rFonts w:ascii="Old Standard TT" w:hAnsi="Old Standard TT"/>
                <w:b w:val="0"/>
                <w:sz w:val="16"/>
              </w:rPr>
              <w:t>no page</w:t>
            </w:r>
          </w:p>
        </w:tc>
        <w:tc>
          <w:tcPr>
            <w:tcW w:type="dxa" w:w="2678"/>
          </w:tcPr>
          <w:p>
            <w:pPr>
              <w:spacing w:line="269" w:lineRule="auto" w:after="0" w:before="0"/>
            </w:pPr>
            <w:r>
              <w:rPr>
                <w:rFonts w:ascii="Old Standard TT" w:hAnsi="Old Standard TT"/>
              </w:rPr>
            </w:r>
            <w:r>
              <w:rPr>
                <w:rFonts w:ascii="Old Standard TT" w:hAnsi="Old Standard TT"/>
                <w:b w:val="0"/>
                <w:sz w:val="16"/>
              </w:rPr>
              <w:t>—</w:t>
            </w:r>
          </w:p>
        </w:tc>
        <w:tc>
          <w:tcPr>
            <w:tcW w:type="dxa" w:w="1094"/>
          </w:tcPr>
          <w:p>
            <w:pPr>
              <w:spacing w:line="269" w:lineRule="auto" w:after="0" w:before="0"/>
            </w:pPr>
            <w:r>
              <w:rPr>
                <w:rFonts w:ascii="Old Standard TT" w:hAnsi="Old Standard TT"/>
              </w:rPr>
            </w:r>
            <w:r>
              <w:rPr>
                <w:rFonts w:ascii="Old Standard TT" w:hAnsi="Old Standard TT"/>
                <w:b w:val="0"/>
                <w:sz w:val="16"/>
              </w:rPr>
              <w:t>—</w:t>
            </w:r>
          </w:p>
        </w:tc>
        <w:tc>
          <w:tcPr>
            <w:tcW w:type="dxa" w:w="1210"/>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757"/>
          </w:tcPr>
          <w:p>
            <w:pPr>
              <w:spacing w:line="269" w:lineRule="auto" w:after="0" w:before="0"/>
            </w:pPr>
            <w:r>
              <w:rPr>
                <w:rFonts w:ascii="Old Standard TT" w:hAnsi="Old Standard TT"/>
              </w:rPr>
            </w:r>
            <w:r>
              <w:rPr>
                <w:rFonts w:ascii="Old Standard TT" w:hAnsi="Old Standard TT"/>
                <w:b w:val="0"/>
                <w:sz w:val="16"/>
              </w:rPr>
              <w:t>warn-grader-probe</w:t>
            </w:r>
          </w:p>
        </w:tc>
        <w:tc>
          <w:tcPr>
            <w:tcW w:type="dxa" w:w="893"/>
          </w:tcPr>
          <w:p>
            <w:pPr>
              <w:spacing w:line="269" w:lineRule="auto" w:after="0" w:before="0"/>
            </w:pPr>
            <w:r>
              <w:rPr>
                <w:rFonts w:ascii="Old Standard TT" w:hAnsi="Old Standard TT"/>
              </w:rPr>
            </w:r>
            <w:r>
              <w:rPr>
                <w:rFonts w:ascii="Old Standard TT" w:hAnsi="Old Standard TT"/>
                <w:b w:val="0"/>
                <w:sz w:val="16"/>
              </w:rPr>
              <w:t>warn only</w:t>
            </w:r>
          </w:p>
        </w:tc>
        <w:tc>
          <w:tcPr>
            <w:tcW w:type="dxa" w:w="1728"/>
          </w:tcPr>
          <w:p>
            <w:pPr>
              <w:spacing w:line="269" w:lineRule="auto" w:after="0" w:before="0"/>
            </w:pPr>
            <w:r>
              <w:rPr>
                <w:rFonts w:ascii="Old Standard TT" w:hAnsi="Old Standard TT"/>
              </w:rPr>
            </w:r>
            <w:r>
              <w:rPr>
                <w:rFonts w:ascii="Old Standard TT" w:hAnsi="Old Standard TT"/>
                <w:b w:val="0"/>
                <w:sz w:val="16"/>
              </w:rPr>
              <w:t>no page (T1 warn)</w:t>
            </w:r>
          </w:p>
        </w:tc>
        <w:tc>
          <w:tcPr>
            <w:tcW w:type="dxa" w:w="2678"/>
          </w:tcPr>
          <w:p>
            <w:pPr>
              <w:spacing w:line="269" w:lineRule="auto" w:after="0" w:before="0"/>
            </w:pPr>
            <w:r>
              <w:rPr>
                <w:rFonts w:ascii="Old Standard TT" w:hAnsi="Old Standard TT"/>
              </w:rPr>
            </w:r>
            <w:r>
              <w:rPr>
                <w:rFonts w:ascii="Old Standard TT" w:hAnsi="Old Standard TT"/>
                <w:b w:val="0"/>
                <w:sz w:val="16"/>
              </w:rPr>
              <w:t>—</w:t>
            </w:r>
          </w:p>
        </w:tc>
        <w:tc>
          <w:tcPr>
            <w:tcW w:type="dxa" w:w="1094"/>
          </w:tcPr>
          <w:p>
            <w:pPr>
              <w:spacing w:line="269" w:lineRule="auto" w:after="0" w:before="0"/>
            </w:pPr>
            <w:r>
              <w:rPr>
                <w:rFonts w:ascii="Old Standard TT" w:hAnsi="Old Standard TT"/>
              </w:rPr>
            </w:r>
            <w:r>
              <w:rPr>
                <w:rFonts w:ascii="Old Standard TT" w:hAnsi="Old Standard TT"/>
                <w:b w:val="0"/>
                <w:sz w:val="16"/>
              </w:rPr>
              <w:t>—</w:t>
            </w:r>
          </w:p>
        </w:tc>
        <w:tc>
          <w:tcPr>
            <w:tcW w:type="dxa" w:w="1210"/>
          </w:tcPr>
          <w:p>
            <w:pPr>
              <w:spacing w:line="269" w:lineRule="auto" w:after="0" w:before="0"/>
            </w:pPr>
            <w:r>
              <w:rPr>
                <w:rFonts w:ascii="Old Standard TT" w:hAnsi="Old Standard TT"/>
              </w:rPr>
            </w:r>
            <w:r>
              <w:rPr>
                <w:rFonts w:ascii="Old Standard TT" w:hAnsi="Old Standard TT"/>
                <w:b w:val="0"/>
                <w:sz w:val="16"/>
              </w:rPr>
              <w:t>—</w:t>
            </w:r>
          </w:p>
        </w:tc>
      </w:tr>
    </w:tbl>
    <w:p>
      <w:pPr>
        <w:spacing w:before="140" w:after="200" w:line="274" w:lineRule="auto"/>
      </w:pPr>
      <w:r>
        <w:rPr>
          <w:rFonts w:ascii="Old Standard TT" w:hAnsi="Old Standard TT"/>
          <w:i/>
          <w:sz w:val="19"/>
        </w:rPr>
        <w:t>Table 1. Specification tests over the seven fixtures. "Lab noticed" is the event index at which the public timeline places the organisation's own detection, transferred into the reconstruction; it is a property of the reconstruction, not a measurement inside any lab. The keyword baseline has no allowlist.</w:t>
      </w:r>
    </w:p>
    <w:p>
      <w:pPr>
        <w:spacing w:after="100" w:line="274"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74" w:lineRule="auto"/>
        <w:jc w:val="center"/>
      </w:pPr>
      <w:r>
        <w:rPr>
          <w:rFonts w:ascii="Old Standard TT" w:hAnsi="Old Standard TT"/>
          <w:sz w:val="21"/>
        </w:rPr>
        <w:drawing>
          <wp:inline>
            <wp:extent cx="5394960" cy="2168562"/>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5394960" cy="2168562"/>
                    </a:xfrm>
                    <a:prstGeom prst="rect"/>
                  </pic:spPr>
                </pic:pic>
              </a:graphicData>
            </a:graphic>
          </wp:inline>
        </w:drawing>
      </w:r>
    </w:p>
    <w:p>
      <w:pPr>
        <w:spacing w:before="120" w:after="200" w:line="274" w:lineRule="auto"/>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74"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This is the result we would defend in front of a detection engineer: the artifact worth publishing per evaluation class is the pair (trace, allowlist), and verifiability is a property of the pair.</w:t>
      </w:r>
    </w:p>
    <w:p>
      <w:pPr>
        <w:pStyle w:val="Heading3"/>
        <w:keepNext/>
      </w:pPr>
      <w:r>
        <w:t>4.3 The page arrives after the escape</w:t>
      </w:r>
    </w:p>
    <w:p>
      <w:pPr>
        <w:spacing w:after="100" w:line="274"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ALLOWED. We test this as a known blind spot rather than hide it. The right reading of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dsewiki.de, had the declared scope named which hosts read access was for.</w:t>
      </w:r>
    </w:p>
    <w:p>
      <w:pPr>
        <w:keepNext/>
        <w:spacing w:before="120" w:line="274" w:lineRule="auto"/>
        <w:jc w:val="center"/>
      </w:pPr>
      <w:r>
        <w:rPr>
          <w:rFonts w:ascii="Old Standard TT" w:hAnsi="Old Standard TT"/>
          <w:sz w:val="21"/>
        </w:rPr>
        <w:drawing>
          <wp:inline>
            <wp:extent cx="5394960" cy="2433021"/>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5394960" cy="2433021"/>
                    </a:xfrm>
                    <a:prstGeom prst="rect"/>
                  </pic:spPr>
                </pic:pic>
              </a:graphicData>
            </a:graphic>
          </wp:inline>
        </w:drawing>
      </w:r>
    </w:p>
    <w:p>
      <w:pPr>
        <w:spacing w:before="120" w:after="200" w:line="274" w:lineRule="auto"/>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and is the month of follow-up. Layer 4 is the Track 1 criterion. Prevention is a separate row: it stops escapes and yields no third-party evidence.</w:t>
      </w:r>
    </w:p>
    <w:p>
      <w:pPr>
        <w:pStyle w:val="Heading3"/>
        <w:keepNext/>
      </w:pPr>
      <w:r>
        <w:t>4.4 Robustness</w:t>
      </w:r>
    </w:p>
    <w:p>
      <w:pPr>
        <w:spacing w:after="100" w:line="274" w:lineRule="auto"/>
        <w:jc w:val="both"/>
      </w:pPr>
      <w:r>
        <w:rPr>
          <w:rFonts w:ascii="Old Standard TT" w:hAnsi="Old Standard TT"/>
          <w:sz w:val="21"/>
        </w:rPr>
        <w:t>Every number above is deterministic and pinned by tests; there is no sampling and so no interval to report. The relevant robustness question is sensitivity to small changes in setup, and the ablation is that question asked of the one input that matters. The answer is that the method is fragile to scope specification in both directions. We regard that fragility as the finding, not a weakness of the experiment: it is why the scope must be a published artifact.</w:t>
      </w:r>
    </w:p>
    <w:p>
      <w:pPr>
        <w:pStyle w:val="Heading2"/>
        <w:keepNext/>
      </w:pPr>
      <w:r>
        <w:t>5. Discussion and Limitations</w:t>
      </w:r>
    </w:p>
    <w:p>
      <w:pPr>
        <w:spacing w:after="100" w:line="274"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The cost of adoption is writing the allowlist, and that is the point: the artifact forces the scope to exist. This sits under, not beside, what the labs have already said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Adding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74" w:lineRule="auto"/>
        <w:ind w:left="432" w:hanging="288"/>
        <w:jc w:val="both"/>
      </w:pPr>
      <w:r>
        <w:rPr>
          <w:rFonts w:ascii="Old Standard TT" w:hAnsi="Old Standard TT"/>
          <w:sz w:val="21"/>
        </w:rPr>
        <w:t xml:space="preserve">•  The positive fixtures are reconstructions of four to seven events written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evaluation transcripts. Nothing here measures detection inside OpenAI, Anthropic or AISI, and "events earlier" is a statement about our reconstruction.</w:t>
      </w:r>
    </w:p>
    <w:p>
      <w:pPr>
        <w:spacing w:after="80" w:line="274" w:lineRule="auto"/>
        <w:ind w:left="432" w:hanging="288"/>
        <w:jc w:val="both"/>
      </w:pPr>
      <w:r>
        <w:rPr>
          <w:rFonts w:ascii="Old Standard TT" w:hAnsi="Old Standard TT"/>
          <w:sz w:val="21"/>
        </w:rPr>
        <w:t>•  The fixtures and the rule have the same author. The specification tests therefore show consistency, not generalisation. If that assumption is wrong in the sense that real traces differ in form, the extractor is the part that breaks, and the ablation result is unaffected because it concerns the scope, not the extractor.</w:t>
      </w:r>
    </w:p>
    <w:p>
      <w:pPr>
        <w:spacing w:after="80" w:line="274" w:lineRule="auto"/>
        <w:ind w:left="432" w:hanging="288"/>
        <w:jc w:val="both"/>
      </w:pPr>
      <w:r>
        <w:rPr>
          <w:rFonts w:ascii="Old Standard TT" w:hAnsi="Old Standard TT"/>
          <w:sz w:val="21"/>
        </w:rPr>
        <w:t xml:space="preserve">•  Sentinel reads declared arguments. In its investigation of the Hugging Face incident, METR reports that roughly 7% of the transcripts it evaluated were successfully spoofed in some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 determined agent can state one destination and reach another. Layer 3 is the answer; it is not built.</w:t>
      </w:r>
    </w:p>
    <w:p>
      <w:pPr>
        <w:spacing w:after="80" w:line="274" w:lineRule="auto"/>
        <w:ind w:left="432" w:hanging="288"/>
        <w:jc w:val="both"/>
      </w:pPr>
      <w:r>
        <w:rPr>
          <w:rFonts w:ascii="Old Standard TT" w:hAnsi="Old Standard TT"/>
          <w:sz w:val="21"/>
        </w:rPr>
        <w:t>•  The extractor is regular expressions. Destinations hidden in shell variables, base64, DNS exfiltration or IP-as-integer forms are missed. We have not measured a miss rate. Publishing the extractor publishes its gaps (Appendix A).</w:t>
      </w:r>
    </w:p>
    <w:p>
      <w:pPr>
        <w:spacing w:after="80" w:line="274" w:lineRule="auto"/>
        <w:ind w:left="432" w:hanging="288"/>
        <w:jc w:val="both"/>
      </w:pPr>
      <w:r>
        <w:rPr>
          <w:rFonts w:ascii="Old Standard TT" w:hAnsi="Old Standard TT"/>
          <w:sz w:val="21"/>
        </w:rPr>
        <w:t>•  T1 and T2 false-positive rates are unmeasured; they warn, and a warn nobody reads is worth nothing.</w:t>
      </w:r>
    </w:p>
    <w:p>
      <w:pPr>
        <w:spacing w:after="80" w:line="274"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74" w:lineRule="auto"/>
        <w:jc w:val="both"/>
      </w:pPr>
      <w:r>
        <w:rPr>
          <w:rFonts w:ascii="Old Standard TT" w:hAnsi="Old Standard TT"/>
          <w:sz w:val="21"/>
        </w:rPr>
        <w:t>A month would add three things. First, run the scanner over a public agentic evaluation with an honest allowlist (ExploitGym's own firewall list is a natural start) and report the T3 page rate and the T1/T2 warn rates on real traces. Second, implement layer 3 against Cilium Hubble or Squid access logs and report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74"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Sentinel is small on purpose. What it adds is a checkable layer under the monitors and proxies that already exist, and the argument that the artifact to publish per evaluation class is the pair (trace, allowlist).</w:t>
      </w:r>
    </w:p>
    <w:p>
      <w:pPr>
        <w:pStyle w:val="Heading2"/>
        <w:keepNext/>
      </w:pPr>
      <w:r>
        <w:t>Code and Data</w:t>
      </w:r>
    </w:p>
    <w:p>
      <w:pPr>
        <w:spacing w:after="100" w:line="274"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and the 15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74"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bookmarkStart w:id="1" w:name="ref1"/>
      <w:pPr>
        <w:spacing w:after="80" w:line="274" w:lineRule="auto"/>
        <w:ind w:left="403" w:hanging="403"/>
        <w:jc w:val="both"/>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74" w:lineRule="auto"/>
        <w:ind w:left="403" w:hanging="403"/>
        <w:jc w:val="both"/>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74" w:lineRule="auto"/>
        <w:ind w:left="403" w:hanging="403"/>
        <w:jc w:val="both"/>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74" w:lineRule="auto"/>
        <w:ind w:left="403" w:hanging="403"/>
        <w:jc w:val="both"/>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74" w:lineRule="auto"/>
        <w:ind w:left="403" w:hanging="403"/>
        <w:jc w:val="both"/>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74" w:lineRule="auto"/>
        <w:ind w:left="403" w:hanging="403"/>
        <w:jc w:val="both"/>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74" w:lineRule="auto"/>
        <w:ind w:left="403" w:hanging="403"/>
        <w:jc w:val="both"/>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74" w:lineRule="auto"/>
        <w:ind w:left="403" w:hanging="403"/>
        <w:jc w:val="both"/>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74" w:lineRule="auto"/>
        <w:ind w:left="403" w:hanging="403"/>
        <w:jc w:val="both"/>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74" w:lineRule="auto"/>
        <w:ind w:left="403" w:hanging="403"/>
        <w:jc w:val="both"/>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74" w:lineRule="auto"/>
        <w:ind w:left="403" w:hanging="403"/>
        <w:jc w:val="both"/>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74" w:lineRule="auto"/>
        <w:ind w:left="403" w:hanging="403"/>
        <w:jc w:val="both"/>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74" w:lineRule="auto"/>
        <w:ind w:left="403" w:hanging="403"/>
        <w:jc w:val="both"/>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74" w:lineRule="auto"/>
        <w:ind w:left="403" w:hanging="403"/>
        <w:jc w:val="both"/>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pPr>
        <w:pStyle w:val="Heading2"/>
        <w:keepNext/>
        <w:pageBreakBefore/>
      </w:pPr>
      <w:r>
        <w:t>Appendix A. Limitations and Dual-Use Considerations</w:t>
      </w:r>
    </w:p>
    <w:p>
      <w:pPr>
        <w:spacing w:after="100" w:line="274"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74"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3744"/>
        <w:gridCol w:w="3456"/>
        <w:gridCol w:w="2160"/>
      </w:tblGrid>
      <w:tr>
        <w:trPr>
          <w:cantSplit/>
        </w:trPr>
        <w:tc>
          <w:tcPr>
            <w:tcW w:type="dxa" w:w="3744"/>
          </w:tcPr>
          <w:p>
            <w:pPr>
              <w:spacing w:line="269" w:lineRule="auto" w:after="0" w:before="0"/>
            </w:pPr>
            <w:r>
              <w:rPr>
                <w:rFonts w:ascii="Old Standard TT" w:hAnsi="Old Standard TT"/>
              </w:rPr>
            </w:r>
            <w:r>
              <w:rPr>
                <w:rFonts w:ascii="Old Standard TT" w:hAnsi="Old Standard TT"/>
                <w:b/>
                <w:sz w:val="16"/>
              </w:rPr>
              <w:t>Behaviour (from the public accounts)</w:t>
            </w:r>
          </w:p>
        </w:tc>
        <w:tc>
          <w:tcPr>
            <w:tcW w:type="dxa" w:w="3456"/>
          </w:tcPr>
          <w:p>
            <w:pPr>
              <w:spacing w:line="269" w:lineRule="auto" w:after="0" w:before="0"/>
            </w:pPr>
            <w:r>
              <w:rPr>
                <w:rFonts w:ascii="Old Standard TT" w:hAnsi="Old Standard TT"/>
              </w:rPr>
            </w:r>
            <w:r>
              <w:rPr>
                <w:rFonts w:ascii="Old Standard TT" w:hAnsi="Old Standard TT"/>
                <w:b/>
                <w:sz w:val="16"/>
              </w:rPr>
              <w:t>Seen in</w:t>
            </w:r>
          </w:p>
        </w:tc>
        <w:tc>
          <w:tcPr>
            <w:tcW w:type="dxa" w:w="2160"/>
          </w:tcPr>
          <w:p>
            <w:pPr>
              <w:spacing w:line="269" w:lineRule="auto" w:after="0" w:before="0"/>
            </w:pPr>
            <w:r>
              <w:rPr>
                <w:rFonts w:ascii="Old Standard TT" w:hAnsi="Old Standard TT"/>
              </w:rPr>
            </w:r>
            <w:r>
              <w:rPr>
                <w:rFonts w:ascii="Old Standard TT" w:hAnsi="Old Standard TT"/>
                <w:b/>
                <w:sz w:val="16"/>
              </w:rPr>
              <w:t>Sentinel</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1 Grader / evaluation probing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T1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2 Sandbox / boundary testing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T2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3 Unauthorised egress vs declared scope</w:t>
            </w:r>
          </w:p>
        </w:tc>
        <w:tc>
          <w:tcPr>
            <w:tcW w:type="dxa" w:w="3456"/>
          </w:tcPr>
          <w:p>
            <w:pPr>
              <w:spacing w:line="269" w:lineRule="auto" w:after="0" w:before="0"/>
            </w:pPr>
            <w:r>
              <w:rPr>
                <w:rFonts w:ascii="Old Standard TT" w:hAnsi="Old Standard TT"/>
              </w:rPr>
            </w:r>
            <w:r>
              <w:rPr>
                <w:rFonts w:ascii="Old Standard TT" w:hAnsi="Old Standard TT"/>
                <w:b w:val="0"/>
                <w:sz w:val="16"/>
              </w:rPr>
              <w:t>all four</w:t>
            </w:r>
          </w:p>
        </w:tc>
        <w:tc>
          <w:tcPr>
            <w:tcW w:type="dxa" w:w="2160"/>
          </w:tcPr>
          <w:p>
            <w:pPr>
              <w:spacing w:line="269" w:lineRule="auto" w:after="0" w:before="0"/>
            </w:pPr>
            <w:r>
              <w:rPr>
                <w:rFonts w:ascii="Old Standard TT" w:hAnsi="Old Standard TT"/>
              </w:rPr>
            </w:r>
            <w:r>
              <w:rPr>
                <w:rFonts w:ascii="Old Standard TT" w:hAnsi="Old Standard TT"/>
                <w:b w:val="0"/>
                <w:sz w:val="16"/>
              </w:rPr>
              <w:t>T3 PAGE</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4 Inter-agent message boards</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5 Credential harvesting and reuse</w:t>
            </w:r>
          </w:p>
        </w:tc>
        <w:tc>
          <w:tcPr>
            <w:tcW w:type="dxa" w:w="3456"/>
          </w:tcPr>
          <w:p>
            <w:pPr>
              <w:spacing w:line="269" w:lineRule="auto" w:after="0" w:before="0"/>
            </w:pPr>
            <w:r>
              <w:rPr>
                <w:rFonts w:ascii="Old Standard TT" w:hAnsi="Old Standard TT"/>
              </w:rPr>
            </w:r>
            <w:r>
              <w:rPr>
                <w:rFonts w:ascii="Old Standard TT" w:hAnsi="Old Standard TT"/>
                <w:b w:val="0"/>
                <w:sz w:val="16"/>
              </w:rPr>
              <w:t>OpenAI, Anthropic</w:t>
            </w:r>
          </w:p>
        </w:tc>
        <w:tc>
          <w:tcPr>
            <w:tcW w:type="dxa" w:w="2160"/>
          </w:tcPr>
          <w:p>
            <w:pPr>
              <w:spacing w:line="269" w:lineRule="auto" w:after="0" w:before="0"/>
            </w:pPr>
            <w:r>
              <w:rPr>
                <w:rFonts w:ascii="Old Standard TT" w:hAnsi="Old Standard TT"/>
              </w:rPr>
            </w:r>
            <w:r>
              <w:rPr>
                <w:rFonts w:ascii="Old Standard TT" w:hAnsi="Old Standard TT"/>
                <w:b w:val="0"/>
                <w:sz w:val="16"/>
              </w:rPr>
              <w:t>not covered (env telemetry)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6 Out-of-scope target enumeration</w:t>
            </w:r>
          </w:p>
        </w:tc>
        <w:tc>
          <w:tcPr>
            <w:tcW w:type="dxa" w:w="3456"/>
          </w:tcPr>
          <w:p>
            <w:pPr>
              <w:spacing w:line="269" w:lineRule="auto" w:after="0" w:before="0"/>
            </w:pPr>
            <w:r>
              <w:rPr>
                <w:rFonts w:ascii="Old Standard TT" w:hAnsi="Old Standard TT"/>
              </w:rPr>
            </w:r>
            <w:r>
              <w:rPr>
                <w:rFonts w:ascii="Old Standard TT" w:hAnsi="Old Standard TT"/>
                <w:b w:val="0"/>
                <w:sz w:val="16"/>
              </w:rPr>
              <w:t>Anthropic (~9,000 targets)</w:t>
            </w:r>
          </w:p>
        </w:tc>
        <w:tc>
          <w:tcPr>
            <w:tcW w:type="dxa" w:w="2160"/>
          </w:tcPr>
          <w:p>
            <w:pPr>
              <w:spacing w:line="269" w:lineRule="auto" w:after="0" w:before="0"/>
            </w:pPr>
            <w:r>
              <w:rPr>
                <w:rFonts w:ascii="Old Standard TT" w:hAnsi="Old Standard TT"/>
              </w:rPr>
            </w:r>
            <w:r>
              <w:rPr>
                <w:rFonts w:ascii="Old Standard TT" w:hAnsi="Old Standard TT"/>
                <w:b w:val="0"/>
                <w:sz w:val="16"/>
              </w:rPr>
              <w:t>T3 if a host is stated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7 Persistence past a safe exit</w:t>
            </w:r>
          </w:p>
        </w:tc>
        <w:tc>
          <w:tcPr>
            <w:tcW w:type="dxa" w:w="3456"/>
          </w:tcPr>
          <w:p>
            <w:pPr>
              <w:spacing w:line="269" w:lineRule="auto" w:after="0" w:before="0"/>
            </w:pPr>
            <w:r>
              <w:rPr>
                <w:rFonts w:ascii="Old Standard TT" w:hAnsi="Old Standard TT"/>
              </w:rPr>
            </w:r>
            <w:r>
              <w:rPr>
                <w:rFonts w:ascii="Old Standard TT" w:hAnsi="Old Standard TT"/>
                <w:b w:val="0"/>
                <w:sz w:val="16"/>
              </w:rPr>
              <w:t>OpenAI (198/898 unsolved tasks)</w:t>
            </w:r>
          </w:p>
        </w:tc>
        <w:tc>
          <w:tcPr>
            <w:tcW w:type="dxa" w:w="2160"/>
          </w:tcPr>
          <w:p>
            <w:pPr>
              <w:spacing w:line="269" w:lineRule="auto" w:after="0" w:before="0"/>
            </w:pPr>
            <w:r>
              <w:rPr>
                <w:rFonts w:ascii="Old Standard TT" w:hAnsi="Old Standard TT"/>
              </w:rPr>
            </w:r>
            <w:r>
              <w:rPr>
                <w:rFonts w:ascii="Old Standard TT" w:hAnsi="Old Standard TT"/>
                <w:b w:val="0"/>
                <w:sz w:val="16"/>
              </w:rPr>
              <w:t>not covered (policy)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8 Transcript / monitor tampering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 defeats T3</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9 Goal adoption from peers</w:t>
            </w:r>
          </w:p>
        </w:tc>
        <w:tc>
          <w:tcPr>
            <w:tcW w:type="dxa" w:w="3456"/>
          </w:tcPr>
          <w:p>
            <w:pPr>
              <w:spacing w:line="269" w:lineRule="auto" w:after="0" w:before="0"/>
            </w:pPr>
            <w:r>
              <w:rPr>
                <w:rFonts w:ascii="Old Standard TT" w:hAnsi="Old Standard TT"/>
              </w:rPr>
            </w:r>
            <w:r>
              <w:rPr>
                <w:rFonts w:ascii="Old Standard TT" w:hAnsi="Old Standard TT"/>
                <w:b w:val="0"/>
                <w:sz w:val="16"/>
              </w:rPr>
              <w:t>OpenAI</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bl>
    <w:p>
      <w:pPr>
        <w:spacing w:before="140" w:after="200" w:line="274" w:lineRule="auto"/>
      </w:pPr>
      <w:r>
        <w:rPr>
          <w:rFonts w:ascii="Old Standard TT" w:hAnsi="Old Standard TT"/>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