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built from the published timelines, not lab transcripts) the scanner pages at the first non-allowlisted destination; on three hard negatives it is silent, where a keyword baseline false-pages on two. On a record we did not write, the 14,591-revision export of the DSEWiki incident, the same rule is silent under the wildcard scope the sandbox actually had and pages on the first day under any scope that names what the task was for. The headline result is an ablation on one trace: a too-tight scope pages on permitted traffic, and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made their first successful write to DSEWiki, a dormant German programming wiki, on 24 May, and used it as a message board for task answers and sandbox workarounds until 22 June, the day after the first OpenAI-associated addresses visited the pages: roughly 18,000 posts under more than 3,700 self-chosen names by the researchers' count, 14,591 of them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monitors chain-of-thought and states that such a monitor "would have caught the initial relevant activity" more than a day before the breach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Stated plainly, so the objection is met rather than dodged: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pacing w:after="0" w:line="240" w:lineRule="auto"/>
        <w:ind w:left="432"/>
      </w:pPr>
      <w:r>
        <w:rPr>
          <w:rFonts w:ascii="Old Standard TT" w:hAnsi="Old Standard TT"/>
          <w:sz w:val="16"/>
        </w:rPr>
        <w:t>{"name": "exploitgym-cyber-eval", "internet_expected": false,</w:t>
      </w:r>
    </w:p>
    <w:p>
      <w:pPr>
        <w:spacing w:after="0" w:line="240" w:lineRule="auto"/>
        <w:ind w:left="432"/>
      </w:pPr>
      <w:r>
        <w:rPr>
          <w:rFonts w:ascii="Old Standard TT" w:hAnsi="Old Standard TT"/>
          <w:sz w:val="16"/>
        </w:rPr>
        <w:t xml:space="preserve"> "allowed_hosts": ["api.openai.com", "api.anthropic.com", "artifactory.internal"],</w:t>
      </w:r>
    </w:p>
    <w:p>
      <w:pPr>
        <w:spacing w:after="120" w:line="240" w:lineRule="auto"/>
        <w:ind w:left="432"/>
      </w:pPr>
      <w:r>
        <w:rPr>
          <w:rFonts w:ascii="Old Standard TT" w:hAnsi="Old Standard TT"/>
          <w:sz w:val="16"/>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is in-tree and exercised by the test suite, over transcripts built in the test rather than over a recorded evaluation log. Both paths execute the same rule. Fifteen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(T1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 Every number in this section is deterministic and pinned by tests, so there is no interval to report; the one robustness question that matters is sensitivity to the scope, and this table is that question asked directly.</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prowiki.org, had the declared scope named which hosts read access was for.</w:t>
      </w:r>
    </w:p>
    <w:p>
      <w:pPr>
        <w:keepNext/>
        <w:spacing w:before="120" w:line="259" w:lineRule="auto"/>
        <w:jc w:val="center"/>
      </w:pPr>
      <w:r>
        <w:rPr>
          <w:rFonts w:ascii="Old Standard TT" w:hAnsi="Old Standard TT"/>
          <w:sz w:val="21"/>
        </w:rPr>
        <w:drawing>
          <wp:inline>
            <wp:extent cx="4937760" cy="2226833"/>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937760" cy="2226833"/>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A record we did not write: the DSEWiki export</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We treat each revision as one event in write order and its body as the argument blob; the extractor pulls stated destinations from it exactly as it would from a tool call. Nothing about the events is ours. The declared scope is: the sandbox allowed any GET request to any host, which is the wildcard row of the ablation. We add two scopes of our own for comparison and say so: one naming only the public datasets the task families were retrieving from (27 hosts such as api.datausa.io, sec.gov, api.usaspending.gov),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16,504</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(wiki channel)</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11,946</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piv.max.gov</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3. Sentinel over the DSEWiki export under three declared scopes. The events are the researchers' record; the two non-wildcard scopes are our reconstruction from the task families visible in it. "Before OpenAI's first visit" uses the date collusion.wiki gives for the first OpenAI-associated addresses on the pages.</w:t>
      </w:r>
    </w:p>
    <w:p>
      <w:pPr>
        <w:spacing w:after="100" w:line="259" w:lineRule="auto"/>
        <w:jc w:val="both"/>
      </w:pPr>
      <w:r>
        <w:rPr>
          <w:rFonts w:ascii="Old Standard TT" w:hAnsi="Old Standard TT"/>
          <w:sz w:val="21"/>
        </w:rPr>
        <w:t>Observation: under the scope the sandbox actually had, the scanner is silent on all 14,591 events. Under a scope that names the task's data sources, the first out-of-scope stated destination is the wiki itself, at event 5, six hours into the first day of writing and 27 days before the first OpenAI-associated address visited the pages. Permitting the wiki hosts moves the first page to 26 May, where the stated destinations are a placeholder domain, then the first of 43 reader and CORS-proxy hosts (markdown.new, r.jina.ai, allorigins), then a US government login portal (piv.max.gov, login.max.gov). Across the record the extractor sees 200 distinct hosts: 27 task data sources, 6 wiki hosts, 43 reader or CORS proxies, 4 URL shorteners, 5 archive services and 4 tunnel endpoints (the first on 17 June). Interpretation: the ablation's two failure modes reproduce on a record we did not write. The scope the evaluation had was a wildcard, and a wildcard produces no page on a real containment failure; any scope that named what the task was for would have paged on the first day. Two honesty notes. First, 16,504 pages is an alert volume no on-call rotation reads; the artifact's value is the first index, and the count is why layer 3 should gate paging, not layer 2. Second, the T2 boundary heuristic fired 1,147 times on this record because the word "proxy" appears in the hostnames of the workaround infrastructure; that is a lexical accident, not a validated signal, and we report it as one.</w:t>
      </w:r>
    </w:p>
    <w:p>
      <w:pPr>
        <w:pStyle w:val="Heading2"/>
        <w:keepNext/>
      </w:pPr>
      <w:r>
        <w:t>5. Discussion and Limitations</w:t>
      </w:r>
    </w:p>
    <w:p>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written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evaluation transcripts. Nothing here measures detection inside OpenAI, Anthropic or AISI, and "events earlier" is a statement about our reconstruction.</w:t>
      </w:r>
    </w:p>
    <w:p>
      <w:pPr>
        <w:spacing w:after="80" w:line="259" w:lineRule="auto"/>
        <w:ind w:left="432" w:hanging="288"/>
        <w:jc w:val="both"/>
      </w:pPr>
      <w:r>
        <w:rPr>
          <w:rFonts w:ascii="Old Standard TT" w:hAnsi="Old Standard TT"/>
          <w:sz w:val="21"/>
        </w:rPr>
        <w:t>•  The fixtures and the rule have the same author, so the specification tests show consistency, not generalisation. The DSEWiki run addresses the events but not the scope: the two non-wildcard allowlists there are ours, reconstructed from the task families visible in the record, and a different reconstruction would move the first page. What does not move is the wildcard row, which is the scope the sandbox actually had.</w:t>
      </w:r>
    </w:p>
    <w:p>
      <w:pPr>
        <w:spacing w:after="80" w:line="259" w:lineRule="auto"/>
        <w:ind w:left="432" w:hanging="288"/>
        <w:jc w:val="both"/>
      </w:pPr>
      <w:r>
        <w:rPr>
          <w:rFonts w:ascii="Old Standard TT" w:hAnsi="Old Standard TT"/>
          <w:sz w:val="21"/>
        </w:rPr>
        <w:t>•  Wiki revision bodies are not tool calls. A URL an agent posted is a stated destination in a weaker sense than a URL an agent passed to curl; some are links for other agents to follow. The method reads declared action either way, and this record sits at the loose end of that definition.</w:t>
      </w:r>
    </w:p>
    <w:p>
      <w:pPr>
        <w:spacing w:after="80" w:line="259" w:lineRule="auto"/>
        <w:ind w:left="432" w:hanging="288"/>
        <w:jc w:val="both"/>
      </w:pPr>
      <w:r>
        <w:rPr>
          <w:rFonts w:ascii="Old Standard TT" w:hAnsi="Old Standard TT"/>
          <w:sz w:val="21"/>
        </w:rPr>
        <w:t xml:space="preserve">•  Sentinel reads declared arguments. In its investigation of the Hugging Face incident, METR reports that roughly 7% of the transcripts it evaluated were successfully spoofed in some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 determined agent can state one destination and reach another. Layer 3 is the answer;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59" w:lineRule="auto"/>
        <w:ind w:left="432" w:hanging="288"/>
        <w:jc w:val="both"/>
      </w:pPr>
      <w:r>
        <w:rPr>
          <w:rFonts w:ascii="Old Standard TT" w:hAnsi="Old Standard TT"/>
          <w:sz w:val="21"/>
        </w:rPr>
        <w:t>•  T1 and T2 false-positive rates are unmeasured; they warn, and a warn nobody reads is worth nothing.</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