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it pages at the first non-allowlisted destination and is silent on three hard negatives. On the 14,591-revision DSEWiki export, a record we did not write, the scope the sandbox actually had was a wildcard, so the scanner is silent, as any wildcard must be; under any scope naming the task's data sources it pages on day one. On a live eight-sample Inspect run with an empty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and on 24 May made their first successful write to DSEWiki, a dormant German programming wiki. They used it as a message board for task answers and sandbox workarounds until 22 June, the day after the first OpenAI-associated addresses visited the pages. The researchers count roughly 18,000 posts under more than 3,700 self-chosen names; 14,591 are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 common shape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that the scope was never attached to the transcript and never attested to anyone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work.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and need a model and a threshold; a proxy answers "was this blocked?" but its logs stay inside the lab, and in the OpenAI case the proxy was the hole. Sentinel's wedge is narrow: a mechanical predicate over (trace, allowlist).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gate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The precedent for gating on a predicate the environment can settle itself, rather than on a second model, is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(scout scan sentinel/scanner.py -T logs/) is exercised by the test suite and, in Section 4.4, over a recorded evaluation log. Both paths execute the same rule. Eighteen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is sensitivity to the scope, and this figure asks it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wikiservice.at,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see Future Work. Layer 4 is the Track 1 criterion. Prevention is a separate row: it stops escapes and yields no third-party evidence.</w:t>
      </w:r>
    </w:p>
    <w:p>
      <w:pPr>
        <w:pStyle w:val="Heading3"/>
        <w:keepNext/>
      </w:pPr>
      <w:r>
        <w:t>4.4 Records we did not write: the DSEWiki export and a live Inspect run</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The four are ProWiki boards: DSEWiki itself, served as prowiki.org/dse and wikiservice.at/dse, and Probier, Fractal (wikiservice.at) and DorfWiki (dorfwiki.org). Each revision is one event in write order and its body the argument blob; the extractor reads it as it would a tool call. Nothing about the events is ours. The declared scope is: the sandbox allowed any GET request to any host, which is the wildcard row of the ablation. We add two scopes of our own for comparison: one naming only the public datasets the task families were retrieving from (31 hosts such as api.datausa.io, sec.gov, api.usaspending.gov and the OMB MAX portal that serves public SF-133 budget PDFs),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16,309</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(DSEWiki's own host)</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11,751</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drive.google.com</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2. Sentinel over the DSEWiki export under three declared scopes. The events are the researchers' record; the two non-wildcard scopes are our reconstruction from the task families visible in it. A revision can state more than one destination, so pages can exceed events. "Before OpenAI's first visit" is the interval to the date collusion.wiki gives for the first OpenAI-associated addresses on the pages: a fact about the public record, not about OpenAI's internal monitoring.</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wikiservice.at, DSEWiki's own host, at event 5: six hours into the first day of writing, the agents' fifth post already linked to the board they were writing on, 27 days before the first OpenAI-associated address visited the pages. Permitting the wiki hosts moves the first page to 26 May, where the stated destinations are a placeholder domain, then the first of 43 reader and CORS-proxy hosts (markdown.new, r.jina.ai, allorigins), then drive.google.com. The extractor sees 200 distinct hosts in the record: 31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caveats. 16,309 pages is an alert volume nobody reads, so the value is the first index and the count is why layer 3, not layer 2, should gate paging; and T2 fired 1,147 times only because "proxy" appears in the workaround hostnames, a lexical accident we report as one.</w:t>
      </w:r>
    </w:p>
    <w:p>
      <w:pPr>
        <w:spacing w:after="100" w:line="259" w:lineRule="auto"/>
        <w:jc w:val="both"/>
      </w:pPr>
      <w:r>
        <w:rPr>
          <w:rFonts w:ascii="Old Standard TT" w:hAnsi="Old Standard TT"/>
          <w:sz w:val="21"/>
        </w:rPr>
        <w:t>The second record is a live run rather than a fixture: eight samples of inspect_evals/gdm_intercode_ctf with claude-haiku-4-5 as the agent. Its upstream sandbox declares network_mode: none,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 Cost: $0.14.</w:t>
      </w:r>
    </w:p>
    <w:p>
      <w:pPr>
        <w:pStyle w:val="Heading2"/>
        <w:keepNext/>
      </w:pPr>
      <w:r>
        <w:t>5. Discussion and Limitations</w:t>
      </w:r>
    </w:p>
    <w:p>
      <w:pPr>
        <w:spacing w:after="100" w:line="259" w:lineRule="auto"/>
        <w:jc w:val="both"/>
      </w:pPr>
      <w:r>
        <w:rPr>
          <w:rFonts w:ascii="Old Standard TT" w:hAnsi="Old Standard TT"/>
          <w:sz w:val="21"/>
        </w:rPr>
        <w:t>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Appendix C shows the record either would receive.</w:t>
      </w:r>
    </w:p>
    <w:p>
      <w:pPr>
        <w:spacing w:after="100" w:line="259" w:lineRule="auto"/>
        <w:jc w:val="both"/>
      </w:pPr>
      <w:r>
        <w:rPr>
          <w:rFonts w:ascii="Old Standard TT" w:hAnsi="Old Standard TT"/>
          <w:sz w:val="21"/>
        </w:rPr>
        <w:t xml:space="preserve">The cost of adoption is writing the allowlist, which is the point: the artifact forces the scope to exist. It sits under what the labs already say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and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transcripts, so nothing here measures detection inside OpenAI, Anthropic or AISI, and "events earlier" describes our reconstruction.</w:t>
      </w:r>
    </w:p>
    <w:p>
      <w:pPr>
        <w:spacing w:after="80" w:line="259" w:lineRule="auto"/>
        <w:ind w:left="432" w:hanging="288"/>
        <w:jc w:val="both"/>
      </w:pPr>
      <w:r>
        <w:rPr>
          <w:rFonts w:ascii="Old Standard TT" w:hAnsi="Old Standard TT"/>
          <w:sz w:val="21"/>
        </w:rPr>
        <w:t>•  The fixtures and the rule share an author, so the specification tests show consistency, not generalisation. The DSEWiki run fixes the events but not the scope: its two non-wildcard allowlists are ours, and a different reconstruction would move the first page. The wildcard row, the scope the sandbox actually had, does not move.</w:t>
      </w:r>
    </w:p>
    <w:p>
      <w:pPr>
        <w:spacing w:after="80" w:line="259" w:lineRule="auto"/>
        <w:ind w:left="432" w:hanging="288"/>
        <w:jc w:val="both"/>
      </w:pPr>
      <w:r>
        <w:rPr>
          <w:rFonts w:ascii="Old Standard TT" w:hAnsi="Old Standard TT"/>
          <w:sz w:val="21"/>
        </w:rPr>
        <w:t>•  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pPr>
        <w:spacing w:after="80" w:line="259" w:lineRule="auto"/>
        <w:ind w:left="432" w:hanging="288"/>
        <w:jc w:val="both"/>
      </w:pPr>
      <w:r>
        <w:rPr>
          <w:rFonts w:ascii="Old Standard TT" w:hAnsi="Old Standard TT"/>
          <w:sz w:val="21"/>
        </w:rPr>
        <w:t xml:space="preserve">•  Sentinel reads declared arguments. METR reports that roughly 7% of the transcripts it evaluated in the Hugging Face investigation were successfully spoofed in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an agent can state one destination and reach another. Layer 3 is the answer, and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and the miss rate is unmeasured; publishing the extractor publishes its gaps (Appendix A). T1 and T2 false-positive rates are likewise unmeasured.</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a positive live case: an agentic evaluation run with internet on and an honest allowlist (ExploitGym's own firewall list is the natural start), reporting T3 page and T1/T2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the filled record of Appendix C and the tests are in the repository; python -m pytest reproduces every number here with no model and no API key. No lab transcripts are included because none are public. The DSEWiki export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is used as published, with its manifest hash stated in Section 4.4 and a download script in the README; no other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3. The nine behaviours distilled from the four public accounts, and which ones an allowlist-relative scanner can see. Only item 3 is a mechanical page; items 1 and 2 warn; the rest need environment telemetry or multi-agent corpora and are out of scope for this artifact.</w:t>
      </w:r>
    </w:p>
    <w:p>
      <w:pPr>
        <w:pStyle w:val="Heading2"/>
        <w:keepNext/>
        <w:pageBreakBefore/>
      </w:pPr>
      <w:r>
        <w:t>Appendix C. A filled containment record for one evaluation class</w:t>
      </w:r>
    </w:p>
    <w:p>
      <w:pPr>
        <w:spacing w:after="100" w:line="259" w:lineRule="auto"/>
        <w:jc w:val="both"/>
      </w:pPr>
      <w:r>
        <w:rPr>
          <w:rFonts w:ascii="Old Standard TT" w:hAnsi="Old Standard TT"/>
          <w:sz w:val="21"/>
        </w:rPr>
        <w:t>Track 1 asks whether a third party could verify compliance without access to the lab's network. This is what that verification would consume: an example record a lab could attach to an evaluation class, filled here for the ExploitGym class on our reconstruction of the Hugging Face trace. Every hash is computed from the files in the repository by experiments/make_record.py, and a test fails if the record and the files disagree. A lab would attach its own log in place of the reconstruction; nothing else in the record changes.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448"/>
        <w:gridCol w:w="6912"/>
      </w:tblGrid>
      <w:tr>
        <w:trPr>
          <w:cantSplit/>
        </w:trPr>
        <w:tc>
          <w:tcPr>
            <w:tcW w:type="dxa" w:w="2448"/>
          </w:tcPr>
          <w:p>
            <w:pPr>
              <w:spacing w:line="269" w:lineRule="auto" w:after="0" w:before="0"/>
            </w:pPr>
            <w:r>
              <w:rPr>
                <w:rFonts w:ascii="Old Standard TT" w:hAnsi="Old Standard TT"/>
              </w:rPr>
            </w:r>
            <w:r>
              <w:rPr>
                <w:rFonts w:ascii="Old Standard TT" w:hAnsi="Old Standard TT"/>
                <w:b/>
                <w:sz w:val="16"/>
              </w:rPr>
              <w:t>Field</w:t>
            </w:r>
          </w:p>
        </w:tc>
        <w:tc>
          <w:tcPr>
            <w:tcW w:type="dxa" w:w="6912"/>
          </w:tcPr>
          <w:p>
            <w:pPr>
              <w:spacing w:line="269" w:lineRule="auto" w:after="0" w:before="0"/>
            </w:pPr>
            <w:r>
              <w:rPr>
                <w:rFonts w:ascii="Old Standard TT" w:hAnsi="Old Standard TT"/>
              </w:rPr>
            </w:r>
            <w:r>
              <w:rPr>
                <w:rFonts w:ascii="Old Standard TT" w:hAnsi="Old Standard TT"/>
                <w:b/>
                <w:sz w:val="16"/>
              </w:rPr>
              <w:t>Value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Evaluation class</w:t>
            </w:r>
          </w:p>
        </w:tc>
        <w:tc>
          <w:tcPr>
            <w:tcW w:type="dxa" w:w="6912"/>
          </w:tcPr>
          <w:p>
            <w:pPr>
              <w:spacing w:line="269" w:lineRule="auto" w:after="0" w:before="0"/>
            </w:pPr>
            <w:r>
              <w:rPr>
                <w:rFonts w:ascii="Old Standard TT" w:hAnsi="Old Standard TT"/>
              </w:rPr>
            </w:r>
            <w:r>
              <w:rPr>
                <w:rFonts w:ascii="Old Standard TT" w:hAnsi="Old Standard TT"/>
                <w:b w:val="0"/>
                <w:sz w:val="16"/>
              </w:rPr>
              <w:t>exploitgym-cyber-eval  (filled 2026-09-14)</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Declared scope</w:t>
            </w:r>
          </w:p>
        </w:tc>
        <w:tc>
          <w:tcPr>
            <w:tcW w:type="dxa" w:w="6912"/>
          </w:tcPr>
          <w:p>
            <w:pPr>
              <w:spacing w:line="269" w:lineRule="auto" w:after="0" w:before="0"/>
            </w:pPr>
            <w:r>
              <w:rPr>
                <w:rFonts w:ascii="Old Standard TT" w:hAnsi="Old Standard TT"/>
              </w:rPr>
            </w:r>
            <w:r>
              <w:rPr>
                <w:rFonts w:ascii="Old Standard TT" w:hAnsi="Old Standard TT"/>
                <w:b w:val="0"/>
                <w:sz w:val="16"/>
              </w:rPr>
              <w:t>allowlists/exploitgym.json</w:t>
              <w:br/>
              <w:t>sha256 f6484df479ecce81f61f4e5b3861cd01f25696e0fbc2f572de20b7903e65dc93</w:t>
              <w:br/>
              <w:t>allowed_hosts: api.anthropic.com, api.openai.com, artifactory.internal; internet_expected: false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Trace</w:t>
            </w:r>
          </w:p>
        </w:tc>
        <w:tc>
          <w:tcPr>
            <w:tcW w:type="dxa" w:w="6912"/>
          </w:tcPr>
          <w:p>
            <w:pPr>
              <w:spacing w:line="269" w:lineRule="auto" w:after="0" w:before="0"/>
            </w:pPr>
            <w:r>
              <w:rPr>
                <w:rFonts w:ascii="Old Standard TT" w:hAnsi="Old Standard TT"/>
              </w:rPr>
            </w:r>
            <w:r>
              <w:rPr>
                <w:rFonts w:ascii="Old Standard TT" w:hAnsi="Old Standard TT"/>
                <w:b w:val="0"/>
                <w:sz w:val="16"/>
              </w:rPr>
              <w:t>traces/hf_openai.json  (7 events)</w:t>
              <w:br/>
              <w:t>sha256 2aaaf0f915fa346821c43987207ef48ee60c674af734ba9597fa5ab2a48fcdf7</w:t>
              <w:br/>
              <w:t>RECONSTRUCTION from the public record (huggingface.co/blog/agent-intrusion-technical-timeline; openai.com/index/hugging-face-model-evaluation-security-incident). A lab would attach its own log.</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First out-of-scope stated destination</w:t>
            </w:r>
          </w:p>
        </w:tc>
        <w:tc>
          <w:tcPr>
            <w:tcW w:type="dxa" w:w="6912"/>
          </w:tcPr>
          <w:p>
            <w:pPr>
              <w:spacing w:line="269" w:lineRule="auto" w:after="0" w:before="0"/>
            </w:pPr>
            <w:r>
              <w:rPr>
                <w:rFonts w:ascii="Old Standard TT" w:hAnsi="Old Standard TT"/>
              </w:rPr>
            </w:r>
            <w:r>
              <w:rPr>
                <w:rFonts w:ascii="Old Standard TT" w:hAnsi="Old Standard TT"/>
                <w:b w:val="0"/>
                <w:sz w:val="16"/>
              </w:rPr>
              <w:t>event 3: cybergym-fn-7bf.modal.run</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Verdict</w:t>
            </w:r>
          </w:p>
        </w:tc>
        <w:tc>
          <w:tcPr>
            <w:tcW w:type="dxa" w:w="6912"/>
          </w:tcPr>
          <w:p>
            <w:pPr>
              <w:spacing w:line="269" w:lineRule="auto" w:after="0" w:before="0"/>
            </w:pPr>
            <w:r>
              <w:rPr>
                <w:rFonts w:ascii="Old Standard TT" w:hAnsi="Old Standard TT"/>
              </w:rPr>
            </w:r>
            <w:r>
              <w:rPr>
                <w:rFonts w:ascii="Old Standard TT" w:hAnsi="Old Standard TT"/>
                <w:b w:val="0"/>
                <w:sz w:val="16"/>
              </w:rPr>
              <w:t>PAGE  (3 warn-only findings, never paged)</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Who can recompute it, and how</w:t>
            </w:r>
          </w:p>
        </w:tc>
        <w:tc>
          <w:tcPr>
            <w:tcW w:type="dxa" w:w="6912"/>
          </w:tcPr>
          <w:p>
            <w:pPr>
              <w:spacing w:line="269" w:lineRule="auto" w:after="0" w:before="0"/>
            </w:pPr>
            <w:r>
              <w:rPr>
                <w:rFonts w:ascii="Old Standard TT" w:hAnsi="Old Standard TT"/>
              </w:rPr>
            </w:r>
            <w:r>
              <w:rPr>
                <w:rFonts w:ascii="Old Standard TT" w:hAnsi="Old Standard TT"/>
                <w:b w:val="0"/>
                <w:sz w:val="16"/>
              </w:rPr>
              <w:t>sentinel score traces/hf_openai.json</w:t>
              <w:br/>
              <w:t>the two files above and this repository; no network, no model, no API key</w:t>
              <w:br/>
              <w:t>core.py sha256 1691ce806d1624dc…, extract.py sha256 4f3e4cc85fa4a478…</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What the record does not establish</w:t>
            </w:r>
          </w:p>
        </w:tc>
        <w:tc>
          <w:tcPr>
            <w:tcW w:type="dxa" w:w="6912"/>
          </w:tcPr>
          <w:p>
            <w:pPr>
              <w:spacing w:line="269" w:lineRule="auto" w:after="0" w:before="0"/>
            </w:pPr>
            <w:r>
              <w:rPr>
                <w:rFonts w:ascii="Old Standard TT" w:hAnsi="Old Standard TT"/>
              </w:rPr>
            </w:r>
            <w:r>
              <w:rPr>
                <w:rFonts w:ascii="Old Standard TT" w:hAnsi="Old Standard TT"/>
                <w:b w:val="0"/>
                <w:sz w:val="16"/>
              </w:rPr>
              <w:t>• that the escape was prevented (page != prevent)</w:t>
              <w:br/>
              <w:t>• anything about traffic through allowlisted hosts (SSRF via a permitted proxy is invisible)</w:t>
              <w:br/>
              <w:t>• anything about destinations the agent reached but did not state (declared, not observed, action)</w:t>
            </w:r>
          </w:p>
        </w:tc>
      </w:tr>
    </w:tbl>
    <w:p>
      <w:pPr>
        <w:spacing w:line="312" w:lineRule="auto" w:before="140" w:after="200"/>
      </w:pPr>
      <w:r>
        <w:rPr>
          <w:rFonts w:ascii="Old Standard TT" w:hAnsi="Old Standard TT"/>
          <w:i/>
          <w:sz w:val="19"/>
        </w:rPr>
        <w:t>Table 4. The filled record, verbatim from records/exploitgym-cyber-eval.json. A second party recomputes the verdict from the two hashed files and the repository, offline. The trace here is a reconstruction; the record format does not depend on that.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