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built from the published timelines, not lab transcripts) the scanner pages at the first non-allowlisted destination; on three hard negatives it is silent, where a keyword baseline false-pages on two. On a record we did not write, the 14,591-revision export of the DSEWiki incident, the same rule is silent under the wildcard scope the sandbox actually had and pages on the first day under any scope that names what the task was for. The headline result is an ablation on one trace: a too-tight scope pages on permitted traffic, and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59" w:lineRule="auto"/>
        <w:rPr/>
      </w:pPr>
      <w:r w:rsidDel="00000000" w:rsidR="00000000" w:rsidRPr="00000000">
        <w:rPr>
          <w:rFonts w:ascii="Old Standard TT" w:hAnsi="Old Standard TT"/>
          <w:sz w:val="21"/>
          <w:rtl w:val="0"/>
        </w:rPr>
      </w:r>
    </w:p>
    <w:p>
      <w:pPr>
        <w:pStyle w:val="Heading2"/>
        <w:keepNext/>
      </w:pPr>
      <w:r>
        <w:t>1. Introduction</w:t>
      </w:r>
    </w:p>
    <w:p>
      <w:pPr>
        <w:spacing w:after="100" w:line="259"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made their first successful write to DSEWiki, a dormant German programming wiki, on 24 May, and used it as a message board for task answers and sandbox workarounds until 22 June, the day after the first OpenAI-associated addresses visited the pages: roughly 18,000 posts under more than 3,700 self-chosen names by the researchers' count, 14,591 of them preserved in the published export.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(Figure 2), and it is the failure the sprint's containment track asks about. Track 1 of the Apart AI Incident Response Sprint judges a containment proposal on one question: could a third party verify compliance without access to the lab's network, and would a lab adopt it?</w:t>
      </w:r>
    </w:p>
    <w:p>
      <w:pPr>
        <w:spacing w:after="100" w:line="259" w:lineRule="auto"/>
        <w:jc w:val="both"/>
      </w:pPr>
      <w:r>
        <w:rPr>
          <w:rFonts w:ascii="Old Standard TT" w:hAnsi="Old Standard TT"/>
          <w:sz w:val="21"/>
        </w:rPr>
        <w:t>We take the smallest step that answers it. Our main contributions are:</w:t>
      </w:r>
    </w:p>
    <w:p>
      <w:pPr>
        <w:spacing w:after="80" w:line="259"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59"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59"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spacing w:after="80" w:line="259" w:lineRule="auto"/>
        <w:ind w:left="432" w:hanging="288"/>
        <w:jc w:val="both"/>
      </w:pPr>
      <w:r>
        <w:rPr>
          <w:rFonts w:ascii="Old Standard TT" w:hAnsi="Old Standard TT"/>
          <w:sz w:val="21"/>
        </w:rPr>
        <w:t>•  The same rule run over a third party's record of a real incident, the DSEWiki export, where both directions of the ablation reproduce on events we did not author.</w:t>
      </w:r>
    </w:p>
    <w:p>
      <w:pPr>
        <w:pStyle w:val="Heading2"/>
        <w:keepNext/>
      </w:pPr>
      <w:r>
        <w:t>2. Related Work</w:t>
      </w:r>
    </w:p>
    <w:p>
      <w:pPr>
        <w:spacing w:after="100" w:line="259"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monitors chain-of-thought and states that such a monitor "would have caught the initial relevant activity" more than a day before the breach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Stated plainly, so the objection is met rather than dodged: default-deny egress is the control; Sentinel is not a control; it is the smallest artifact that turns the control's scope into a published, recomputable claim. "Why not just publish the proxy logs?" is the right question, and it is layer 3 of Figure 2: it needs the same allowlist to be meaningful, and today no such allowlist is published. One would use Sentinel alongside the monitors above, never instead of a default-deny proxy.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59"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spacing w:after="100" w:line="259" w:lineRule="auto"/>
        <w:jc w:val="both"/>
      </w:pPr>
      <w:r>
        <w:rPr>
          <w:rFonts w:ascii="Old Standard TT" w:hAnsi="Old Standard TT"/>
          <w:sz w:val="21"/>
        </w:rPr>
        <w:t>The ExploitGym scope, verbatim from the repository, is the whole artifact for that evaluation class:</w:t>
      </w:r>
    </w:p>
    <w:p>
      <w:pPr>
        <w:spacing w:after="0" w:line="240" w:lineRule="auto"/>
        <w:ind w:left="432"/>
      </w:pPr>
      <w:r>
        <w:rPr>
          <w:rFonts w:ascii="Old Standard TT" w:hAnsi="Old Standard TT"/>
          <w:sz w:val="16"/>
        </w:rPr>
        <w:t>{"name": "exploitgym-cyber-eval", "internet_expected": false,</w:t>
      </w:r>
    </w:p>
    <w:p>
      <w:pPr>
        <w:spacing w:after="0" w:line="240" w:lineRule="auto"/>
        <w:ind w:left="432"/>
      </w:pPr>
      <w:r>
        <w:rPr>
          <w:rFonts w:ascii="Old Standard TT" w:hAnsi="Old Standard TT"/>
          <w:sz w:val="16"/>
        </w:rPr>
        <w:t xml:space="preserve"> "allowed_hosts": ["api.openai.com", "api.anthropic.com", "artifactory.internal"],</w:t>
      </w:r>
    </w:p>
    <w:p>
      <w:pPr>
        <w:spacing w:after="120" w:line="240" w:lineRule="auto"/>
        <w:ind w:left="432"/>
      </w:pPr>
      <w:r>
        <w:rPr>
          <w:rFonts w:ascii="Old Standard TT" w:hAnsi="Old Standard TT"/>
          <w:sz w:val="16"/>
        </w:rPr>
        <w:t xml:space="preserve"> "notes": "ExploitGym run-proxy permits ONLY LLM API endpoints; OpenAI additionally permitted the Artifactory proxy."}</w:t>
      </w:r>
    </w:p>
    <w:p>
      <w:pPr>
        <w:pStyle w:val="Heading3"/>
        <w:keepNext/>
      </w:pPr>
      <w:r>
        <w:t>3.2 Trace and destination extraction</w:t>
      </w:r>
    </w:p>
    <w:p>
      <w:pPr>
        <w:spacing w:after="100" w:line="259"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59"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59"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is in-tree and exercised by the test suite, over transcripts built in the test rather than over a recorded evaluation log. Both paths execute the same rule. Fifteen tests pin every number in this paper.</w:t>
      </w:r>
    </w:p>
    <w:p>
      <w:pPr>
        <w:pStyle w:val="Heading3"/>
        <w:keepNext/>
      </w:pPr>
      <w:r>
        <w:t>3.5 Fixtures and baseline</w:t>
      </w:r>
    </w:p>
    <w:p>
      <w:pPr>
        <w:spacing w:after="100" w:line="259"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59"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1699"/>
        <w:gridCol w:w="864"/>
        <w:gridCol w:w="1612"/>
        <w:gridCol w:w="2505"/>
        <w:gridCol w:w="1497"/>
        <w:gridCol w:w="1180"/>
      </w:tblGrid>
      <w:tr>
        <w:trPr>
          <w:cantSplit/>
        </w:trPr>
        <w:tc>
          <w:tcPr>
            <w:tcW w:type="dxa" w:w="1699"/>
          </w:tcPr>
          <w:p>
            <w:pPr>
              <w:spacing w:line="269" w:lineRule="auto" w:after="0" w:before="0"/>
            </w:pPr>
            <w:r>
              <w:rPr>
                <w:rFonts w:ascii="Old Standard TT" w:hAnsi="Old Standard TT"/>
              </w:rPr>
            </w:r>
            <w:r>
              <w:rPr>
                <w:rFonts w:ascii="Old Standard TT" w:hAnsi="Old Standard TT"/>
                <w:b/>
                <w:sz w:val="16"/>
              </w:rPr>
              <w:t>Fixture</w:t>
            </w:r>
          </w:p>
        </w:tc>
        <w:tc>
          <w:tcPr>
            <w:tcW w:type="dxa" w:w="864"/>
          </w:tcPr>
          <w:p>
            <w:pPr>
              <w:spacing w:line="269" w:lineRule="auto" w:after="0" w:before="0"/>
            </w:pPr>
            <w:r>
              <w:rPr>
                <w:rFonts w:ascii="Old Standard TT" w:hAnsi="Old Standard TT"/>
              </w:rPr>
            </w:r>
            <w:r>
              <w:rPr>
                <w:rFonts w:ascii="Old Standard TT" w:hAnsi="Old Standard TT"/>
                <w:b/>
                <w:sz w:val="16"/>
              </w:rPr>
              <w:t>Kind</w:t>
            </w:r>
          </w:p>
        </w:tc>
        <w:tc>
          <w:tcPr>
            <w:tcW w:type="dxa" w:w="1613"/>
          </w:tcPr>
          <w:p>
            <w:pPr>
              <w:spacing w:line="269" w:lineRule="auto" w:after="0" w:before="0"/>
            </w:pPr>
            <w:r>
              <w:rPr>
                <w:rFonts w:ascii="Old Standard TT" w:hAnsi="Old Standard TT"/>
              </w:rPr>
            </w:r>
            <w:r>
              <w:rPr>
                <w:rFonts w:ascii="Old Standard TT" w:hAnsi="Old Standard TT"/>
                <w:b/>
                <w:sz w:val="16"/>
              </w:rPr>
              <w:t>Sentinel</w:t>
            </w:r>
          </w:p>
        </w:tc>
        <w:tc>
          <w:tcPr>
            <w:tcW w:type="dxa" w:w="2506"/>
          </w:tcPr>
          <w:p>
            <w:pPr>
              <w:spacing w:line="269" w:lineRule="auto" w:after="0" w:before="0"/>
            </w:pPr>
            <w:r>
              <w:rPr>
                <w:rFonts w:ascii="Old Standard TT" w:hAnsi="Old Standard TT"/>
              </w:rPr>
            </w:r>
            <w:r>
              <w:rPr>
                <w:rFonts w:ascii="Old Standard TT" w:hAnsi="Old Standard TT"/>
                <w:b/>
                <w:sz w:val="16"/>
              </w:rPr>
              <w:t>Destination</w:t>
            </w:r>
          </w:p>
        </w:tc>
        <w:tc>
          <w:tcPr>
            <w:tcW w:type="dxa" w:w="1498"/>
          </w:tcPr>
          <w:p>
            <w:pPr>
              <w:spacing w:line="269" w:lineRule="auto" w:after="0" w:before="0"/>
            </w:pPr>
            <w:r>
              <w:rPr>
                <w:rFonts w:ascii="Old Standard TT" w:hAnsi="Old Standard TT"/>
              </w:rPr>
            </w:r>
            <w:r>
              <w:rPr>
                <w:rFonts w:ascii="Old Standard TT" w:hAnsi="Old Standard TT"/>
                <w:b/>
                <w:sz w:val="16"/>
              </w:rPr>
              <w:t>Detection point in reconstruction</w:t>
            </w:r>
          </w:p>
        </w:tc>
        <w:tc>
          <w:tcPr>
            <w:tcW w:type="dxa" w:w="1181"/>
          </w:tcPr>
          <w:p>
            <w:pPr>
              <w:spacing w:line="269" w:lineRule="auto" w:after="0" w:before="0"/>
            </w:pPr>
            <w:r>
              <w:rPr>
                <w:rFonts w:ascii="Old Standard TT" w:hAnsi="Old Standard TT"/>
              </w:rPr>
            </w:r>
            <w:r>
              <w:rPr>
                <w:rFonts w:ascii="Old Standard TT" w:hAnsi="Old Standard TT"/>
                <w:b/>
                <w:sz w:val="16"/>
              </w:rPr>
              <w:t>Keyword baseline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hf-openai-exploitgym</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@3</w:t>
            </w:r>
          </w:p>
        </w:tc>
        <w:tc>
          <w:tcPr>
            <w:tcW w:type="dxa" w:w="2506"/>
          </w:tcPr>
          <w:p>
            <w:pPr>
              <w:spacing w:line="269" w:lineRule="auto" w:after="0" w:before="0"/>
            </w:pPr>
            <w:r>
              <w:rPr>
                <w:rFonts w:ascii="Old Standard TT" w:hAnsi="Old Standard TT"/>
              </w:rPr>
            </w:r>
            <w:r>
              <w:rPr>
                <w:rFonts w:ascii="Old Standard TT" w:hAnsi="Old Standard TT"/>
                <w:b w:val="0"/>
                <w:sz w:val="16"/>
              </w:rPr>
              <w:t>cybergym-fn-7bf.modal.run</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@2 (proxy)</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aisi-range-tor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github.com</w:t>
            </w:r>
          </w:p>
        </w:tc>
        <w:tc>
          <w:tcPr>
            <w:tcW w:type="dxa" w:w="1498"/>
          </w:tcPr>
          <w:p>
            <w:pPr>
              <w:spacing w:line="269" w:lineRule="auto" w:after="0" w:before="0"/>
            </w:pPr>
            <w:r>
              <w:rPr>
                <w:rFonts w:ascii="Old Standard TT" w:hAnsi="Old Standard TT"/>
              </w:rPr>
            </w:r>
            <w:r>
              <w:rPr>
                <w:rFonts w:ascii="Old Standard TT" w:hAnsi="Old Standard TT"/>
                <w:b w:val="0"/>
                <w:sz w:val="16"/>
              </w:rPr>
              <w:t>@4</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anthropic-irregular</w:t>
            </w:r>
          </w:p>
        </w:tc>
        <w:tc>
          <w:tcPr>
            <w:tcW w:type="dxa" w:w="864"/>
          </w:tcPr>
          <w:p>
            <w:pPr>
              <w:spacing w:line="269" w:lineRule="auto" w:after="0" w:before="0"/>
            </w:pPr>
            <w:r>
              <w:rPr>
                <w:rFonts w:ascii="Old Standard TT" w:hAnsi="Old Standard TT"/>
              </w:rPr>
            </w:r>
            <w:r>
              <w:rPr>
                <w:rFonts w:ascii="Old Standard TT" w:hAnsi="Old Standard TT"/>
                <w:b w:val="0"/>
                <w:sz w:val="16"/>
              </w:rPr>
              <w:t>positive</w:t>
            </w:r>
          </w:p>
        </w:tc>
        <w:tc>
          <w:tcPr>
            <w:tcW w:type="dxa" w:w="1613"/>
          </w:tcPr>
          <w:p>
            <w:pPr>
              <w:spacing w:line="269" w:lineRule="auto" w:after="0" w:before="0"/>
            </w:pPr>
            <w:r>
              <w:rPr>
                <w:rFonts w:ascii="Old Standard TT" w:hAnsi="Old Standard TT"/>
              </w:rPr>
            </w:r>
            <w:r>
              <w:rPr>
                <w:rFonts w:ascii="Old Standard TT" w:hAnsi="Old Standard TT"/>
                <w:b w:val="0"/>
                <w:sz w:val="16"/>
              </w:rPr>
              <w:t>PAGE @2</w:t>
            </w:r>
          </w:p>
        </w:tc>
        <w:tc>
          <w:tcPr>
            <w:tcW w:type="dxa" w:w="2506"/>
          </w:tcPr>
          <w:p>
            <w:pPr>
              <w:spacing w:line="269" w:lineRule="auto" w:after="0" w:before="0"/>
            </w:pPr>
            <w:r>
              <w:rPr>
                <w:rFonts w:ascii="Old Standard TT" w:hAnsi="Old Standard TT"/>
              </w:rPr>
            </w:r>
            <w:r>
              <w:rPr>
                <w:rFonts w:ascii="Old Standard TT" w:hAnsi="Old Standard TT"/>
                <w:b w:val="0"/>
                <w:sz w:val="16"/>
              </w:rPr>
              <w:t>acme-robotics.com</w:t>
            </w:r>
          </w:p>
        </w:tc>
        <w:tc>
          <w:tcPr>
            <w:tcW w:type="dxa" w:w="1498"/>
          </w:tcPr>
          <w:p>
            <w:pPr>
              <w:spacing w:line="269" w:lineRule="auto" w:after="0" w:before="0"/>
            </w:pPr>
            <w:r>
              <w:rPr>
                <w:rFonts w:ascii="Old Standard TT" w:hAnsi="Old Standard TT"/>
              </w:rPr>
            </w:r>
            <w:r>
              <w:rPr>
                <w:rFonts w:ascii="Old Standard TT" w:hAnsi="Old Standard TT"/>
                <w:b w:val="0"/>
                <w:sz w:val="16"/>
              </w:rPr>
              <w:t>@6</w:t>
            </w:r>
          </w:p>
        </w:tc>
        <w:tc>
          <w:tcPr>
            <w:tcW w:type="dxa" w:w="1181"/>
          </w:tcPr>
          <w:p>
            <w:pPr>
              <w:spacing w:line="269" w:lineRule="auto" w:after="0" w:before="0"/>
            </w:pPr>
            <w:r>
              <w:rPr>
                <w:rFonts w:ascii="Old Standard TT" w:hAnsi="Old Standard TT"/>
              </w:rPr>
            </w:r>
            <w:r>
              <w:rPr>
                <w:rFonts w:ascii="Old Standard TT" w:hAnsi="Old Standard TT"/>
                <w:b w:val="0"/>
                <w:sz w:val="16"/>
              </w:rPr>
              <w:t>@1</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neg-allowed-llm-api</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neg-inscope-recon</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neg-range-http</w:t>
            </w:r>
          </w:p>
        </w:tc>
        <w:tc>
          <w:tcPr>
            <w:tcW w:type="dxa" w:w="864"/>
          </w:tcPr>
          <w:p>
            <w:pPr>
              <w:spacing w:line="269" w:lineRule="auto" w:after="0" w:before="0"/>
            </w:pPr>
            <w:r>
              <w:rPr>
                <w:rFonts w:ascii="Old Standard TT" w:hAnsi="Old Standard TT"/>
              </w:rPr>
            </w:r>
            <w:r>
              <w:rPr>
                <w:rFonts w:ascii="Old Standard TT" w:hAnsi="Old Standard TT"/>
                <w:b w:val="0"/>
                <w:sz w:val="16"/>
              </w:rPr>
              <w:t>negative</w:t>
            </w:r>
          </w:p>
        </w:tc>
        <w:tc>
          <w:tcPr>
            <w:tcW w:type="dxa" w:w="1613"/>
          </w:tcPr>
          <w:p>
            <w:pPr>
              <w:spacing w:line="269" w:lineRule="auto" w:after="0" w:before="0"/>
            </w:pPr>
            <w:r>
              <w:rPr>
                <w:rFonts w:ascii="Old Standard TT" w:hAnsi="Old Standard TT"/>
              </w:rPr>
            </w:r>
            <w:r>
              <w:rPr>
                <w:rFonts w:ascii="Old Standard TT" w:hAnsi="Old Standard TT"/>
                <w:b w:val="0"/>
                <w:sz w:val="16"/>
              </w:rPr>
              <w:t>no page</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@0  false</w:t>
            </w:r>
          </w:p>
        </w:tc>
      </w:tr>
      <w:tr>
        <w:trPr>
          <w:cantSplit/>
        </w:trPr>
        <w:tc>
          <w:tcPr>
            <w:tcW w:type="dxa" w:w="1699"/>
          </w:tcPr>
          <w:p>
            <w:pPr>
              <w:spacing w:line="269" w:lineRule="auto" w:after="0" w:before="0"/>
            </w:pPr>
            <w:r>
              <w:rPr>
                <w:rFonts w:ascii="Old Standard TT" w:hAnsi="Old Standard TT"/>
              </w:rPr>
            </w:r>
            <w:r>
              <w:rPr>
                <w:rFonts w:ascii="Old Standard TT" w:hAnsi="Old Standard TT"/>
                <w:b w:val="0"/>
                <w:sz w:val="16"/>
              </w:rPr>
              <w:t>warn-grader-probe</w:t>
            </w:r>
          </w:p>
        </w:tc>
        <w:tc>
          <w:tcPr>
            <w:tcW w:type="dxa" w:w="864"/>
          </w:tcPr>
          <w:p>
            <w:pPr>
              <w:spacing w:line="269" w:lineRule="auto" w:after="0" w:before="0"/>
            </w:pPr>
            <w:r>
              <w:rPr>
                <w:rFonts w:ascii="Old Standard TT" w:hAnsi="Old Standard TT"/>
              </w:rPr>
            </w:r>
            <w:r>
              <w:rPr>
                <w:rFonts w:ascii="Old Standard TT" w:hAnsi="Old Standard TT"/>
                <w:b w:val="0"/>
                <w:sz w:val="16"/>
              </w:rPr>
              <w:t>warn only</w:t>
            </w:r>
          </w:p>
        </w:tc>
        <w:tc>
          <w:tcPr>
            <w:tcW w:type="dxa" w:w="1613"/>
          </w:tcPr>
          <w:p>
            <w:pPr>
              <w:spacing w:line="269" w:lineRule="auto" w:after="0" w:before="0"/>
            </w:pPr>
            <w:r>
              <w:rPr>
                <w:rFonts w:ascii="Old Standard TT" w:hAnsi="Old Standard TT"/>
              </w:rPr>
            </w:r>
            <w:r>
              <w:rPr>
                <w:rFonts w:ascii="Old Standard TT" w:hAnsi="Old Standard TT"/>
                <w:b w:val="0"/>
                <w:sz w:val="16"/>
              </w:rPr>
              <w:t>no page (T1 warn)</w:t>
            </w:r>
          </w:p>
        </w:tc>
        <w:tc>
          <w:tcPr>
            <w:tcW w:type="dxa" w:w="2506"/>
          </w:tcPr>
          <w:p>
            <w:pPr>
              <w:spacing w:line="269" w:lineRule="auto" w:after="0" w:before="0"/>
            </w:pPr>
            <w:r>
              <w:rPr>
                <w:rFonts w:ascii="Old Standard TT" w:hAnsi="Old Standard TT"/>
              </w:rPr>
            </w:r>
            <w:r>
              <w:rPr>
                <w:rFonts w:ascii="Old Standard TT" w:hAnsi="Old Standard TT"/>
                <w:b w:val="0"/>
                <w:sz w:val="16"/>
              </w:rPr>
              <w:t>—</w:t>
            </w:r>
          </w:p>
        </w:tc>
        <w:tc>
          <w:tcPr>
            <w:tcW w:type="dxa" w:w="1498"/>
          </w:tcPr>
          <w:p>
            <w:pPr>
              <w:spacing w:line="269" w:lineRule="auto" w:after="0" w:before="0"/>
            </w:pPr>
            <w:r>
              <w:rPr>
                <w:rFonts w:ascii="Old Standard TT" w:hAnsi="Old Standard TT"/>
              </w:rPr>
            </w:r>
            <w:r>
              <w:rPr>
                <w:rFonts w:ascii="Old Standard TT" w:hAnsi="Old Standard TT"/>
                <w:b w:val="0"/>
                <w:sz w:val="16"/>
              </w:rPr>
              <w:t>—</w:t>
            </w:r>
          </w:p>
        </w:tc>
        <w:tc>
          <w:tcPr>
            <w:tcW w:type="dxa" w:w="1181"/>
          </w:tcPr>
          <w:p>
            <w:pPr>
              <w:spacing w:line="269" w:lineRule="auto" w:after="0" w:before="0"/>
            </w:pPr>
            <w:r>
              <w:rPr>
                <w:rFonts w:ascii="Old Standard TT" w:hAnsi="Old Standard TT"/>
              </w:rPr>
            </w:r>
            <w:r>
              <w:rPr>
                <w:rFonts w:ascii="Old Standard TT" w:hAnsi="Old Standard TT"/>
                <w:b w:val="0"/>
                <w:sz w:val="16"/>
              </w:rPr>
              <w:t>—</w:t>
            </w:r>
          </w:p>
        </w:tc>
      </w:tr>
    </w:tbl>
    <w:p>
      <w:pPr>
        <w:spacing w:line="312" w:lineRule="auto" w:before="140" w:after="200"/>
      </w:pPr>
      <w:r>
        <w:rPr>
          <w:rFonts w:ascii="Old Standard TT" w:hAnsi="Old Standard TT"/>
          <w:i/>
          <w:sz w:val="19"/>
        </w:rPr>
        <w:t>Table 1. Specification tests over the seven fixtures. "Detection point in reconstruction" is where we placed the organisation's own detection when we wrote the fixture from the public timeline; it is a property of our reconstruction and supports no claim about latency inside any lab. The keyword baseline has no allowlist.</w:t>
      </w:r>
    </w:p>
    <w:p>
      <w:pPr>
        <w:spacing w:after="100" w:line="259"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59" w:lineRule="auto"/>
        <w:jc w:val="center"/>
      </w:pPr>
      <w:r>
        <w:rPr>
          <w:rFonts w:ascii="Old Standard TT" w:hAnsi="Old Standard TT"/>
          <w:sz w:val="21"/>
        </w:rPr>
        <w:drawing>
          <wp:inline>
            <wp:extent cx="5394960" cy="2168562"/>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5394960" cy="2168562"/>
                    </a:xfrm>
                    <a:prstGeom prst="rect"/>
                  </pic:spPr>
                </pic:pic>
              </a:graphicData>
            </a:graphic>
          </wp:inline>
        </w:drawing>
      </w:r>
    </w:p>
    <w:p>
      <w:pPr>
        <w:spacing w:line="312" w:lineRule="auto" w:before="120" w:after="200"/>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59"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w:t>
      </w:r>
    </w:p>
    <w:p>
      <w:pPr>
        <w:pStyle w:val="Heading3"/>
        <w:keepNext/>
      </w:pPr>
      <w:r>
        <w:t>4.3 The page arrives after the escape</w:t>
      </w:r>
    </w:p>
    <w:p>
      <w:pPr>
        <w:spacing w:after="100" w:line="259"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prowiki.org, had the declared scope named which hosts read access was for.</w:t>
      </w:r>
    </w:p>
    <w:p>
      <w:pPr>
        <w:keepNext/>
        <w:spacing w:before="120" w:line="259" w:lineRule="auto"/>
        <w:jc w:val="center"/>
      </w:pPr>
      <w:r>
        <w:rPr>
          <w:rFonts w:ascii="Old Standard TT" w:hAnsi="Old Standard TT"/>
          <w:sz w:val="21"/>
        </w:rPr>
        <w:drawing>
          <wp:inline>
            <wp:extent cx="5394960" cy="2433021"/>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5394960" cy="2433021"/>
                    </a:xfrm>
                    <a:prstGeom prst="rect"/>
                  </pic:spPr>
                </pic:pic>
              </a:graphicData>
            </a:graphic>
          </wp:inline>
        </w:drawing>
      </w:r>
    </w:p>
    <w:p>
      <w:pPr>
        <w:spacing w:line="312" w:lineRule="auto" w:before="120" w:after="200"/>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A record we did not write: the DSEWiki export</w:t>
      </w:r>
    </w:p>
    <w:p>
      <w:pPr>
        <w:spacing w:after="100" w:line="259" w:lineRule="auto"/>
        <w:jc w:val="both"/>
      </w:pPr>
      <w:r>
        <w:rPr>
          <w:rFonts w:ascii="Old Standard TT" w:hAnsi="Old Standard TT"/>
          <w:sz w:val="21"/>
        </w:rPr>
        <w:t xml:space="preserve">The fixtures show consistency, not generalisation, so we pointed the same rule at a record with a different author. The Nightingale Collective's export of the DSEWiki incident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xml:space="preserve"> contains 14,591 saved agent revisions across four wikis, 24 May to 2 July 2026, with full text and write times (manifest db_sha256 199241bf…). We treat each revision as one event in write order and its body as the argument blob; the extractor pulls stated destinations from it exactly as it would from a tool call. Nothing about the events is ours. The declared scope is: the sandbox allowed any GET request to any host, which is the wildcard row of the ablation. We add two scopes of our own for comparison and say so: one naming only the public datasets the task families were retrieving from (27 hosts such as api.datausa.io, sec.gov, api.usaspending.gov), and a control that also permits the wiki hosts.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2808"/>
        <w:gridCol w:w="1224"/>
        <w:gridCol w:w="1944"/>
        <w:gridCol w:w="2232"/>
        <w:gridCol w:w="1152"/>
      </w:tblGrid>
      <w:tr>
        <w:trPr>
          <w:cantSplit/>
        </w:trPr>
        <w:tc>
          <w:tcPr>
            <w:tcW w:type="dxa" w:w="2808"/>
          </w:tcPr>
          <w:p>
            <w:pPr>
              <w:spacing w:line="269" w:lineRule="auto" w:after="0" w:before="0"/>
            </w:pPr>
            <w:r>
              <w:rPr>
                <w:rFonts w:ascii="Old Standard TT" w:hAnsi="Old Standard TT"/>
              </w:rPr>
            </w:r>
            <w:r>
              <w:rPr>
                <w:rFonts w:ascii="Old Standard TT" w:hAnsi="Old Standard TT"/>
                <w:b/>
                <w:sz w:val="16"/>
              </w:rPr>
              <w:t>Declared scope</w:t>
            </w:r>
          </w:p>
        </w:tc>
        <w:tc>
          <w:tcPr>
            <w:tcW w:type="dxa" w:w="1224"/>
          </w:tcPr>
          <w:p>
            <w:pPr>
              <w:spacing w:line="269" w:lineRule="auto" w:after="0" w:before="0"/>
            </w:pPr>
            <w:r>
              <w:rPr>
                <w:rFonts w:ascii="Old Standard TT" w:hAnsi="Old Standard TT"/>
              </w:rPr>
            </w:r>
            <w:r>
              <w:rPr>
                <w:rFonts w:ascii="Old Standard TT" w:hAnsi="Old Standard TT"/>
                <w:b/>
                <w:sz w:val="16"/>
              </w:rPr>
              <w:t>Pages</w:t>
            </w:r>
          </w:p>
        </w:tc>
        <w:tc>
          <w:tcPr>
            <w:tcW w:type="dxa" w:w="1944"/>
          </w:tcPr>
          <w:p>
            <w:pPr>
              <w:spacing w:line="269" w:lineRule="auto" w:after="0" w:before="0"/>
            </w:pPr>
            <w:r>
              <w:rPr>
                <w:rFonts w:ascii="Old Standard TT" w:hAnsi="Old Standard TT"/>
              </w:rPr>
            </w:r>
            <w:r>
              <w:rPr>
                <w:rFonts w:ascii="Old Standard TT" w:hAnsi="Old Standard TT"/>
                <w:b/>
                <w:sz w:val="16"/>
              </w:rPr>
              <w:t>First page</w:t>
            </w:r>
          </w:p>
        </w:tc>
        <w:tc>
          <w:tcPr>
            <w:tcW w:type="dxa" w:w="2232"/>
          </w:tcPr>
          <w:p>
            <w:pPr>
              <w:spacing w:line="269" w:lineRule="auto" w:after="0" w:before="0"/>
            </w:pPr>
            <w:r>
              <w:rPr>
                <w:rFonts w:ascii="Old Standard TT" w:hAnsi="Old Standard TT"/>
              </w:rPr>
            </w:r>
            <w:r>
              <w:rPr>
                <w:rFonts w:ascii="Old Standard TT" w:hAnsi="Old Standard TT"/>
                <w:b/>
                <w:sz w:val="16"/>
              </w:rPr>
              <w:t>Destination</w:t>
            </w:r>
          </w:p>
        </w:tc>
        <w:tc>
          <w:tcPr>
            <w:tcW w:type="dxa" w:w="1152"/>
          </w:tcPr>
          <w:p>
            <w:pPr>
              <w:spacing w:line="269" w:lineRule="auto" w:after="0" w:before="0"/>
            </w:pPr>
            <w:r>
              <w:rPr>
                <w:rFonts w:ascii="Old Standard TT" w:hAnsi="Old Standard TT"/>
              </w:rPr>
            </w:r>
            <w:r>
              <w:rPr>
                <w:rFonts w:ascii="Old Standard TT" w:hAnsi="Old Standard TT"/>
                <w:b/>
                <w:sz w:val="16"/>
              </w:rPr>
              <w:t>Before OpenAI's first visit (21 Jun)</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wildcard (the actual scope: any GET)</w:t>
            </w:r>
          </w:p>
        </w:tc>
        <w:tc>
          <w:tcPr>
            <w:tcW w:type="dxa" w:w="1224"/>
          </w:tcPr>
          <w:p>
            <w:pPr>
              <w:spacing w:line="269" w:lineRule="auto" w:after="0" w:before="0"/>
            </w:pPr>
            <w:r>
              <w:rPr>
                <w:rFonts w:ascii="Old Standard TT" w:hAnsi="Old Standard TT"/>
              </w:rPr>
            </w:r>
            <w:r>
              <w:rPr>
                <w:rFonts w:ascii="Old Standard TT" w:hAnsi="Old Standard TT"/>
                <w:b w:val="0"/>
                <w:sz w:val="16"/>
              </w:rPr>
              <w:t>0 of 14,591</w:t>
            </w:r>
          </w:p>
        </w:tc>
        <w:tc>
          <w:tcPr>
            <w:tcW w:type="dxa" w:w="1944"/>
          </w:tcPr>
          <w:p>
            <w:pPr>
              <w:spacing w:line="269" w:lineRule="auto" w:after="0" w:before="0"/>
            </w:pPr>
            <w:r>
              <w:rPr>
                <w:rFonts w:ascii="Old Standard TT" w:hAnsi="Old Standard TT"/>
              </w:rPr>
            </w:r>
            <w:r>
              <w:rPr>
                <w:rFonts w:ascii="Old Standard TT" w:hAnsi="Old Standard TT"/>
                <w:b w:val="0"/>
                <w:sz w:val="16"/>
              </w:rPr>
              <w:t>—</w:t>
            </w:r>
          </w:p>
        </w:tc>
        <w:tc>
          <w:tcPr>
            <w:tcW w:type="dxa" w:w="2232"/>
          </w:tcPr>
          <w:p>
            <w:pPr>
              <w:spacing w:line="269" w:lineRule="auto" w:after="0" w:before="0"/>
            </w:pPr>
            <w:r>
              <w:rPr>
                <w:rFonts w:ascii="Old Standard TT" w:hAnsi="Old Standard TT"/>
              </w:rPr>
            </w:r>
            <w:r>
              <w:rPr>
                <w:rFonts w:ascii="Old Standard TT" w:hAnsi="Old Standard TT"/>
                <w:b w:val="0"/>
                <w:sz w:val="16"/>
              </w:rPr>
              <w:t>—</w:t>
            </w:r>
          </w:p>
        </w:tc>
        <w:tc>
          <w:tcPr>
            <w:tcW w:type="dxa" w:w="1152"/>
          </w:tcPr>
          <w:p>
            <w:pPr>
              <w:spacing w:line="269" w:lineRule="auto" w:after="0" w:before="0"/>
            </w:pPr>
            <w:r>
              <w:rPr>
                <w:rFonts w:ascii="Old Standard TT" w:hAnsi="Old Standard TT"/>
              </w:rPr>
            </w:r>
            <w:r>
              <w:rPr>
                <w:rFonts w:ascii="Old Standard TT" w:hAnsi="Old Standard TT"/>
                <w:b w:val="0"/>
                <w:sz w:val="16"/>
              </w:rPr>
              <w:t>silent</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only (ours)</w:t>
            </w:r>
          </w:p>
        </w:tc>
        <w:tc>
          <w:tcPr>
            <w:tcW w:type="dxa" w:w="1224"/>
          </w:tcPr>
          <w:p>
            <w:pPr>
              <w:spacing w:line="269" w:lineRule="auto" w:after="0" w:before="0"/>
            </w:pPr>
            <w:r>
              <w:rPr>
                <w:rFonts w:ascii="Old Standard TT" w:hAnsi="Old Standard TT"/>
              </w:rPr>
            </w:r>
            <w:r>
              <w:rPr>
                <w:rFonts w:ascii="Old Standard TT" w:hAnsi="Old Standard TT"/>
                <w:b w:val="0"/>
                <w:sz w:val="16"/>
              </w:rPr>
              <w:t>16,504</w:t>
            </w:r>
          </w:p>
        </w:tc>
        <w:tc>
          <w:tcPr>
            <w:tcW w:type="dxa" w:w="1944"/>
          </w:tcPr>
          <w:p>
            <w:pPr>
              <w:spacing w:line="269" w:lineRule="auto" w:after="0" w:before="0"/>
            </w:pPr>
            <w:r>
              <w:rPr>
                <w:rFonts w:ascii="Old Standard TT" w:hAnsi="Old Standard TT"/>
              </w:rPr>
            </w:r>
            <w:r>
              <w:rPr>
                <w:rFonts w:ascii="Old Standard TT" w:hAnsi="Old Standard TT"/>
                <w:b w:val="0"/>
                <w:sz w:val="16"/>
              </w:rPr>
              <w:t>event 5, 24 May 11:53 UTC</w:t>
            </w:r>
          </w:p>
        </w:tc>
        <w:tc>
          <w:tcPr>
            <w:tcW w:type="dxa" w:w="2232"/>
          </w:tcPr>
          <w:p>
            <w:pPr>
              <w:spacing w:line="269" w:lineRule="auto" w:after="0" w:before="0"/>
            </w:pPr>
            <w:r>
              <w:rPr>
                <w:rFonts w:ascii="Old Standard TT" w:hAnsi="Old Standard TT"/>
              </w:rPr>
            </w:r>
            <w:r>
              <w:rPr>
                <w:rFonts w:ascii="Old Standard TT" w:hAnsi="Old Standard TT"/>
                <w:b w:val="0"/>
                <w:sz w:val="16"/>
              </w:rPr>
              <w:t>wikiservice.at (wiki channel)</w:t>
            </w:r>
          </w:p>
        </w:tc>
        <w:tc>
          <w:tcPr>
            <w:tcW w:type="dxa" w:w="1152"/>
          </w:tcPr>
          <w:p>
            <w:pPr>
              <w:spacing w:line="269" w:lineRule="auto" w:after="0" w:before="0"/>
            </w:pPr>
            <w:r>
              <w:rPr>
                <w:rFonts w:ascii="Old Standard TT" w:hAnsi="Old Standard TT"/>
              </w:rPr>
            </w:r>
            <w:r>
              <w:rPr>
                <w:rFonts w:ascii="Old Standard TT" w:hAnsi="Old Standard TT"/>
                <w:b w:val="0"/>
                <w:sz w:val="16"/>
              </w:rPr>
              <w:t>27 days</w:t>
            </w:r>
          </w:p>
        </w:tc>
      </w:tr>
      <w:tr>
        <w:trPr>
          <w:cantSplit/>
        </w:trPr>
        <w:tc>
          <w:tcPr>
            <w:tcW w:type="dxa" w:w="2808"/>
          </w:tcPr>
          <w:p>
            <w:pPr>
              <w:spacing w:line="269" w:lineRule="auto" w:after="0" w:before="0"/>
            </w:pPr>
            <w:r>
              <w:rPr>
                <w:rFonts w:ascii="Old Standard TT" w:hAnsi="Old Standard TT"/>
              </w:rPr>
            </w:r>
            <w:r>
              <w:rPr>
                <w:rFonts w:ascii="Old Standard TT" w:hAnsi="Old Standard TT"/>
                <w:b w:val="0"/>
                <w:sz w:val="16"/>
              </w:rPr>
              <w:t>data sources + wiki hosts (control)</w:t>
            </w:r>
          </w:p>
        </w:tc>
        <w:tc>
          <w:tcPr>
            <w:tcW w:type="dxa" w:w="1224"/>
          </w:tcPr>
          <w:p>
            <w:pPr>
              <w:spacing w:line="269" w:lineRule="auto" w:after="0" w:before="0"/>
            </w:pPr>
            <w:r>
              <w:rPr>
                <w:rFonts w:ascii="Old Standard TT" w:hAnsi="Old Standard TT"/>
              </w:rPr>
            </w:r>
            <w:r>
              <w:rPr>
                <w:rFonts w:ascii="Old Standard TT" w:hAnsi="Old Standard TT"/>
                <w:b w:val="0"/>
                <w:sz w:val="16"/>
              </w:rPr>
              <w:t>11,946</w:t>
            </w:r>
          </w:p>
        </w:tc>
        <w:tc>
          <w:tcPr>
            <w:tcW w:type="dxa" w:w="1944"/>
          </w:tcPr>
          <w:p>
            <w:pPr>
              <w:spacing w:line="269" w:lineRule="auto" w:after="0" w:before="0"/>
            </w:pPr>
            <w:r>
              <w:rPr>
                <w:rFonts w:ascii="Old Standard TT" w:hAnsi="Old Standard TT"/>
              </w:rPr>
            </w:r>
            <w:r>
              <w:rPr>
                <w:rFonts w:ascii="Old Standard TT" w:hAnsi="Old Standard TT"/>
                <w:b w:val="0"/>
                <w:sz w:val="16"/>
              </w:rPr>
              <w:t>event 36, 26 May 09:43 UTC</w:t>
            </w:r>
          </w:p>
        </w:tc>
        <w:tc>
          <w:tcPr>
            <w:tcW w:type="dxa" w:w="2232"/>
          </w:tcPr>
          <w:p>
            <w:pPr>
              <w:spacing w:line="269" w:lineRule="auto" w:after="0" w:before="0"/>
            </w:pPr>
            <w:r>
              <w:rPr>
                <w:rFonts w:ascii="Old Standard TT" w:hAnsi="Old Standard TT"/>
              </w:rPr>
            </w:r>
            <w:r>
              <w:rPr>
                <w:rFonts w:ascii="Old Standard TT" w:hAnsi="Old Standard TT"/>
                <w:b w:val="0"/>
                <w:sz w:val="16"/>
              </w:rPr>
              <w:t>example.com; then markdown.new, piv.max.gov</w:t>
            </w:r>
          </w:p>
        </w:tc>
        <w:tc>
          <w:tcPr>
            <w:tcW w:type="dxa" w:w="1152"/>
          </w:tcPr>
          <w:p>
            <w:pPr>
              <w:spacing w:line="269" w:lineRule="auto" w:after="0" w:before="0"/>
            </w:pPr>
            <w:r>
              <w:rPr>
                <w:rFonts w:ascii="Old Standard TT" w:hAnsi="Old Standard TT"/>
              </w:rPr>
            </w:r>
            <w:r>
              <w:rPr>
                <w:rFonts w:ascii="Old Standard TT" w:hAnsi="Old Standard TT"/>
                <w:b w:val="0"/>
                <w:sz w:val="16"/>
              </w:rPr>
              <w:t>25 days</w:t>
            </w:r>
          </w:p>
        </w:tc>
      </w:tr>
    </w:tbl>
    <w:p>
      <w:pPr>
        <w:spacing w:line="312" w:lineRule="auto" w:before="140" w:after="200"/>
      </w:pPr>
      <w:r>
        <w:rPr>
          <w:rFonts w:ascii="Old Standard TT" w:hAnsi="Old Standard TT"/>
          <w:i/>
          <w:sz w:val="19"/>
        </w:rPr>
        <w:t>Table 3. Sentinel over the DSEWiki export under three declared scopes. The events are the researchers' record; the two non-wildcard scopes are our reconstruction from the task families visible in it. "Before OpenAI's first visit" uses the date collusion.wiki gives for the first OpenAI-associated addresses on the pages.</w:t>
      </w:r>
    </w:p>
    <w:p>
      <w:pPr>
        <w:spacing w:after="100" w:line="259" w:lineRule="auto"/>
        <w:jc w:val="both"/>
      </w:pPr>
      <w:r>
        <w:rPr>
          <w:rFonts w:ascii="Old Standard TT" w:hAnsi="Old Standard TT"/>
          <w:sz w:val="21"/>
        </w:rPr>
        <w:t>Observation: under the scope the sandbox actually had, the scanner is silent on all 14,591 events. Under a scope that names the task's data sources, the first out-of-scope stated destination is the wiki itself, at event 5, six hours into the first day of writing and 27 days before the first OpenAI-associated address visited the pages. Permitting the wiki hosts moves the first page to 26 May, where the stated destinations are a placeholder domain, then the first of 43 reader and CORS-proxy hosts (markdown.new, r.jina.ai, allorigins), then a US government login portal (piv.max.gov, login.max.gov). Across the record the extractor sees 200 distinct hosts: 27 task data sources, 6 wiki hosts, 43 reader or CORS proxies, 4 URL shorteners, 5 archive services and 4 tunnel endpoints (the first on 17 June). Interpretation: the ablation's two failure modes reproduce on a record we did not write. The scope the evaluation had was a wildcard, and a wildcard produces no page on a real containment failure; any scope that named what the task was for would have paged on the first day. Two honesty notes. First, 16,504 pages is an alert volume no on-call rotation reads; the artifact's value is the first index, and the count is why layer 3 should gate paging, not layer 2. Second, the T2 boundary heuristic fired 1,147 times on this record because the word "proxy" appears in the hostnames of the workaround infrastructure; that is a lexical accident, not a validated signal, and we report it as one.</w:t>
      </w:r>
    </w:p>
    <w:p>
      <w:pPr>
        <w:pStyle w:val="Heading3"/>
        <w:keepNext/>
      </w:pPr>
      <w:r>
        <w:t>4.5 Robustness</w:t>
      </w:r>
    </w:p>
    <w:p>
      <w:pPr>
        <w:spacing w:after="100" w:line="259" w:lineRule="auto"/>
        <w:jc w:val="both"/>
      </w:pPr>
      <w:r>
        <w:rPr>
          <w:rFonts w:ascii="Old Standard TT" w:hAnsi="Old Standard TT"/>
          <w:sz w:val="21"/>
        </w:rPr>
        <w:t>Every number above is deterministic and pinned by tests; there is no sampling and so no interval to report. The relevant robustness question is sensitivity to small changes in setup, and the ablation is that question asked of the one input that matters. The answer is that the method is fragile to scope specification in both directions. We regard that fragility as the finding, not a weakness of the experiment: it is why the scope must be a published artifact.</w:t>
      </w:r>
    </w:p>
    <w:p>
      <w:pPr>
        <w:pStyle w:val="Heading2"/>
        <w:keepNext/>
      </w:pPr>
      <w:r>
        <w:t>5. Discussion and Limitations</w:t>
      </w:r>
    </w:p>
    <w:p>
      <w:pPr>
        <w:spacing w:after="100" w:line="259"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59" w:lineRule="auto"/>
        <w:ind w:left="432" w:hanging="288"/>
        <w:jc w:val="both"/>
      </w:pPr>
      <w:r>
        <w:rPr>
          <w:rFonts w:ascii="Old Standard TT" w:hAnsi="Old Standard TT"/>
          <w:sz w:val="21"/>
        </w:rPr>
        <w:t xml:space="preserve">•  The positive fixtures are reconstructions of four to seven events written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evaluation transcripts. Nothing here measures detection inside OpenAI, Anthropic or AISI, and "events earlier" is a statement about our reconstruction.</w:t>
      </w:r>
    </w:p>
    <w:p>
      <w:pPr>
        <w:spacing w:after="80" w:line="259" w:lineRule="auto"/>
        <w:ind w:left="432" w:hanging="288"/>
        <w:jc w:val="both"/>
      </w:pPr>
      <w:r>
        <w:rPr>
          <w:rFonts w:ascii="Old Standard TT" w:hAnsi="Old Standard TT"/>
          <w:sz w:val="21"/>
        </w:rPr>
        <w:t>•  The fixtures and the rule have the same author, so the specification tests show consistency, not generalisation. The DSEWiki run addresses the events but not the scope: the two non-wildcard allowlists there are ours, reconstructed from the task families visible in the record, and a different reconstruction would move the first page. What does not move is the wildcard row, which is the scope the sandbox actually had.</w:t>
      </w:r>
    </w:p>
    <w:p>
      <w:pPr>
        <w:spacing w:after="80" w:line="259" w:lineRule="auto"/>
        <w:ind w:left="432" w:hanging="288"/>
        <w:jc w:val="both"/>
      </w:pPr>
      <w:r>
        <w:rPr>
          <w:rFonts w:ascii="Old Standard TT" w:hAnsi="Old Standard TT"/>
          <w:sz w:val="21"/>
        </w:rPr>
        <w:t>•  Wiki revision bodies are not tool calls. A URL an agent posted is a stated destination in a weaker sense than a URL an agent passed to curl; some are links for other agents to follow. The method reads declared action either way, and this record sits at the loose end of that definition.</w:t>
      </w:r>
    </w:p>
    <w:p>
      <w:pPr>
        <w:spacing w:after="80" w:line="259" w:lineRule="auto"/>
        <w:ind w:left="432" w:hanging="288"/>
        <w:jc w:val="both"/>
      </w:pPr>
      <w:r>
        <w:rPr>
          <w:rFonts w:ascii="Old Standard TT" w:hAnsi="Old Standard TT"/>
          <w:sz w:val="21"/>
        </w:rPr>
        <w:t xml:space="preserve">•  Sentinel reads declared arguments. In its investigation of the Hugging Face incident, METR reports that roughly 7% of the transcripts it evaluated were successfully spoofed in some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 determined agent can state one destination and reach another. Layer 3 is the answer; it is not built.</w:t>
      </w:r>
    </w:p>
    <w:p>
      <w:pPr>
        <w:spacing w:after="80" w:line="259"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59" w:lineRule="auto"/>
        <w:ind w:left="432" w:hanging="288"/>
        <w:jc w:val="both"/>
      </w:pPr>
      <w:r>
        <w:rPr>
          <w:rFonts w:ascii="Old Standard TT" w:hAnsi="Old Standard TT"/>
          <w:sz w:val="21"/>
        </w:rPr>
        <w:t>•  T1 and T2 false-positive rates are unmeasured; they warn, and a warn nobody reads is worth nothing.</w:t>
      </w:r>
    </w:p>
    <w:p>
      <w:pPr>
        <w:spacing w:after="80" w:line="259"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59"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59"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59"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59"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59"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59"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59"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59"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59"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59"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59"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59"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59"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59"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59"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59"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59"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59"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59"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59"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Pr>
      <w:tblGrid>
        <w:gridCol w:w="3744"/>
        <w:gridCol w:w="3456"/>
        <w:gridCol w:w="2160"/>
      </w:tblGrid>
      <w:tr>
        <w:trPr>
          <w:cantSplit/>
        </w:trPr>
        <w:tc>
          <w:tcPr>
            <w:tcW w:type="dxa" w:w="3744"/>
          </w:tcPr>
          <w:p>
            <w:pPr>
              <w:spacing w:line="269" w:lineRule="auto" w:after="0" w:before="0"/>
            </w:pPr>
            <w:r>
              <w:rPr>
                <w:rFonts w:ascii="Old Standard TT" w:hAnsi="Old Standard TT"/>
              </w:rPr>
            </w:r>
            <w:r>
              <w:rPr>
                <w:rFonts w:ascii="Old Standard TT" w:hAnsi="Old Standard TT"/>
                <w:b/>
                <w:sz w:val="16"/>
              </w:rPr>
              <w:t>Behaviour (from the public accounts)</w:t>
            </w:r>
          </w:p>
        </w:tc>
        <w:tc>
          <w:tcPr>
            <w:tcW w:type="dxa" w:w="3456"/>
          </w:tcPr>
          <w:p>
            <w:pPr>
              <w:spacing w:line="269" w:lineRule="auto" w:after="0" w:before="0"/>
            </w:pPr>
            <w:r>
              <w:rPr>
                <w:rFonts w:ascii="Old Standard TT" w:hAnsi="Old Standard TT"/>
              </w:rPr>
            </w:r>
            <w:r>
              <w:rPr>
                <w:rFonts w:ascii="Old Standard TT" w:hAnsi="Old Standard TT"/>
                <w:b/>
                <w:sz w:val="16"/>
              </w:rPr>
              <w:t>Seen in</w:t>
            </w:r>
          </w:p>
        </w:tc>
        <w:tc>
          <w:tcPr>
            <w:tcW w:type="dxa" w:w="2160"/>
          </w:tcPr>
          <w:p>
            <w:pPr>
              <w:spacing w:line="269" w:lineRule="auto" w:after="0" w:before="0"/>
            </w:pPr>
            <w:r>
              <w:rPr>
                <w:rFonts w:ascii="Old Standard TT" w:hAnsi="Old Standard TT"/>
              </w:rPr>
            </w:r>
            <w:r>
              <w:rPr>
                <w:rFonts w:ascii="Old Standard TT" w:hAnsi="Old Standard TT"/>
                <w:b/>
                <w:sz w:val="16"/>
              </w:rPr>
              <w:t>Sentinel</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1 Grader / evaluation probing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T1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2 Sandbox / boundary testing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T2 WARN</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3 Unauthorised egress vs declared scope</w:t>
            </w:r>
          </w:p>
        </w:tc>
        <w:tc>
          <w:tcPr>
            <w:tcW w:type="dxa" w:w="3456"/>
          </w:tcPr>
          <w:p>
            <w:pPr>
              <w:spacing w:line="269" w:lineRule="auto" w:after="0" w:before="0"/>
            </w:pPr>
            <w:r>
              <w:rPr>
                <w:rFonts w:ascii="Old Standard TT" w:hAnsi="Old Standard TT"/>
              </w:rPr>
            </w:r>
            <w:r>
              <w:rPr>
                <w:rFonts w:ascii="Old Standard TT" w:hAnsi="Old Standard TT"/>
                <w:b w:val="0"/>
                <w:sz w:val="16"/>
              </w:rPr>
              <w:t>all four</w:t>
            </w:r>
          </w:p>
        </w:tc>
        <w:tc>
          <w:tcPr>
            <w:tcW w:type="dxa" w:w="2160"/>
          </w:tcPr>
          <w:p>
            <w:pPr>
              <w:spacing w:line="269" w:lineRule="auto" w:after="0" w:before="0"/>
            </w:pPr>
            <w:r>
              <w:rPr>
                <w:rFonts w:ascii="Old Standard TT" w:hAnsi="Old Standard TT"/>
              </w:rPr>
            </w:r>
            <w:r>
              <w:rPr>
                <w:rFonts w:ascii="Old Standard TT" w:hAnsi="Old Standard TT"/>
                <w:b w:val="0"/>
                <w:sz w:val="16"/>
              </w:rPr>
              <w:t>T3 PAGE</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4 Inter-agent message boards</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5 Credential harvesting and reuse</w:t>
            </w:r>
          </w:p>
        </w:tc>
        <w:tc>
          <w:tcPr>
            <w:tcW w:type="dxa" w:w="3456"/>
          </w:tcPr>
          <w:p>
            <w:pPr>
              <w:spacing w:line="269" w:lineRule="auto" w:after="0" w:before="0"/>
            </w:pPr>
            <w:r>
              <w:rPr>
                <w:rFonts w:ascii="Old Standard TT" w:hAnsi="Old Standard TT"/>
              </w:rPr>
            </w:r>
            <w:r>
              <w:rPr>
                <w:rFonts w:ascii="Old Standard TT" w:hAnsi="Old Standard TT"/>
                <w:b w:val="0"/>
                <w:sz w:val="16"/>
              </w:rPr>
              <w:t>OpenAI, Anthropic</w:t>
            </w:r>
          </w:p>
        </w:tc>
        <w:tc>
          <w:tcPr>
            <w:tcW w:type="dxa" w:w="2160"/>
          </w:tcPr>
          <w:p>
            <w:pPr>
              <w:spacing w:line="269" w:lineRule="auto" w:after="0" w:before="0"/>
            </w:pPr>
            <w:r>
              <w:rPr>
                <w:rFonts w:ascii="Old Standard TT" w:hAnsi="Old Standard TT"/>
              </w:rPr>
            </w:r>
            <w:r>
              <w:rPr>
                <w:rFonts w:ascii="Old Standard TT" w:hAnsi="Old Standard TT"/>
                <w:b w:val="0"/>
                <w:sz w:val="16"/>
              </w:rPr>
              <w:t>not covered (env telemetry)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6 Out-of-scope target enumeration</w:t>
            </w:r>
          </w:p>
        </w:tc>
        <w:tc>
          <w:tcPr>
            <w:tcW w:type="dxa" w:w="3456"/>
          </w:tcPr>
          <w:p>
            <w:pPr>
              <w:spacing w:line="269" w:lineRule="auto" w:after="0" w:before="0"/>
            </w:pPr>
            <w:r>
              <w:rPr>
                <w:rFonts w:ascii="Old Standard TT" w:hAnsi="Old Standard TT"/>
              </w:rPr>
            </w:r>
            <w:r>
              <w:rPr>
                <w:rFonts w:ascii="Old Standard TT" w:hAnsi="Old Standard TT"/>
                <w:b w:val="0"/>
                <w:sz w:val="16"/>
              </w:rPr>
              <w:t>Anthropic (~9,000 targets)</w:t>
            </w:r>
          </w:p>
        </w:tc>
        <w:tc>
          <w:tcPr>
            <w:tcW w:type="dxa" w:w="2160"/>
          </w:tcPr>
          <w:p>
            <w:pPr>
              <w:spacing w:line="269" w:lineRule="auto" w:after="0" w:before="0"/>
            </w:pPr>
            <w:r>
              <w:rPr>
                <w:rFonts w:ascii="Old Standard TT" w:hAnsi="Old Standard TT"/>
              </w:rPr>
            </w:r>
            <w:r>
              <w:rPr>
                <w:rFonts w:ascii="Old Standard TT" w:hAnsi="Old Standard TT"/>
                <w:b w:val="0"/>
                <w:sz w:val="16"/>
              </w:rPr>
              <w:t>T3 if a host is stated</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7 Persistence past a safe exit</w:t>
            </w:r>
          </w:p>
        </w:tc>
        <w:tc>
          <w:tcPr>
            <w:tcW w:type="dxa" w:w="3456"/>
          </w:tcPr>
          <w:p>
            <w:pPr>
              <w:spacing w:line="269" w:lineRule="auto" w:after="0" w:before="0"/>
            </w:pPr>
            <w:r>
              <w:rPr>
                <w:rFonts w:ascii="Old Standard TT" w:hAnsi="Old Standard TT"/>
              </w:rPr>
            </w:r>
            <w:r>
              <w:rPr>
                <w:rFonts w:ascii="Old Standard TT" w:hAnsi="Old Standard TT"/>
                <w:b w:val="0"/>
                <w:sz w:val="16"/>
              </w:rPr>
              <w:t>OpenAI (198/898 unsolved tasks)</w:t>
            </w:r>
          </w:p>
        </w:tc>
        <w:tc>
          <w:tcPr>
            <w:tcW w:type="dxa" w:w="2160"/>
          </w:tcPr>
          <w:p>
            <w:pPr>
              <w:spacing w:line="269" w:lineRule="auto" w:after="0" w:before="0"/>
            </w:pPr>
            <w:r>
              <w:rPr>
                <w:rFonts w:ascii="Old Standard TT" w:hAnsi="Old Standard TT"/>
              </w:rPr>
            </w:r>
            <w:r>
              <w:rPr>
                <w:rFonts w:ascii="Old Standard TT" w:hAnsi="Old Standard TT"/>
                <w:b w:val="0"/>
                <w:sz w:val="16"/>
              </w:rPr>
              <w:t>not covered (policy)</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8 Transcript / monitor tampering</w:t>
            </w:r>
          </w:p>
        </w:tc>
        <w:tc>
          <w:tcPr>
            <w:tcW w:type="dxa" w:w="3456"/>
          </w:tcPr>
          <w:p>
            <w:pPr>
              <w:spacing w:line="269" w:lineRule="auto" w:after="0" w:before="0"/>
            </w:pPr>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pPr>
              <w:spacing w:line="269" w:lineRule="auto" w:after="0" w:before="0"/>
            </w:pPr>
            <w:r>
              <w:rPr>
                <w:rFonts w:ascii="Old Standard TT" w:hAnsi="Old Standard TT"/>
              </w:rPr>
            </w:r>
            <w:r>
              <w:rPr>
                <w:rFonts w:ascii="Old Standard TT" w:hAnsi="Old Standard TT"/>
                <w:b w:val="0"/>
                <w:sz w:val="16"/>
              </w:rPr>
              <w:t>not covered; defeats T3</w:t>
            </w:r>
          </w:p>
        </w:tc>
      </w:tr>
      <w:tr>
        <w:trPr>
          <w:cantSplit/>
        </w:trPr>
        <w:tc>
          <w:tcPr>
            <w:tcW w:type="dxa" w:w="3744"/>
          </w:tcPr>
          <w:p>
            <w:pPr>
              <w:spacing w:line="269" w:lineRule="auto" w:after="0" w:before="0"/>
            </w:pPr>
            <w:r>
              <w:rPr>
                <w:rFonts w:ascii="Old Standard TT" w:hAnsi="Old Standard TT"/>
              </w:rPr>
            </w:r>
            <w:r>
              <w:rPr>
                <w:rFonts w:ascii="Old Standard TT" w:hAnsi="Old Standard TT"/>
                <w:b w:val="0"/>
                <w:sz w:val="16"/>
              </w:rPr>
              <w:t>9 Goal adoption from peers</w:t>
            </w:r>
          </w:p>
        </w:tc>
        <w:tc>
          <w:tcPr>
            <w:tcW w:type="dxa" w:w="3456"/>
          </w:tcPr>
          <w:p>
            <w:pPr>
              <w:spacing w:line="269" w:lineRule="auto" w:after="0" w:before="0"/>
            </w:pPr>
            <w:r>
              <w:rPr>
                <w:rFonts w:ascii="Old Standard TT" w:hAnsi="Old Standard TT"/>
              </w:rPr>
            </w:r>
            <w:r>
              <w:rPr>
                <w:rFonts w:ascii="Old Standard TT" w:hAnsi="Old Standard TT"/>
                <w:b w:val="0"/>
                <w:sz w:val="16"/>
              </w:rPr>
              <w:t>OpenAI</w:t>
            </w:r>
          </w:p>
        </w:tc>
        <w:tc>
          <w:tcPr>
            <w:tcW w:type="dxa" w:w="2160"/>
          </w:tcPr>
          <w:p>
            <w:pPr>
              <w:spacing w:line="269" w:lineRule="auto" w:after="0" w:before="0"/>
            </w:pPr>
            <w:r>
              <w:rPr>
                <w:rFonts w:ascii="Old Standard TT" w:hAnsi="Old Standard TT"/>
              </w:rPr>
            </w:r>
            <w:r>
              <w:rPr>
                <w:rFonts w:ascii="Old Standard TT" w:hAnsi="Old Standard TT"/>
                <w:b w:val="0"/>
                <w:sz w:val="16"/>
              </w:rPr>
              <w:t>not covered</w:t>
            </w:r>
          </w:p>
        </w:tc>
      </w:tr>
    </w:tbl>
    <w:p>
      <w:pPr>
        <w:spacing w:line="312" w:lineRule="auto" w:before="140" w:after="200"/>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